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2019年南孙庄乡政府</w:t>
      </w: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部门预算公开</w:t>
      </w: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/>
    <w:p/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2019年2月</w:t>
      </w:r>
    </w:p>
    <w:p/>
    <w:p/>
    <w:p/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2019年部门预算公开目录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第一部分 2019年部门预算公开有关事项的说明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一、部门职责及机构设置情况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二、部门预算安排的总体情况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三、机关运行经费安排情况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四、财政拨款“三公”经费预算情况及增减变化原因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五、绩效预算信息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六、政府采购预算信息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七、国有资产信息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八、名词解释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九、其他需要说明的事项</w:t>
      </w:r>
    </w:p>
    <w:p>
      <w:pPr>
        <w:ind w:firstLine="643" w:firstLineChars="20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第二部分 2019年部门预算公开报表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一、部门预算收支总表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二、部门预算收入总表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三、部门预算支出总表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四、部门预算财政拨款收支总表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五、部门预算一般公共预算财政拨款支出表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六、部门预算一般公共预算财政拨款基本支出表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七、部门预算政府基金预算财政拨款支出表</w:t>
      </w:r>
    </w:p>
    <w:p>
      <w:pPr>
        <w:ind w:firstLine="750" w:firstLineChars="2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八、部门预算国有资本经营预算财政拨款支出表</w:t>
      </w:r>
    </w:p>
    <w:p>
      <w:pPr>
        <w:ind w:firstLine="750" w:firstLineChars="250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ascii="仿宋" w:hAnsi="仿宋" w:eastAsia="仿宋" w:cs="Times New Roman"/>
          <w:sz w:val="30"/>
          <w:szCs w:val="30"/>
        </w:rPr>
        <w:t>九、部门预算财政拨款“三公”经费支出表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唐山市丰南区南孙庄乡人民政府</w:t>
      </w:r>
    </w:p>
    <w:p>
      <w:pPr>
        <w:jc w:val="center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2019年部门预算信息公开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按照《预算法》、《地方预决算公开操作规程》和《河北省省级预算公开办法》规定，现将2019年部门预算公开如下：</w:t>
      </w:r>
    </w:p>
    <w:p>
      <w:pPr>
        <w:spacing w:line="560" w:lineRule="exact"/>
        <w:ind w:firstLine="672" w:firstLineChars="21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部门职责及机构设置情况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部门职责：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(1)执行本级人民代表大会的决议和上级国家行政机关的决定和命令，发布决定和命令；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(2)执行本行政区域内的经济和社会发展计划、预算，管理本行政区域内的经济、教育、科学、文化、卫生、体育事业和财政、民政、公安、司法行政、计划生育等行政工作；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(3)保护社会主义的全民所有的财产和劳动群众集体所有的财产，保护公民私人所有的合法财产，维护社会秩序，保障公民的人身权利、民主权利和其他权利；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(4)保护各种经济组织的合法权益；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(5)保障少数民族的权利和尊重少数民族的风俗习惯；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(6)办理上级区委、区政府交办的其他事项。</w:t>
      </w:r>
    </w:p>
    <w:p>
      <w:pPr>
        <w:spacing w:line="560" w:lineRule="exact"/>
        <w:ind w:firstLine="672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2、机构设置：唐山市丰南区南孙庄乡人民政府财政拨款的行政机关。机构规格为正科级单位。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内设6个行政机构，具体包括：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党政综合办公室，负责承办党委、人大、纪检、组织、宣传、统战、政法、共青团、妇联、武装和农村工作；协调各办公室的工作关系；负责政府日常事务和机关后勤工作；承办党委政府交办的其他事项。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纪检监察办公室，负责督促镇各级党组织和党员干部遵守党章和其他党内法规。检查党的路线方针政策决议、决定的执行情况；协助镇党委加强农村党风廉政建设和反腐败工作；开展党员干部反腐倡廉教育；对党员干部行使权力和廉洁自律情况进行监督；指导村级纪检组织、村务监督机构和辖区内企业纪律组织工作；受理群众信访举报，调查处理党组织和党员违纪案件；受理党员的控告申诉，保障党员权利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计划生育办公室，贯彻执行人口和计划生育工作的法律、法规；编制人口发展中、长期规划和年度计划，负责本辖区计划生育统计工作和对人口统计数据进行分析研究，实施计划生育抽样调查；负责计划生育宣传教育工作；制定计划生育优质服务的规划、规范并组织实施，做好提高出生人口素质工作，编制计划生育药具需求计划工作；负责对本辖区流动人口计划生育的管理工作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农业综合办公室，制定本辖区农业、林业、畜牧业、水产养殖业、水务等技术推广计划并组织实施；承担农业、畜牧业、水产养殖业所需关键性技术的引进、实验、示范及适用技术的组装集成及推广；负责农机新机具的实验、示范、推广和普及，为有机户提供农机技术指导和信息服务；开展林业技术培训、技术咨询和技术服务等林业社会化服务，为林农提供产前、产中、产后服务；负责落实本乡镇范围内的农田水利基本建设、乡镇供水、人畜饮水、水土保持等各项服务工作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社会综合事务办公室，负责辖区内科技、文化、卫生、体育、教育、民族宗教、民政、社会保障等工作；负责乡镇卫生院、中小学等事业单位的协调服务工作。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综合文化站，负责组织开展镇村两级文体活动；加强镇村两级文体队伍建设，并发现培养文体人才；协助党委政府搞好镇村两级文体设施建设；管理保护本乡镇内文物，挖掘保护本乡镇内非物质文化遗产；协助区文化部门监管文化市场。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24"/>
        </w:rPr>
      </w:pPr>
      <w:r>
        <w:rPr>
          <w:rFonts w:ascii="Times New Roman" w:hAnsi="Times New Roman" w:eastAsia="方正小标宋_GBK" w:cs="Times New Roman"/>
          <w:sz w:val="32"/>
          <w:szCs w:val="24"/>
        </w:rPr>
        <w:t>部门</w:t>
      </w:r>
      <w:r>
        <w:rPr>
          <w:rFonts w:hint="eastAsia" w:ascii="Times New Roman" w:hAnsi="Times New Roman" w:eastAsia="方正小标宋_GBK" w:cs="Times New Roman"/>
          <w:sz w:val="32"/>
          <w:szCs w:val="24"/>
        </w:rPr>
        <w:t>机构设置情况</w:t>
      </w:r>
    </w:p>
    <w:tbl>
      <w:tblPr>
        <w:tblStyle w:val="8"/>
        <w:tblW w:w="8226" w:type="dxa"/>
        <w:jc w:val="center"/>
        <w:tblInd w:w="9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200"/>
        <w:gridCol w:w="10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0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单位名称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单位性质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04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党政综合办公室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纪检监察办公室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计划生育办公室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农业综合办公室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社会综合事务办公室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0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22222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综合文化站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财政拨款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下设预算单位共9个，分别为：政府机关、财政、纪检、文化体育与传媒、社会保障和就业、医疗卫生与计划生育事务、其他城乡社区事务、农业、公安 ，其经费来源全部为财政拨款。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40" w:firstLineChars="200"/>
        <w:jc w:val="lef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人员构成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highlight w:val="none"/>
        </w:rPr>
        <w:t>我部门财政供养实有在职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人，其中行政编制27人、事业编制3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Arial"/>
          <w:b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人事代理2人，见习生</w:t>
      </w:r>
      <w:r>
        <w:rPr>
          <w:rFonts w:hint="eastAsia" w:ascii="仿宋" w:hAnsi="仿宋" w:eastAsia="仿宋" w:cs="Arial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Arial"/>
          <w:sz w:val="32"/>
          <w:szCs w:val="32"/>
          <w:highlight w:val="none"/>
        </w:rPr>
        <w:t>人。</w:t>
      </w:r>
      <w:r>
        <w:rPr>
          <w:rFonts w:hint="eastAsia" w:ascii="仿宋" w:hAnsi="仿宋" w:eastAsia="仿宋" w:cs="Arial"/>
          <w:sz w:val="32"/>
          <w:szCs w:val="32"/>
        </w:rPr>
        <w:t>离退休人员15人。劳务派遣及其他临时人员29人。</w:t>
      </w:r>
    </w:p>
    <w:p>
      <w:pPr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二、部门预算安排的总体情况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收入预算说明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ascii="仿宋" w:hAnsi="仿宋" w:eastAsia="仿宋" w:cs="Arial"/>
          <w:color w:val="222222"/>
          <w:sz w:val="32"/>
          <w:szCs w:val="32"/>
        </w:rPr>
        <w:t>201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9年度部门预算收入1215.12万元。其中：一般公共预算拨款1215.12万元，政府性基金预算拨款0万元，国有资本经营预算拨款0万元，财政专户核拨0万元，其他来源收入0万元。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2、支出预算说明</w:t>
      </w:r>
    </w:p>
    <w:p>
      <w:pPr>
        <w:ind w:firstLine="640"/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支出预算1215.12万元，其中人员经费支出741.61万元，日常公用经费支出113.41万元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项目支出360.1万元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，主要用于优抚对象补贴及社会救济等支出。</w:t>
      </w:r>
    </w:p>
    <w:p>
      <w:pPr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3、</w:t>
      </w:r>
      <w:r>
        <w:rPr>
          <w:rFonts w:hint="eastAsia" w:ascii="仿宋" w:hAnsi="仿宋" w:eastAsia="仿宋" w:cs="Times New Roman"/>
          <w:sz w:val="32"/>
          <w:szCs w:val="32"/>
        </w:rPr>
        <w:t>部门预算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Times New Roman"/>
          <w:sz w:val="32"/>
          <w:szCs w:val="32"/>
        </w:rPr>
        <w:t>上年增减情况</w:t>
      </w:r>
    </w:p>
    <w:p>
      <w:pPr>
        <w:ind w:firstLine="640"/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年收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较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val="en-US" w:eastAsia="zh-CN"/>
        </w:rPr>
        <w:t>2018年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减少291.06万元，主要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由于部门在职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人员减少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和村干部工资转移。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2019年</w:t>
      </w:r>
      <w:r>
        <w:rPr>
          <w:rFonts w:hint="eastAsia" w:ascii="仿宋_GB2312" w:hAnsi="仿宋" w:eastAsia="仿宋_GB2312"/>
          <w:sz w:val="32"/>
          <w:szCs w:val="32"/>
        </w:rPr>
        <w:t>支出预算较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2018年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减少291.06万元</w:t>
      </w:r>
      <w:r>
        <w:rPr>
          <w:rFonts w:hint="eastAsia" w:ascii="仿宋_GB2312" w:hAnsi="仿宋" w:eastAsia="仿宋_GB2312"/>
          <w:sz w:val="32"/>
          <w:szCs w:val="32"/>
        </w:rPr>
        <w:t>，其中：基本支出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54.46</w:t>
      </w:r>
      <w:r>
        <w:rPr>
          <w:rFonts w:hint="eastAsia" w:ascii="仿宋_GB2312" w:hAnsi="仿宋" w:eastAsia="仿宋_GB2312"/>
          <w:sz w:val="32"/>
          <w:szCs w:val="32"/>
        </w:rPr>
        <w:t>万元，主要由于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人员减少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致使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经费及相应的工会费和福利费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等费用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减少；</w:t>
      </w:r>
      <w:r>
        <w:rPr>
          <w:rFonts w:hint="eastAsia" w:ascii="仿宋_GB2312" w:hAnsi="仿宋" w:eastAsia="仿宋_GB2312"/>
          <w:sz w:val="32"/>
          <w:szCs w:val="32"/>
        </w:rPr>
        <w:t>项目支出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236.60</w:t>
      </w:r>
      <w:r>
        <w:rPr>
          <w:rFonts w:hint="eastAsia" w:ascii="仿宋_GB2312" w:hAnsi="仿宋" w:eastAsia="仿宋_GB2312"/>
          <w:sz w:val="32"/>
          <w:szCs w:val="32"/>
        </w:rPr>
        <w:t>万元，主要由于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村干部工资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eastAsia="zh-CN"/>
        </w:rPr>
        <w:t>及优抚对象支出费用减少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三、机关运行经费安排情况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日常公用经费113.41万元，具体包括：基础定额项目59.72万元（其中：办公费39.32万元，邮电费12.96万元，专用材料费7.44万元），公务用车运行维护费24万元（其中：公务用车燃修费22.5万元，公务用车保险费1.5万元），按规定比例计提项目15.54万元（工会费9.65万元，福利费5.89万元），其他交通费用14.15万元。</w:t>
      </w:r>
    </w:p>
    <w:p>
      <w:pPr>
        <w:numPr>
          <w:ilvl w:val="0"/>
          <w:numId w:val="2"/>
        </w:numPr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财政拨款“三公”经费预算情况及增减变化原因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2019年，我单位“三公”经费预算安排</w:t>
      </w:r>
      <w:r>
        <w:rPr>
          <w:rFonts w:ascii="仿宋" w:hAnsi="仿宋" w:eastAsia="仿宋" w:cs="Arial"/>
          <w:color w:val="222222"/>
          <w:sz w:val="32"/>
          <w:szCs w:val="32"/>
        </w:rPr>
        <w:t>2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4万元，与上年预算持平。具体安排情况为：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（一）公务用车购置及运行费。共计安排24万元，①公务用车购置安排0万元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与上年持平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无增减变动。②公车运行维护经费安排24万元,与上年持平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无增减变动。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（二）公务接待费。安排0万元，与上年持平，无增减变动。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（三）因公出国（境）费。安排</w:t>
      </w:r>
      <w:r>
        <w:rPr>
          <w:rFonts w:ascii="仿宋" w:hAnsi="仿宋" w:eastAsia="仿宋" w:cs="Arial"/>
          <w:color w:val="222222"/>
          <w:sz w:val="32"/>
          <w:szCs w:val="32"/>
        </w:rPr>
        <w:t>0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万元，与上年持平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无增减变动。</w:t>
      </w:r>
    </w:p>
    <w:p>
      <w:pPr>
        <w:spacing w:line="560" w:lineRule="exact"/>
        <w:ind w:firstLine="675" w:firstLineChars="210"/>
        <w:jc w:val="left"/>
        <w:rPr>
          <w:rFonts w:ascii="仿宋_GB2312" w:hAnsi="仿宋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 xml:space="preserve">五、绩效预算信息 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（一）总体绩效目标：根据区委、区政府2019年度计划目标，结合实际情况，特制定我乡政府2019年度发展规划目标，具体如下：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2019年我们将紧紧围绕特色小镇发展定位，牢牢把握加快转型、绿色发展、跨越提升这一路径，着力推进“八大工程”（即，项目建设、农业发展、特色小镇、乡村旅游、环境整治、民生改善、社会治理、党建廉政），推动全乡经济社会又好又快发展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突出项目建设，壮大经济总量。牢固树立项目核心意识，始终把项目建设作为强投资、稳增长、促发展的关键措施。二是在招商引资上依托我乡资源、生态、区位、产业等优势，紧扣全区发展战略，重点在战略性新兴产业、现代农业、现代服务业、三产融合以及重大基础设施等方面谋划项目，提高招商引资的针对性和实效性，力争年内在招商引资上取得新突破。三是加大扶持力度，为现有企业做大做强提供强有力支撑，进一步壮大市场经营主体，激发全乡经济发展活力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做优乡村旅游，培育新的增长点。立足现有基础，进一步挖掘特色，整合资源，包装项目，打亮品牌，推动乡村旅游经营由粗放、分散、低效向精细、优质、高效转变，以此辐射和带动传统农业向现代农业转型升级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推进特色小镇建设，提升核心竞争能力。一是深入学习领会特色小镇建设和经营理念，掌握国家对特色小镇建设相关支持政策，整合资源，借力发展，提高特色小镇建设水平。二是加大招商力度。在特色小镇规划的基础上，加大项目招商力度，依托毗邻天津、北京的区位优势，积极对接京津冀一体化发展，引进以养老休闲为主的特色项目，打造唐山乃至京津的养生休闲养老度假基地。四是加大基础设施投入。按照特色小镇规划，加大水暖电气路等基础设施投入，加大温泉开发建设力度，营造特色小镇建设氛围，促进招商引资工作开展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抓好民生改善，增强全乡人民幸福指数。一是加大贫困户帮扶力度。二是完善城乡低保工作。进一步完善低保申请民主评议，入户调查，审核审批程序，加强动态管理，对全乡低保对象进行定期审核，做到应保尽保，应退尽退。做好双拥优抚工作，落实党的优抚政策，继续做好残联各项工作及社会团体管理工作。计划利用上级“一事一议”资金，实施村街道路硬化、打井、自来水管道改造等民生工程，着力改善村民生活环境，确保群众饮水安全，整体提升全乡居民生活质量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狠抓信访维稳，推进社会和谐。强化农村事务规范化管理，从源头减少不稳定因素；做到小事不出村，大事不出乡；严密关注涉军人员等特殊群体，确保不发生进京赴省非访、集体访，全力做好重大敏感时期稳控工作，坚决把信访群众吸附在本地；加大依法治访法制宣传力度，营造依法逐级走访、理性反映问题的法治氛围，对违法信访行为依法严厉打击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二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职责分类绩效目标</w:t>
      </w: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1、政府政务管理。贯彻执行党的路线方针、政策和国家法律法规，贯彻执行上级行政机关命令及同级党委的决定和人代会决议；负责辖区内科技、卫生、体育、教育、民族宗教、民政、社会保障等工作；提升精细化管理，改善辖区整体环境；强化公共服务，巩固辖区稳定，夯实基层建设，谋划健全机制完成乡镇党委政府交办的其他事情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2、乡镇财政管理。负责编制乡镇财政政府预决算，按时完成预决算公开工作；严格按照上级文件规定,管理本级政府经费收支等工作。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3、纪检监察。负责组织协调全乡党风廉政建设和反腐败宣传、教育等工作，积极发挥职能作用，加强党风廉政建设，营造风清气正、干事创业的工作氛围。组织协调全乡党风廉政建设和反腐败宣传教育工作，开展对党员、公务员的廉洁自律教育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4、文化宣传。负责对广大群众进行时政宣传和政策法制教育；组织群众开展丰富多彩的文化娱乐活动、报刊阅读和科普教育活动；搜集、整理民间文化艺术遗产，促进乡村特色文化发展；做好文物的宣传保护工作；完成上级文化部门交办的其他事项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5、新闻广播。负责贯彻广播电视新闻宣传方面的路线、方针、政策和国家的法律、法规，坚持正确的舆论导向。围绕区委、区政府中心工作，做好广播新闻工作，促进社会经济文化发展。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6、计划生育管理。负责执行人口与计划生育工作的法律、法规，负责对本辖区流动人口计划生育的管理工作。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7、城乡社区管理。负责营造良好的发展环境，提高经济发展的质量和不水平。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8、农业、林业管理。负责本辖区内农业、林业、畜牧业等技术推广计划并组织实施。落实本乡镇范围内的各项服务工作。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9、公共安全管理。负责保护辖区内所有财产和劳动群众集体的财产，保护公民私人所有的合法财产，维护社会秩序，保障公民的人身权利、民主权利和其他权利。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(三）</w:t>
      </w:r>
      <w:bookmarkStart w:id="0" w:name="_Toc475452133"/>
      <w:r>
        <w:rPr>
          <w:rFonts w:hint="eastAsia" w:ascii="仿宋" w:hAnsi="仿宋" w:eastAsia="仿宋" w:cs="Arial"/>
          <w:color w:val="222222"/>
          <w:sz w:val="32"/>
          <w:szCs w:val="32"/>
        </w:rPr>
        <w:t>部门职责</w:t>
      </w:r>
      <w:r>
        <w:rPr>
          <w:rFonts w:ascii="仿宋" w:hAnsi="仿宋" w:eastAsia="仿宋" w:cs="Arial"/>
          <w:color w:val="222222"/>
          <w:sz w:val="32"/>
          <w:szCs w:val="32"/>
        </w:rPr>
        <w:t>-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工作活动绩效目标</w:t>
      </w:r>
      <w:bookmarkEnd w:id="0"/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指标表：</w:t>
      </w:r>
    </w:p>
    <w:tbl>
      <w:tblPr>
        <w:tblStyle w:val="8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544</w:t>
            </w:r>
            <w:r>
              <w:rPr>
                <w:rFonts w:hint="eastAsia" w:ascii="方正小标宋_GBK" w:eastAsia="方正小标宋_GBK"/>
                <w:sz w:val="24"/>
              </w:rPr>
              <w:t>唐山市丰南区南孙庄乡人民政府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一、政府政务管理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313.70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负责承办党政综合事务管理，大力促进经济发展，加强安全生产安全保护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突出政务、加强事务管理，增强工作综合服务实力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、党政综合事务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279.73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协调各办公室工作关系，负责日常工作事务和机关后勤工作，承办党委政府交办的其他事项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确保辖区内科技、卫生、教育、民族宗教、民族、社会保障等工作顺利开展，大力发展民营经济，提升乡镇经济综合实力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目标群体满意度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、纪检监察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负责组织协调乡镇、村级党风廉政建设和反腐败工作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完成上级和党委交办的廉政和反腐败工作，办案件数达标，保障廉洁环境，让群众满意</w:t>
            </w:r>
            <w:r>
              <w:rPr>
                <w:rFonts w:ascii="方正书宋_GBK" w:eastAsia="方正书宋_GBK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目标群体满意度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非常满意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不满意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非常不满意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案件完成率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、计划生育事务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33.97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开展计划生育法规、政策知识的宣传、教育工作的认知度；管理计划生育技术服务工作，开展计划生育技术服务，负责避孕药具的管理、发放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确保群众对计划生育的管理、服务工作满意；及时落实计生专干和小组长待遇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符合政策生育率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hint="eastAsia" w:ascii="方正书宋_GBK" w:eastAsia="方正书宋_GBK"/>
                <w:b/>
              </w:rPr>
              <w:t>、综合治理事务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提高辖区内居民防护意识，避免突发辖区内治安问题，确保社会和谐稳定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确保案件按时了结；积极调解民事纠纷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重大安保任务完成率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矛盾纠纷调处率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二、乡镇财政管理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贯彻执行各项财经法律、法规制度，执行乡镇财政发展规划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管好财政资金，做到应收尽收，增强财政实力，确保涉农资金专款专用，及时发放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、乡镇财政工作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和管理乡镇财政收支，编制执行乡镇政府预算，监督乡镇单位预算执行，编制财政决算；负责对乡镇国有资产的购置、登记、处置进行管理，确保乡镇国有资产安全和保值增值；贯彻党和国家财经方针政策，严格执行财政法规和财经制度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落实好乡镇财政收支、预决算、财政监督职能，保障各项工作顺利开展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目标群体满意度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一般公共预算收入完成率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、纪检工作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负责组织协调乡镇、村级党风廉政建设和反腐败工作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机关廉政建设和反腐败的成效群众满意度评价；村级组织廉政建设和反腐败工作成效对村民的满意度；执法案件的成功率；办理案件数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案件完成率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、文化宣传工作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丰富多彩、群众喜闻乐见的文化娱乐和体育活动，普及科学文化知识，传递经济信息，为经济建设服务。运用各种文化艺术手段以及群众性的文化、体育活动，向广大人民群众进行社会主义思想道德、科学教育、共产主义思想教育和党的方针政策的宣传教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开展提升文化素养的宣传培训受益率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三、文化宣传新闻广播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贯彻执行上级法律法规，组织开展文化娱乐和体育活动，普及科学文化知识，进行社会主义思想道德宣传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、文化宣传及广播工作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组织开展文化娱乐和体育活动，向广大人民群众进行社会主义思想道德、科学教育、共产主义思想教育和党的方针政策的宣传教育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开展镇村两级文体活动，丰富基层群众精神文化生活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开展提升文化素养的宣传培训受益率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公共服务活动数量（项）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多于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、计划生育工作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开展计划生育法规、政策知识的宣传、教育工作的认知度；管理计划生育技术服务工作，开展计划生育技术服务，负责避孕药具的管理、发放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进行计划生育的管理、服务工作群众满意度；进一步完善技术服务工作的满意度，管理计划生育免费技术服务工作，落实计生专干和小组长待遇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、城乡社区工作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城乡社区管理事务、城乡社区公共设施、环境卫生，其他城乡社会事务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对辖区内进行合理规划，为辖区内道路、桥涵等公共设施维护与管理提供保障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配套设施完成率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受益群众的满意度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四、农业、林业管理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28.40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负责本行政区域内的农业、林业等社会事业的综合性工作。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农业、林业等社会事业综合协调发展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、农村农业林业服务管理工作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28.40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建档立卡贫困人员就业补助资金的发放；农业事业综合协调发展，村级运转经费等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保证有就业能力并有就业意愿的人员实现就业；村级事务有序开展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提升改造提升重点村数量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提升改造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个村以上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提升改造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个村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提升改造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个村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日以后发放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目标群体满意度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、辖区内公共安全管理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收集、掌握、报告影响社会稳定的情报信息，管理辖区内的实有人口，依法监督、指导辖区内的机关、团体、企业、事业单位的治安保卫工作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维护社会政治稳定，打击犯罪活动和查处违法活动，人口管理，社会防范，为民服务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重大安保任务完成率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</w:tbl>
    <w:p>
      <w:pPr>
        <w:ind w:firstLine="600" w:firstLineChars="200"/>
        <w:rPr>
          <w:rFonts w:ascii="仿宋" w:hAnsi="仿宋" w:eastAsia="仿宋" w:cs="Arial"/>
          <w:color w:val="222222"/>
          <w:sz w:val="30"/>
          <w:szCs w:val="30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（四）扶贫项目绩效目标表</w:t>
      </w:r>
    </w:p>
    <w:p>
      <w:pPr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  <w:t>未承担脱贫攻坚任务，因此无扶贫项目绩效目标表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10" w:leftChars="5" w:firstLine="726" w:firstLineChars="226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六、政府采购预算信息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10" w:leftChars="5" w:firstLine="723" w:firstLineChars="226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2019年此项目无数据。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七、国有资产信息</w:t>
      </w:r>
    </w:p>
    <w:tbl>
      <w:tblPr>
        <w:tblStyle w:val="8"/>
        <w:tblpPr w:leftFromText="180" w:rightFromText="180" w:vertAnchor="text" w:horzAnchor="page" w:tblpX="1862" w:tblpY="144"/>
        <w:tblOverlap w:val="never"/>
        <w:tblW w:w="8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85"/>
        <w:gridCol w:w="4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</w:rPr>
              <w:t>编制部门：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hd w:val="pct10" w:color="auto" w:fill="FFFFFF"/>
              </w:rPr>
              <w:t>南孙庄乡人民政府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hd w:val="pct10" w:color="auto" w:fill="FFFFFF"/>
              </w:rPr>
              <w:t>截止时间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hd w:val="pct10" w:color="auto" w:fill="FFFFFF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hd w:val="pct10" w:color="auto" w:fill="FFFFFF"/>
              </w:rPr>
              <w:t>2018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hd w:val="pct10" w:color="auto" w:fill="FFFFFF"/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hd w:val="pct10" w:color="auto" w:fill="FFFFFF"/>
              </w:rPr>
              <w:t>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</w:rPr>
              <w:t>价值（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hd w:val="pct10" w:color="auto" w:fill="FFFFFF"/>
              </w:rPr>
              <w:t>金额单位：万元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资产总额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22222"/>
                <w:sz w:val="22"/>
              </w:rPr>
              <w:t>764.68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1、房屋（平方米）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3608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22222"/>
                <w:sz w:val="22"/>
              </w:rPr>
              <w:t>338.92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其中：办公用房（平方米）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459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22222"/>
                <w:sz w:val="22"/>
              </w:rPr>
              <w:t>37.25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2、车辆（台、辆）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22222"/>
                <w:sz w:val="22"/>
              </w:rPr>
              <w:t>36.61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3、单价在20万元以上设备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4、其他固定资产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222222"/>
                <w:sz w:val="22"/>
              </w:rPr>
              <w:t>389.15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2018年末，我单位资产总额3480.55万元，固定资产总额764.68万元，其中：房屋338.92万元（办公用房37.25万元，其他&lt;不含构筑物&gt;301.67万元），车辆36.61万元（其中：轿车27.06万元，其他车型9.55万元），其他固定资产389.15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2019年我单位拟购置办公资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产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Arial"/>
          <w:color w:val="22222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。</w:t>
      </w:r>
      <w:r>
        <w:rPr>
          <w:rFonts w:hint="eastAsia" w:ascii="仿宋_GB2312" w:hAnsi="仿宋" w:eastAsia="仿宋_GB2312"/>
          <w:bCs/>
          <w:sz w:val="32"/>
          <w:szCs w:val="32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拟购置办公所需</w:t>
      </w:r>
      <w:r>
        <w:rPr>
          <w:rFonts w:hint="eastAsia" w:ascii="仿宋_GB2312" w:hAnsi="黑体" w:eastAsia="仿宋_GB2312"/>
          <w:sz w:val="32"/>
          <w:szCs w:val="32"/>
        </w:rPr>
        <w:t>计算机、复印机、打印机，预计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bCs/>
          <w:sz w:val="32"/>
          <w:szCs w:val="32"/>
        </w:rPr>
        <w:t>；购置办公桌椅，预计金额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万元；其他零星设备预计5万元。</w:t>
      </w:r>
    </w:p>
    <w:p>
      <w:pPr>
        <w:spacing w:line="560" w:lineRule="exact"/>
        <w:ind w:firstLine="675" w:firstLineChars="21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八、名词解释</w:t>
      </w:r>
    </w:p>
    <w:p>
      <w:pPr>
        <w:ind w:firstLine="784" w:firstLineChars="245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1、一般公共预算财政拨款收入：</w:t>
      </w:r>
      <w:r>
        <w:rPr>
          <w:rFonts w:ascii="仿宋" w:hAnsi="仿宋" w:eastAsia="仿宋" w:cs="Arial"/>
          <w:color w:val="222222"/>
          <w:sz w:val="32"/>
          <w:szCs w:val="32"/>
        </w:rPr>
        <w:t>一般公共预算是对以税收为主体的财政收入，安排用于保障和改善民生、推动经济社会发展、维护国家安全、维持国家机构正常运转等方面的收支预算</w:t>
      </w:r>
      <w:r>
        <w:rPr>
          <w:rFonts w:hint="eastAsia" w:ascii="仿宋" w:hAnsi="仿宋" w:eastAsia="仿宋" w:cs="Arial"/>
          <w:color w:val="222222"/>
          <w:sz w:val="32"/>
          <w:szCs w:val="32"/>
        </w:rPr>
        <w:t>。</w:t>
      </w:r>
    </w:p>
    <w:p>
      <w:pPr>
        <w:ind w:firstLine="784" w:firstLineChars="245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2、</w:t>
      </w:r>
      <w:r>
        <w:rPr>
          <w:rFonts w:ascii="仿宋" w:hAnsi="仿宋" w:eastAsia="仿宋" w:cs="Arial"/>
          <w:color w:val="222222"/>
          <w:sz w:val="32"/>
          <w:szCs w:val="32"/>
        </w:rPr>
        <w:t>政府性基金预算是对依照法律、行政法规的规定在一定期限内向特定对象征收、收取或者以其他方式筹集的资金，专项用于特定公共事业发展的收支预算。</w:t>
      </w:r>
    </w:p>
    <w:p>
      <w:pPr>
        <w:ind w:firstLine="784" w:firstLineChars="245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3、基本支出：指行政事业单位为保障其机构正常运转、完成日常工作任务而编制的年度基本支出计划，内容包括人员经费和日常公用经费两部分。</w:t>
      </w:r>
    </w:p>
    <w:p>
      <w:pPr>
        <w:ind w:firstLine="784" w:firstLineChars="245"/>
        <w:rPr>
          <w:rFonts w:ascii="仿宋" w:hAnsi="仿宋" w:eastAsia="仿宋" w:cs="Arial"/>
          <w:color w:val="22222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z w:val="32"/>
          <w:szCs w:val="32"/>
        </w:rPr>
        <w:t>4、项目支出：是指行政事业单位为完成特定的工作任务或事业发展目标，在基本的预算支出以外，财政预算专款安排的支出。</w:t>
      </w:r>
    </w:p>
    <w:p>
      <w:pPr>
        <w:spacing w:line="560" w:lineRule="exact"/>
        <w:ind w:firstLine="675" w:firstLineChars="210"/>
        <w:jc w:val="lef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b/>
          <w:sz w:val="32"/>
          <w:szCs w:val="32"/>
        </w:rPr>
        <w:t>其他需要说明的事项</w:t>
      </w:r>
    </w:p>
    <w:p>
      <w:pPr>
        <w:ind w:firstLine="784" w:firstLineChars="245"/>
        <w:rPr>
          <w:rFonts w:hint="eastAsia" w:ascii="仿宋" w:hAnsi="仿宋" w:eastAsia="仿宋" w:cs="Arial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因本部门未承担脱贫攻坚任务，因此无扶贫项目绩效目标表。</w:t>
      </w:r>
      <w:bookmarkStart w:id="1" w:name="_GoBack"/>
      <w:bookmarkEnd w:id="1"/>
    </w:p>
    <w:p>
      <w:pPr>
        <w:ind w:firstLine="784" w:firstLineChars="245"/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部门预算政府性基金预算财政拨款支出表，此表无数据，因本单位不涉及政府性基金，因此无数据。</w:t>
      </w:r>
    </w:p>
    <w:p>
      <w:pPr>
        <w:ind w:firstLine="784" w:firstLineChars="245"/>
        <w:rPr>
          <w:rFonts w:hint="eastAsia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lang w:eastAsia="zh-CN"/>
        </w:rPr>
        <w:t>部门预算国有资本经营预算财政拨款支出表，此表无数据，因本单位不涉及国有资本经营，因此无数据。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B266"/>
    <w:multiLevelType w:val="singleLevel"/>
    <w:tmpl w:val="0132B26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CBA9946"/>
    <w:multiLevelType w:val="singleLevel"/>
    <w:tmpl w:val="4CBA994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E0B"/>
    <w:rsid w:val="00023912"/>
    <w:rsid w:val="00094D59"/>
    <w:rsid w:val="000B1CE7"/>
    <w:rsid w:val="000B6A66"/>
    <w:rsid w:val="000E01BB"/>
    <w:rsid w:val="000F5E8B"/>
    <w:rsid w:val="0011770A"/>
    <w:rsid w:val="00120B40"/>
    <w:rsid w:val="001802EE"/>
    <w:rsid w:val="00192C00"/>
    <w:rsid w:val="001A661F"/>
    <w:rsid w:val="001D6F19"/>
    <w:rsid w:val="00220902"/>
    <w:rsid w:val="00221AE4"/>
    <w:rsid w:val="00274F87"/>
    <w:rsid w:val="0028286D"/>
    <w:rsid w:val="002A09CD"/>
    <w:rsid w:val="002A586D"/>
    <w:rsid w:val="002C2A2D"/>
    <w:rsid w:val="002F6918"/>
    <w:rsid w:val="00360086"/>
    <w:rsid w:val="0038061B"/>
    <w:rsid w:val="00387FC1"/>
    <w:rsid w:val="003B0381"/>
    <w:rsid w:val="003D3549"/>
    <w:rsid w:val="004016AE"/>
    <w:rsid w:val="00440E4F"/>
    <w:rsid w:val="00487DC8"/>
    <w:rsid w:val="00503DE1"/>
    <w:rsid w:val="00507A90"/>
    <w:rsid w:val="005A4278"/>
    <w:rsid w:val="005A718C"/>
    <w:rsid w:val="005A7BDB"/>
    <w:rsid w:val="005D692B"/>
    <w:rsid w:val="006D465D"/>
    <w:rsid w:val="006F593F"/>
    <w:rsid w:val="007111A9"/>
    <w:rsid w:val="00722588"/>
    <w:rsid w:val="007B3C8B"/>
    <w:rsid w:val="007C7E59"/>
    <w:rsid w:val="00803185"/>
    <w:rsid w:val="0082335D"/>
    <w:rsid w:val="00834EB9"/>
    <w:rsid w:val="00846BF2"/>
    <w:rsid w:val="008F0CFC"/>
    <w:rsid w:val="008F66E1"/>
    <w:rsid w:val="009129B7"/>
    <w:rsid w:val="009535E6"/>
    <w:rsid w:val="009605C7"/>
    <w:rsid w:val="009B76F1"/>
    <w:rsid w:val="009C3C05"/>
    <w:rsid w:val="00A0517F"/>
    <w:rsid w:val="00A2752E"/>
    <w:rsid w:val="00A46886"/>
    <w:rsid w:val="00A479D0"/>
    <w:rsid w:val="00A63D5C"/>
    <w:rsid w:val="00A67276"/>
    <w:rsid w:val="00A77AC3"/>
    <w:rsid w:val="00A9166F"/>
    <w:rsid w:val="00A92F56"/>
    <w:rsid w:val="00AD1AD5"/>
    <w:rsid w:val="00AD3177"/>
    <w:rsid w:val="00AF01B1"/>
    <w:rsid w:val="00B06145"/>
    <w:rsid w:val="00B30B28"/>
    <w:rsid w:val="00B80D0B"/>
    <w:rsid w:val="00BA6191"/>
    <w:rsid w:val="00BC1E0B"/>
    <w:rsid w:val="00BD6AB0"/>
    <w:rsid w:val="00BE3A34"/>
    <w:rsid w:val="00C352B4"/>
    <w:rsid w:val="00C56F98"/>
    <w:rsid w:val="00CC7032"/>
    <w:rsid w:val="00D12750"/>
    <w:rsid w:val="00D15A7E"/>
    <w:rsid w:val="00DA6028"/>
    <w:rsid w:val="00DB42CF"/>
    <w:rsid w:val="00E72E45"/>
    <w:rsid w:val="00F1069A"/>
    <w:rsid w:val="00F357BB"/>
    <w:rsid w:val="00F50250"/>
    <w:rsid w:val="00F81D01"/>
    <w:rsid w:val="00F9047B"/>
    <w:rsid w:val="00FA0F06"/>
    <w:rsid w:val="00FD5816"/>
    <w:rsid w:val="00FD5E3D"/>
    <w:rsid w:val="01923699"/>
    <w:rsid w:val="01C618A1"/>
    <w:rsid w:val="083B2A0B"/>
    <w:rsid w:val="08411166"/>
    <w:rsid w:val="0857530A"/>
    <w:rsid w:val="09B3289B"/>
    <w:rsid w:val="0A126F42"/>
    <w:rsid w:val="0A487C6D"/>
    <w:rsid w:val="0CE26D92"/>
    <w:rsid w:val="0E4F1B7F"/>
    <w:rsid w:val="10AF31E8"/>
    <w:rsid w:val="10C56F83"/>
    <w:rsid w:val="10E04B02"/>
    <w:rsid w:val="10E8327C"/>
    <w:rsid w:val="11727988"/>
    <w:rsid w:val="12A350E0"/>
    <w:rsid w:val="1356239F"/>
    <w:rsid w:val="135E2B23"/>
    <w:rsid w:val="15194C76"/>
    <w:rsid w:val="15DD3E8D"/>
    <w:rsid w:val="16025E18"/>
    <w:rsid w:val="1D4714F1"/>
    <w:rsid w:val="1D5A5B92"/>
    <w:rsid w:val="1DE66679"/>
    <w:rsid w:val="1E2622B2"/>
    <w:rsid w:val="1F067877"/>
    <w:rsid w:val="1F6B57C0"/>
    <w:rsid w:val="216F6085"/>
    <w:rsid w:val="21E534E6"/>
    <w:rsid w:val="22715079"/>
    <w:rsid w:val="227D265A"/>
    <w:rsid w:val="23055FEA"/>
    <w:rsid w:val="24584580"/>
    <w:rsid w:val="25F24F50"/>
    <w:rsid w:val="28A2486C"/>
    <w:rsid w:val="28A8245F"/>
    <w:rsid w:val="29085DA6"/>
    <w:rsid w:val="29D43EFF"/>
    <w:rsid w:val="2A4824EF"/>
    <w:rsid w:val="2A904755"/>
    <w:rsid w:val="2AA150F4"/>
    <w:rsid w:val="2AAC7325"/>
    <w:rsid w:val="2B1D1423"/>
    <w:rsid w:val="2B235812"/>
    <w:rsid w:val="2C334971"/>
    <w:rsid w:val="3678157C"/>
    <w:rsid w:val="3A4029E1"/>
    <w:rsid w:val="3C255DF7"/>
    <w:rsid w:val="41092622"/>
    <w:rsid w:val="415156AE"/>
    <w:rsid w:val="421E76E8"/>
    <w:rsid w:val="443D2513"/>
    <w:rsid w:val="449039B4"/>
    <w:rsid w:val="4672112E"/>
    <w:rsid w:val="46C91C29"/>
    <w:rsid w:val="47EB4120"/>
    <w:rsid w:val="49BA15A9"/>
    <w:rsid w:val="4AFA072F"/>
    <w:rsid w:val="4C100B52"/>
    <w:rsid w:val="4C2352BB"/>
    <w:rsid w:val="4F2F7686"/>
    <w:rsid w:val="50646362"/>
    <w:rsid w:val="52465A8B"/>
    <w:rsid w:val="533B2268"/>
    <w:rsid w:val="56E4629A"/>
    <w:rsid w:val="57B41A99"/>
    <w:rsid w:val="57CA7671"/>
    <w:rsid w:val="5E2D6E6E"/>
    <w:rsid w:val="63484F3D"/>
    <w:rsid w:val="64BC4A05"/>
    <w:rsid w:val="68D01945"/>
    <w:rsid w:val="69A34E1C"/>
    <w:rsid w:val="6A0F76CD"/>
    <w:rsid w:val="6A820562"/>
    <w:rsid w:val="6B4B6725"/>
    <w:rsid w:val="6C20508C"/>
    <w:rsid w:val="6D8A744F"/>
    <w:rsid w:val="6EEC5B31"/>
    <w:rsid w:val="6F583634"/>
    <w:rsid w:val="6FF16DE8"/>
    <w:rsid w:val="70232C3F"/>
    <w:rsid w:val="70854FAC"/>
    <w:rsid w:val="75013790"/>
    <w:rsid w:val="77933BAC"/>
    <w:rsid w:val="77FF45F1"/>
    <w:rsid w:val="79722D4C"/>
    <w:rsid w:val="79E235D8"/>
    <w:rsid w:val="7A032B32"/>
    <w:rsid w:val="7A3B2CA0"/>
    <w:rsid w:val="7D2E1BE0"/>
    <w:rsid w:val="7D461D64"/>
    <w:rsid w:val="7D617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87EEF-B2A3-4F0D-98E6-BDB57D1122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1082</Words>
  <Characters>6172</Characters>
  <Lines>51</Lines>
  <Paragraphs>14</Paragraphs>
  <TotalTime>11</TotalTime>
  <ScaleCrop>false</ScaleCrop>
  <LinksUpToDate>false</LinksUpToDate>
  <CharactersWithSpaces>7240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2017-06-02T07:38:00Z</dcterms:created>
  <dc:creator>user</dc:creator>
  <cp:lastModifiedBy>Administrator</cp:lastModifiedBy>
  <cp:lastPrinted>2018-08-29T08:09:00Z</cp:lastPrinted>
  <dcterms:modified xsi:type="dcterms:W3CDTF">2019-03-07T01:15:25Z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