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lang w:val="uk-UA"/>
        </w:rPr>
        <w:t>2017</w:t>
      </w:r>
      <w:r>
        <w:rPr>
          <w:rFonts w:ascii="黑体" w:eastAsia="黑体" w:cs="黑体" w:hAnsi="黑体"/>
          <w:b/>
          <w:color w:val="000000"/>
          <w:sz w:val="44"/>
        </w:rPr>
        <w:t>年部门预算信息公开目录</w:t>
      </w:r>
    </w:p>
    <w:p>
      <w:pPr>
        <w:jc w:val="center"/>
      </w:pPr>
      <w:r>
        <w:rPr>
          <w:rFonts w:ascii="黑体" w:eastAsia="黑体" w:cs="黑体" w:hAnsi="黑体"/>
          <w:b/>
          <w:color w:val="000000"/>
          <w:sz w:val="30"/>
        </w:rPr>
        <w:t xml:space="preserve"> </w:t>
      </w:r>
    </w:p>
    <w:p>
      <w:r>
        <w:rPr>
          <w:rFonts w:ascii="方正楷体_GBK" w:eastAsia="方正楷体_GBK" w:cs="方正楷体_GBK" w:hAnsi="方正楷体_GBK"/>
          <w:b/>
          <w:color w:val="000000"/>
          <w:sz w:val="28"/>
        </w:rPr>
        <w:t>部门预算公开表</w:t>
      </w:r>
    </w:p>
    <w:p>
      <w:pPr>
        <w:pStyle w:val="18"/>
        <w:tabs>
          <w:tab w:val="right" w:leader="dot" w:pos="14562"/>
        </w:tabs>
        <w:rPr>
          <w:lang w:eastAsia="zh-CN"/>
        </w:rPr>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r>
      <w:r>
        <w:fldChar w:fldCharType="end"/>
      </w:r>
    </w:p>
    <w:p>
      <w:pPr>
        <w:pStyle w:val="18"/>
        <w:tabs>
          <w:tab w:val="right" w:leader="dot" w:pos="14562"/>
        </w:tabs>
        <w:rPr>
          <w:lang w:eastAsia="zh-CN"/>
        </w:rPr>
      </w:pPr>
      <w:r>
        <w:fldChar w:fldCharType="begin"/>
      </w:r>
      <w:r>
        <w:instrText>Hyperlink \l "_Toc_2_2_0000000002"</w:instrText>
      </w:r>
      <w:r>
        <w:fldChar w:fldCharType="separate"/>
      </w:r>
      <w:r>
        <w:t>部门预算收入总表</w:t>
      </w:r>
      <w:r>
        <w:fldChar w:fldCharType="end"/>
      </w:r>
    </w:p>
    <w:p>
      <w:pPr>
        <w:pStyle w:val="18"/>
        <w:tabs>
          <w:tab w:val="right" w:leader="dot" w:pos="14562"/>
        </w:tabs>
      </w:pPr>
      <w:r>
        <w:fldChar w:fldCharType="begin"/>
      </w:r>
      <w:r>
        <w:instrText>Hyperlink \l "_Toc_2_2_0000000003"</w:instrText>
      </w:r>
      <w:r>
        <w:fldChar w:fldCharType="separate"/>
      </w:r>
      <w:r>
        <w:t>部门预算支出总表</w:t>
      </w:r>
      <w:r>
        <w:fldChar w:fldCharType="end"/>
      </w:r>
    </w:p>
    <w:p>
      <w:pPr>
        <w:pStyle w:val="18"/>
        <w:tabs>
          <w:tab w:val="right" w:leader="dot" w:pos="14562"/>
        </w:tabs>
      </w:pPr>
      <w:r>
        <w:fldChar w:fldCharType="begin"/>
      </w:r>
      <w:r>
        <w:instrText>Hyperlink \l "_Toc_2_2_0000000004"</w:instrText>
      </w:r>
      <w:r>
        <w:fldChar w:fldCharType="separate"/>
      </w:r>
      <w:r>
        <w:t>部门预算财政拨款收支总表</w:t>
      </w:r>
      <w:r>
        <w:fldChar w:fldCharType="end"/>
      </w:r>
    </w:p>
    <w:p>
      <w:pPr>
        <w:pStyle w:val="18"/>
        <w:tabs>
          <w:tab w:val="right" w:leader="dot" w:pos="14562"/>
        </w:tabs>
      </w:pPr>
      <w:r>
        <w:fldChar w:fldCharType="begin"/>
      </w:r>
      <w:r>
        <w:instrText>Hyperlink \l "_Toc_2_2_0000000005"</w:instrText>
      </w:r>
      <w:r>
        <w:fldChar w:fldCharType="separate"/>
      </w:r>
      <w:r>
        <w:t>部门预算一般公共预算财政拨款支出表</w:t>
      </w:r>
      <w:r>
        <w:fldChar w:fldCharType="end"/>
      </w:r>
    </w:p>
    <w:p>
      <w:pPr>
        <w:pStyle w:val="18"/>
        <w:tabs>
          <w:tab w:val="right" w:leader="dot" w:pos="14562"/>
        </w:tabs>
      </w:pPr>
      <w:r>
        <w:fldChar w:fldCharType="begin"/>
      </w:r>
      <w:r>
        <w:instrText>Hyperlink \l "_Toc_2_2_0000000006"</w:instrText>
      </w:r>
      <w:r>
        <w:fldChar w:fldCharType="separate"/>
      </w:r>
      <w:r>
        <w:t>部门预算一般公共预算财政拨款基本支出表</w:t>
      </w:r>
      <w:r>
        <w:fldChar w:fldCharType="end"/>
      </w:r>
    </w:p>
    <w:p>
      <w:pPr>
        <w:pStyle w:val="18"/>
        <w:tabs>
          <w:tab w:val="right" w:leader="dot" w:pos="14562"/>
        </w:tabs>
      </w:pPr>
      <w:r>
        <w:fldChar w:fldCharType="begin"/>
      </w:r>
      <w:r>
        <w:instrText>Hyperlink \l "_Toc_2_2_0000000007"</w:instrText>
      </w:r>
      <w:r>
        <w:fldChar w:fldCharType="separate"/>
      </w:r>
      <w:r>
        <w:t>部门预算政府性基金预算财政拨款支出表</w:t>
      </w:r>
      <w:r>
        <w:fldChar w:fldCharType="end"/>
      </w:r>
    </w:p>
    <w:p>
      <w:pPr>
        <w:pStyle w:val="18"/>
        <w:tabs>
          <w:tab w:val="right" w:leader="dot" w:pos="14562"/>
        </w:tabs>
        <w:rPr>
          <w:lang w:eastAsia="zh-CN"/>
        </w:rPr>
      </w:pPr>
      <w:r>
        <w:fldChar w:fldCharType="begin"/>
      </w:r>
      <w:r>
        <w:instrText>Hyperlink \l "_Toc_2_2_0000000008"</w:instrText>
      </w:r>
      <w:r>
        <w:fldChar w:fldCharType="separate"/>
      </w:r>
      <w:r>
        <w:t>部门预算国有资本经营预算财政拨款支出表</w:t>
      </w:r>
      <w:r>
        <w:fldChar w:fldCharType="end"/>
      </w:r>
    </w:p>
    <w:p>
      <w:pPr>
        <w:pStyle w:val="18"/>
        <w:tabs>
          <w:tab w:val="right" w:leader="dot" w:pos="14562"/>
        </w:tabs>
      </w:pPr>
      <w:r>
        <w:fldChar w:fldCharType="begin"/>
      </w:r>
      <w:r>
        <w:instrText>Hyperlink \l "_Toc_2_2_0000000009"</w:instrText>
      </w:r>
      <w:r>
        <w:fldChar w:fldCharType="separate"/>
      </w:r>
      <w:r>
        <w:t>部门预算财政拨款“三公”经费支出表</w:t>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18"/>
        <w:tabs>
          <w:tab w:val="right" w:leader="dot" w:pos="14562"/>
        </w:tabs>
        <w:rPr>
          <w:lang w:eastAsia="zh-CN"/>
        </w:rPr>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r>
      <w:r>
        <w:fldChar w:fldCharType="end"/>
      </w:r>
    </w:p>
    <w:p>
      <w:pPr>
        <w:pStyle w:val="18"/>
        <w:tabs>
          <w:tab w:val="right" w:leader="dot" w:pos="14562"/>
        </w:tabs>
      </w:pPr>
      <w:r>
        <w:fldChar w:fldCharType="begin"/>
      </w:r>
      <w:r>
        <w:instrText>Hyperlink \l "_Toc_3_3_0000000011"</w:instrText>
      </w:r>
      <w:r>
        <w:fldChar w:fldCharType="separate"/>
      </w:r>
      <w:r>
        <w:t>二、部门预算安排的总体情况</w:t>
      </w:r>
      <w:r>
        <w:fldChar w:fldCharType="end"/>
      </w:r>
    </w:p>
    <w:p>
      <w:pPr>
        <w:pStyle w:val="18"/>
        <w:tabs>
          <w:tab w:val="right" w:leader="dot" w:pos="14562"/>
        </w:tabs>
      </w:pPr>
      <w:r>
        <w:fldChar w:fldCharType="begin"/>
      </w:r>
      <w:r>
        <w:instrText>Hyperlink \l "_Toc_3_3_0000000012"</w:instrText>
      </w:r>
      <w:r>
        <w:fldChar w:fldCharType="separate"/>
      </w:r>
      <w:r>
        <w:t>三、机关运行经费安排情况</w:t>
      </w:r>
      <w:r>
        <w:fldChar w:fldCharType="end"/>
      </w:r>
    </w:p>
    <w:p>
      <w:pPr>
        <w:pStyle w:val="18"/>
        <w:tabs>
          <w:tab w:val="right" w:leader="dot" w:pos="14562"/>
        </w:tabs>
      </w:pPr>
      <w:r>
        <w:fldChar w:fldCharType="begin"/>
      </w:r>
      <w:r>
        <w:instrText>Hyperlink \l "_Toc_3_3_0000000013"</w:instrText>
      </w:r>
      <w:r>
        <w:fldChar w:fldCharType="separate"/>
      </w:r>
      <w:r>
        <w:t>四、财政拨款“三公”经费预算情况及增减变化原因</w:t>
      </w:r>
      <w:r>
        <w:fldChar w:fldCharType="end"/>
      </w:r>
    </w:p>
    <w:p>
      <w:pPr>
        <w:pStyle w:val="18"/>
        <w:tabs>
          <w:tab w:val="right" w:leader="dot" w:pos="14562"/>
        </w:tabs>
        <w:rPr>
          <w:lang w:eastAsia="zh-CN"/>
        </w:rPr>
      </w:pPr>
      <w:r>
        <w:fldChar w:fldCharType="begin"/>
      </w:r>
      <w:r>
        <w:instrText>Hyperlink \l "_Toc_3_3_0000000014"</w:instrText>
      </w:r>
      <w:r>
        <w:fldChar w:fldCharType="separate"/>
      </w:r>
      <w:r>
        <w:t>五、绩效预算信息</w:t>
      </w:r>
      <w:r>
        <w:fldChar w:fldCharType="end"/>
      </w:r>
    </w:p>
    <w:p>
      <w:pPr>
        <w:pStyle w:val="18"/>
        <w:tabs>
          <w:tab w:val="right" w:leader="dot" w:pos="14562"/>
        </w:tabs>
      </w:pPr>
      <w:r>
        <w:fldChar w:fldCharType="begin"/>
      </w:r>
      <w:r>
        <w:instrText>Hyperlink \l "_Toc_3_3_0000000017"</w:instrText>
      </w:r>
      <w:r>
        <w:fldChar w:fldCharType="separate"/>
      </w:r>
      <w:r>
        <w:t>六、政府采购预算情况</w:t>
      </w:r>
      <w:r>
        <w:fldChar w:fldCharType="end"/>
      </w:r>
    </w:p>
    <w:p>
      <w:pPr>
        <w:pStyle w:val="18"/>
        <w:tabs>
          <w:tab w:val="right" w:leader="dot" w:pos="14562"/>
        </w:tabs>
      </w:pPr>
      <w:r>
        <w:fldChar w:fldCharType="begin"/>
      </w:r>
      <w:r>
        <w:instrText>Hyperlink \l "_Toc_3_3_0000000018"</w:instrText>
      </w:r>
      <w:r>
        <w:fldChar w:fldCharType="separate"/>
      </w:r>
      <w:r>
        <w:t>七、国有资产信息</w:t>
      </w:r>
      <w:r>
        <w:fldChar w:fldCharType="end"/>
      </w:r>
    </w:p>
    <w:p>
      <w:pPr>
        <w:pStyle w:val="18"/>
        <w:tabs>
          <w:tab w:val="right" w:leader="dot" w:pos="14562"/>
        </w:tabs>
      </w:pPr>
      <w:r>
        <w:fldChar w:fldCharType="begin"/>
      </w:r>
      <w:r>
        <w:instrText>Hyperlink \l "_Toc_3_3_0000000019"</w:instrText>
      </w:r>
      <w:r>
        <w:fldChar w:fldCharType="separate"/>
      </w:r>
      <w:r>
        <w:t>八、名词解释</w:t>
      </w:r>
      <w:r>
        <w:fldChar w:fldCharType="end"/>
      </w:r>
    </w:p>
    <w:p>
      <w:pPr>
        <w:pStyle w:val="18"/>
        <w:tabs>
          <w:tab w:val="right" w:leader="dot" w:pos="14562"/>
        </w:tabs>
      </w:pPr>
      <w:r>
        <w:fldChar w:fldCharType="begin"/>
      </w:r>
      <w:r>
        <w:instrText>Hyperlink \l "_Toc_3_3_0000000020"</w:instrText>
      </w:r>
      <w:r>
        <w:fldChar w:fldCharType="separate"/>
      </w:r>
      <w:r>
        <w:t>九、其他需要说明的事项</w:t>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pPr>
      <w:r>
        <w:rPr>
          <w:rFonts w:ascii="方正小标宋_GBK" w:eastAsia="方正小标宋_GBK" w:cs="方正小标宋_GBK" w:hAnsi="方正小标宋_GBK"/>
          <w:color w:val="000000"/>
          <w:sz w:val="44"/>
        </w:rPr>
        <w:t>唐山市丰南</w:t>
      </w:r>
      <w:r>
        <w:rPr>
          <w:rFonts w:ascii="方正小标宋_GBK" w:eastAsia="方正小标宋_GBK" w:cs="方正小标宋_GBK" w:hAnsi="方正小标宋_GBK" w:hint="eastAsia"/>
          <w:color w:val="000000"/>
          <w:sz w:val="44"/>
        </w:rPr>
        <w:t>区委宣传部</w:t>
      </w:r>
      <w:r>
        <w:rPr>
          <w:rFonts w:ascii="方正小标宋_GBK" w:eastAsia="方正小标宋_GBK" w:cs="方正小标宋_GBK" w:hAnsi="方正小标宋_GBK"/>
          <w:color w:val="000000"/>
          <w:sz w:val="44"/>
        </w:rPr>
        <w:t>年部门预算信息公开情况说明</w:t>
      </w:r>
    </w:p>
    <w:p>
      <w:pPr>
        <w:spacing w:line="500" w:lineRule="exact"/>
        <w:ind w:firstLine="560"/>
        <w:rPr>
          <w:rFonts w:ascii="方正仿宋简体" w:eastAsia="方正仿宋简体" w:cs="宋体" w:hAnsi="Arial Unicode MS" w:hint="eastAsia"/>
          <w:color w:val="000000"/>
          <w:sz w:val="32"/>
          <w:szCs w:val="32"/>
        </w:rPr>
      </w:pPr>
      <w:r>
        <w:rPr>
          <w:rFonts w:ascii="方正仿宋简体" w:eastAsia="方正仿宋简体" w:cs="宋体" w:hAnsi="Arial Unicode MS" w:hint="eastAsia"/>
          <w:color w:val="000000"/>
          <w:sz w:val="32"/>
          <w:szCs w:val="32"/>
        </w:rPr>
        <w:t>按照《中华人民共和国预算法》、《地方预决算公开操作规程》和《关于进一步推进预算公开工作的实施意见》规定，现将唐山市丰南区委宣传部201</w:t>
      </w:r>
      <w:r>
        <w:rPr>
          <w:rFonts w:ascii="方正仿宋简体" w:eastAsia="方正仿宋简体" w:cs="宋体" w:hAnsi="Arial Unicode MS"/>
          <w:color w:val="000000"/>
          <w:sz w:val="32"/>
          <w:szCs w:val="32"/>
        </w:rPr>
        <w:t>6</w:t>
      </w:r>
      <w:r>
        <w:rPr>
          <w:rFonts w:ascii="方正仿宋简体" w:eastAsia="方正仿宋简体" w:cs="宋体" w:hAnsi="Arial Unicode MS" w:hint="eastAsia"/>
          <w:color w:val="000000"/>
          <w:sz w:val="32"/>
          <w:szCs w:val="32"/>
        </w:rPr>
        <w:t>年部门预算公开如下：</w:t>
      </w:r>
    </w:p>
    <w:p>
      <w:pPr>
        <w:spacing w:before="10" w:after="10" w:line="360" w:lineRule="auto"/>
        <w:ind w:firstLine="640"/>
        <w:outlineLvl w:val="2"/>
      </w:pPr>
      <w:bookmarkStart w:id="0" w:name="_Toc_3_3_0000000010"/>
      <w:r>
        <w:rPr>
          <w:rFonts w:ascii="黑体" w:eastAsia="黑体" w:cs="黑体" w:hAnsi="黑体"/>
          <w:color w:val="000000"/>
          <w:sz w:val="32"/>
        </w:rPr>
        <w:t>一、部门职责及机构设置情况</w:t>
      </w:r>
      <w:bookmarkEnd w:id="0"/>
    </w:p>
    <w:p>
      <w:pPr>
        <w:ind w:firstLine="640"/>
      </w:pPr>
      <w:r>
        <w:rPr>
          <w:rFonts w:ascii="方正楷体_GBK" w:eastAsia="方正楷体_GBK" w:cs="方正楷体_GBK" w:hAnsi="方正楷体_GBK"/>
          <w:b/>
          <w:color w:val="000000"/>
          <w:sz w:val="32"/>
        </w:rPr>
        <w:t>部门职责：</w:t>
      </w:r>
    </w:p>
    <w:p>
      <w:pPr>
        <w:spacing w:line="570" w:lineRule="exact"/>
        <w:ind w:firstLine="640"/>
        <w:rPr>
          <w:rFonts w:ascii="方正仿宋简体" w:eastAsia="方正仿宋简体" w:cs="宋体"/>
          <w:color w:val="000000"/>
          <w:sz w:val="32"/>
          <w:szCs w:val="32"/>
        </w:rPr>
      </w:pPr>
      <w:r>
        <w:rPr>
          <w:rFonts w:ascii="方正仿宋简体" w:eastAsia="方正仿宋简体" w:cs="宋体" w:hAnsi="Arial Unicode MS" w:hint="eastAsia"/>
          <w:color w:val="000000"/>
          <w:kern w:val="0"/>
          <w:sz w:val="32"/>
          <w:szCs w:val="32"/>
        </w:rPr>
        <w:t>根据《中共唐山市丰南区委宣传部职能配置、内设机构和人员编制方案》规定，丰南区委宣传部的主要职责是：</w:t>
      </w:r>
      <w:r>
        <w:rPr>
          <w:rFonts w:ascii="方正仿宋简体" w:eastAsia="方正仿宋简体" w:cs="宋体"/>
          <w:color w:val="000000"/>
          <w:sz w:val="32"/>
          <w:szCs w:val="32"/>
        </w:rPr>
        <w:t>负责理论学习、理论宣传工作；协调督查有关部门对文化市场进行管理；负责思想政治工作；负责党员教育，编写教材；负责对干部业务培训；负责扫黄打非工作的组织、协调、指导；负责承办区委交办的其他工作任务。加强精神文明建设。</w:t>
      </w:r>
    </w:p>
    <w:p>
      <w:pPr>
        <w:spacing w:line="570" w:lineRule="exact"/>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W w:w="13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824"/>
        <w:gridCol w:w="1620"/>
        <w:gridCol w:w="1650"/>
        <w:gridCol w:w="4050"/>
      </w:tblGrid>
      <w:tr>
        <w:trPr>
          <w:trHeight w:val="920"/>
          <w:tblHeader/>
        </w:trPr>
        <w:tc>
          <w:tcPr>
            <w:tcW w:w="5824"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b/>
                <w:szCs w:val="24"/>
              </w:rPr>
            </w:pPr>
            <w:bookmarkStart w:id="1" w:name="_Toc_3_3_0000000011"/>
            <w:r>
              <w:rPr>
                <w:rFonts w:eastAsia="方正书宋_GBK" w:hint="eastAsia"/>
                <w:b/>
                <w:szCs w:val="24"/>
              </w:rPr>
              <w:t>单位名称</w:t>
            </w:r>
          </w:p>
        </w:tc>
        <w:tc>
          <w:tcPr>
            <w:tcW w:w="162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b/>
                <w:szCs w:val="24"/>
              </w:rPr>
            </w:pPr>
            <w:r>
              <w:rPr>
                <w:rFonts w:eastAsia="方正书宋_GBK" w:hint="eastAsia"/>
                <w:b/>
                <w:szCs w:val="24"/>
              </w:rPr>
              <w:t>单位性质</w:t>
            </w:r>
          </w:p>
        </w:tc>
        <w:tc>
          <w:tcPr>
            <w:tcW w:w="165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b/>
                <w:szCs w:val="24"/>
              </w:rPr>
            </w:pPr>
            <w:r>
              <w:rPr>
                <w:rFonts w:eastAsia="方正书宋_GBK" w:hint="eastAsia"/>
                <w:b/>
                <w:szCs w:val="24"/>
              </w:rPr>
              <w:t>单位规格</w:t>
            </w:r>
          </w:p>
        </w:tc>
        <w:tc>
          <w:tcPr>
            <w:tcW w:w="405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b/>
                <w:szCs w:val="24"/>
              </w:rPr>
            </w:pPr>
            <w:r>
              <w:rPr>
                <w:rFonts w:eastAsia="方正书宋_GBK" w:hint="eastAsia"/>
                <w:b/>
                <w:szCs w:val="24"/>
              </w:rPr>
              <w:t>经费保障形式</w:t>
            </w:r>
          </w:p>
        </w:tc>
      </w:tr>
      <w:tr>
        <w:trPr>
          <w:trHeight w:val="622"/>
        </w:trPr>
        <w:tc>
          <w:tcPr>
            <w:tcW w:w="5824"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eastAsia="方正书宋_GBK"/>
                <w:szCs w:val="24"/>
              </w:rPr>
            </w:pPr>
            <w:r>
              <w:rPr>
                <w:rFonts w:ascii="方正书宋_GBK" w:eastAsia="方正书宋_GBK" w:hint="eastAsia"/>
              </w:rPr>
              <w:t>中国共产党唐山市丰南区委员会宣传部</w:t>
            </w:r>
          </w:p>
        </w:tc>
        <w:tc>
          <w:tcPr>
            <w:tcW w:w="162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行政</w:t>
            </w:r>
          </w:p>
        </w:tc>
        <w:tc>
          <w:tcPr>
            <w:tcW w:w="165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正科级</w:t>
            </w:r>
          </w:p>
        </w:tc>
        <w:tc>
          <w:tcPr>
            <w:tcW w:w="405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财政拨款</w:t>
            </w:r>
          </w:p>
        </w:tc>
      </w:tr>
      <w:tr>
        <w:trPr>
          <w:trHeight w:val="622"/>
        </w:trPr>
        <w:tc>
          <w:tcPr>
            <w:tcW w:w="5824"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left"/>
              <w:rPr>
                <w:rFonts w:eastAsia="方正书宋_GBK"/>
                <w:szCs w:val="24"/>
              </w:rPr>
            </w:pPr>
            <w:r>
              <w:rPr>
                <w:rFonts w:ascii="方正书宋_GBK" w:eastAsia="方正书宋_GBK" w:hint="eastAsia"/>
              </w:rPr>
              <w:t>唐山市丰南区精神文明建设委员会办公室</w:t>
            </w:r>
          </w:p>
        </w:tc>
        <w:tc>
          <w:tcPr>
            <w:tcW w:w="162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行政</w:t>
            </w:r>
          </w:p>
        </w:tc>
        <w:tc>
          <w:tcPr>
            <w:tcW w:w="1650" w:type="dxa"/>
            <w:tcBorders>
              <w:top w:val="single" w:sz="6" w:space="0" w:color="000000"/>
              <w:left w:val="single" w:sz="6" w:space="0" w:color="000000"/>
              <w:bottom w:val="single" w:sz="6" w:space="0" w:color="000000"/>
              <w:right w:val="single" w:sz="6" w:space="0" w:color="000000"/>
              <w:tl2br w:val="nil"/>
              <w:tr2bl w:val="nil"/>
            </w:tcBorders>
            <w:vAlign w:val="center"/>
          </w:tcPr>
          <w:p>
            <w:pPr>
              <w:spacing w:line="300" w:lineRule="exact"/>
              <w:jc w:val="center"/>
              <w:rPr>
                <w:rFonts w:eastAsia="方正书宋_GBK"/>
                <w:szCs w:val="24"/>
              </w:rPr>
            </w:pPr>
            <w:r>
              <w:rPr>
                <w:rFonts w:ascii="方正书宋_GBK" w:eastAsia="方正书宋_GBK" w:hint="eastAsia"/>
              </w:rPr>
              <w:t>正科级</w:t>
            </w:r>
          </w:p>
        </w:tc>
        <w:tc>
          <w:tcPr>
            <w:tcW w:w="4050" w:type="dxa"/>
            <w:tcBorders>
              <w:top w:val="single" w:sz="6" w:space="0" w:color="000000"/>
              <w:left w:val="single" w:sz="6" w:space="0" w:color="000000"/>
              <w:bottom w:val="single" w:sz="6" w:space="0" w:color="000000"/>
              <w:right w:val="single" w:sz="6" w:space="0" w:color="000000"/>
              <w:tl2br w:val="nil"/>
              <w:tr2bl w:val="nil"/>
            </w:tcBorders>
          </w:tcPr>
          <w:p>
            <w:pPr>
              <w:jc w:val="center"/>
            </w:pPr>
            <w:r>
              <w:rPr>
                <w:rFonts w:ascii="方正书宋_GBK" w:eastAsia="方正书宋_GBK" w:hint="eastAsia"/>
              </w:rPr>
              <w:t>财政拨款</w:t>
            </w:r>
          </w:p>
        </w:tc>
      </w:tr>
    </w:tbl>
    <w:p>
      <w:pPr>
        <w:spacing w:before="10" w:after="10" w:line="360" w:lineRule="auto"/>
        <w:ind w:firstLine="640"/>
        <w:outlineLvl w:val="2"/>
      </w:pPr>
      <w:r>
        <w:rPr>
          <w:rFonts w:ascii="黑体" w:eastAsia="黑体" w:cs="黑体" w:hAnsi="黑体"/>
          <w:color w:val="000000"/>
          <w:sz w:val="32"/>
        </w:rPr>
        <w:t>二、部门预算安排的总体情况</w:t>
      </w:r>
      <w:bookmarkEnd w:id="1"/>
    </w:p>
    <w:p>
      <w:pPr>
        <w:pStyle w:val="31"/>
      </w:pPr>
      <w:r>
        <w:t>按照预算管理有关规定，目前部门预算的编制实行综合预算管理，即全部收入和支出都反映在预算中。唐山市丰南</w:t>
      </w:r>
      <w:r>
        <w:rPr>
          <w:rFonts w:cs="宋体" w:hAnsi="Arial Unicode MS" w:hint="eastAsia"/>
        </w:rPr>
        <w:t>区委宣传部</w:t>
      </w:r>
      <w:r>
        <w:t>收支包含在部门预算中。</w:t>
      </w:r>
    </w:p>
    <w:p>
      <w:pPr>
        <w:pStyle w:val="31"/>
      </w:pPr>
      <w:r>
        <w:t>1、收入说明</w:t>
      </w:r>
    </w:p>
    <w:p>
      <w:pPr>
        <w:pStyle w:val="31"/>
      </w:pPr>
      <w:r>
        <w:t>反映本部门当年全部收入。</w:t>
      </w:r>
      <w:r>
        <w:rPr>
          <w:lang w:eastAsia="zh-CN"/>
        </w:rPr>
        <w:t>2016</w:t>
      </w:r>
      <w:r>
        <w:t>年预算收入593.68万元，其中：一般公共预算收入593.68万元，基金预算收入0万元，国有资本经营预算收入0万元，财政专户核拨收入0万元，单位资金收入0万元，上年结转结余0万元。</w:t>
      </w:r>
    </w:p>
    <w:p>
      <w:pPr>
        <w:pStyle w:val="31"/>
      </w:pPr>
      <w:r>
        <w:t>2、支出说明</w:t>
      </w:r>
    </w:p>
    <w:p>
      <w:pPr>
        <w:pStyle w:val="31"/>
        <w:ind w:firstLine="560"/>
      </w:pPr>
      <w:r>
        <w:t>收支预算总表支出栏、基本支出表、项目支出表按经济分类和支出功能分类科目编制，反映唐山市丰南区</w:t>
      </w:r>
      <w:r>
        <w:rPr>
          <w:rFonts w:cs="宋体" w:hAnsi="Arial Unicode MS" w:hint="eastAsia"/>
        </w:rPr>
        <w:t>委宣传部</w:t>
      </w:r>
      <w:r>
        <w:t>年度部门预算中支出预算的总体情况。</w:t>
      </w:r>
      <w:r>
        <w:rPr>
          <w:lang w:val="uk-UA"/>
        </w:rPr>
        <w:t>2016</w:t>
      </w:r>
      <w:r>
        <w:t>年支出预算593.68万元，其中基本支出358.54万元，包括人员经费342.04万元和日常公用经费16.5万元；项目支出235.14万元，主要为</w:t>
      </w:r>
      <w:r>
        <w:rPr>
          <w:rFonts w:hint="eastAsia"/>
        </w:rPr>
        <w:t>中心组学习经费</w:t>
      </w:r>
      <w:r>
        <w:t>、</w:t>
      </w:r>
      <w:r>
        <w:rPr>
          <w:rFonts w:hint="eastAsia"/>
        </w:rPr>
        <w:t>全区干部培训经费</w:t>
      </w:r>
      <w:r>
        <w:t>、</w:t>
      </w:r>
      <w:r>
        <w:rPr>
          <w:rFonts w:ascii="方正书宋_GBK" w:eastAsia="方正书宋_GBK" w:hint="eastAsia"/>
        </w:rPr>
        <w:t>在中央省市各大媒体宣传丰南经费</w:t>
      </w:r>
      <w:r>
        <w:t>等。</w:t>
      </w:r>
    </w:p>
    <w:p>
      <w:pPr>
        <w:spacing w:before="10" w:after="10" w:line="360" w:lineRule="auto"/>
        <w:ind w:firstLine="640"/>
        <w:outlineLvl w:val="2"/>
      </w:pPr>
      <w:bookmarkStart w:id="2" w:name="_Toc_3_3_0000000012"/>
      <w:r>
        <w:rPr>
          <w:rFonts w:ascii="黑体" w:eastAsia="黑体" w:cs="黑体" w:hAnsi="黑体"/>
          <w:color w:val="000000"/>
          <w:sz w:val="32"/>
        </w:rPr>
        <w:t>三、机关运行经费安排情况</w:t>
      </w:r>
      <w:bookmarkEnd w:id="2"/>
    </w:p>
    <w:p>
      <w:pPr>
        <w:pStyle w:val="32"/>
      </w:pPr>
      <w:r>
        <w:rPr>
          <w:lang w:eastAsia="zh-CN"/>
        </w:rPr>
        <w:t>2016</w:t>
      </w:r>
      <w:r>
        <w:t>年，我部门机关运行经费共计安排16.5万元，主要用于日常维修、办公用房水电费、办公用房取暖费、办公用房物业管理费等日常运行支出。</w:t>
      </w:r>
    </w:p>
    <w:p>
      <w:pPr>
        <w:spacing w:before="10" w:after="10" w:line="360" w:lineRule="auto"/>
        <w:ind w:firstLine="640"/>
        <w:outlineLvl w:val="2"/>
      </w:pPr>
      <w:bookmarkStart w:id="3" w:name="_Toc_3_3_0000000013"/>
      <w:r>
        <w:rPr>
          <w:rFonts w:ascii="黑体" w:eastAsia="黑体" w:cs="黑体" w:hAnsi="黑体"/>
          <w:color w:val="000000"/>
          <w:sz w:val="32"/>
        </w:rPr>
        <w:t>四、财政拨款“三公”经费预算情况及增减变化原因</w:t>
      </w:r>
      <w:bookmarkEnd w:id="3"/>
    </w:p>
    <w:p>
      <w:pPr>
        <w:pStyle w:val="38"/>
      </w:pPr>
      <w:bookmarkStart w:id="4" w:name="_Toc_3_3_0000000014"/>
      <w:r>
        <w:rPr>
          <w:lang w:eastAsia="zh-CN"/>
        </w:rPr>
        <w:t>2016</w:t>
      </w:r>
      <w:r>
        <w:t>年，我单位财政拨款“三公”经费预算安排18.9万元，其中因公出国（境）费0万元；公务用车购置及运维费18.3万元（其中：公务用车购置费为0万元，公务用车运维费18.3万元)；会议费0.6万元，公务接待费0万元。</w:t>
      </w:r>
    </w:p>
    <w:p>
      <w:pPr>
        <w:spacing w:before="10" w:after="10" w:line="360" w:lineRule="auto"/>
        <w:ind w:firstLine="640"/>
        <w:outlineLvl w:val="2"/>
        <w:rPr>
          <w:rStyle w:val="0"/>
          <w:rFonts w:ascii="黑体" w:eastAsia="黑体" w:cs="黑体" w:hAnsi="黑体"/>
          <w:color w:val="000000"/>
          <w:sz w:val="32"/>
        </w:rPr>
      </w:pPr>
      <w:bookmarkEnd w:id="4"/>
      <w:r>
        <w:rPr>
          <w:rStyle w:val="0"/>
          <w:rFonts w:ascii="黑体" w:eastAsia="黑体" w:cs="黑体" w:hAnsi="黑体" w:hint="eastAsia"/>
          <w:color w:val="000000"/>
          <w:sz w:val="32"/>
        </w:rPr>
        <w:t>五、绩效预算信息</w:t>
      </w:r>
    </w:p>
    <w:p>
      <w:pPr>
        <w:spacing w:line="500" w:lineRule="exact"/>
        <w:ind w:firstLine="560"/>
      </w:pPr>
      <w:r>
        <w:rPr>
          <w:rFonts w:eastAsia="方正仿宋_GBK"/>
          <w:color w:val="000000"/>
          <w:sz w:val="28"/>
        </w:rPr>
        <w:t>（一）总体绩效目标</w:t>
      </w:r>
    </w:p>
    <w:p>
      <w:pPr>
        <w:spacing w:line="500" w:lineRule="exact"/>
        <w:ind w:firstLine="560"/>
        <w:rPr>
          <w:rFonts w:ascii="方正仿宋_GBK" w:eastAsia="方正仿宋_GBK"/>
          <w:sz w:val="28"/>
        </w:rPr>
      </w:pPr>
      <w:bookmarkStart w:id="5" w:name="_Toc_3_3_0000000017"/>
      <w:r>
        <w:rPr>
          <w:rFonts w:ascii="方正仿宋_GBK" w:eastAsia="方正仿宋_GBK"/>
          <w:sz w:val="28"/>
        </w:rPr>
        <w:t>宣</w:t>
      </w:r>
      <w:r>
        <w:rPr>
          <w:rFonts w:ascii="方正仿宋_GBK" w:eastAsia="方正仿宋_GBK" w:cs="宋体" w:hAnsi="宋体" w:hint="eastAsia"/>
          <w:sz w:val="28"/>
        </w:rPr>
        <w:t>传</w:t>
      </w:r>
      <w:r>
        <w:rPr>
          <w:rFonts w:ascii="方正仿宋_GBK" w:eastAsia="方正仿宋_GBK" w:cs="Batang" w:hAnsi="Batang" w:hint="eastAsia"/>
          <w:sz w:val="28"/>
        </w:rPr>
        <w:t>部</w:t>
      </w:r>
      <w:r>
        <w:rPr>
          <w:rFonts w:ascii="方正仿宋_GBK" w:eastAsia="方正仿宋_GBK"/>
          <w:sz w:val="28"/>
        </w:rPr>
        <w:t>2016年度</w:t>
      </w:r>
      <w:r>
        <w:rPr>
          <w:rFonts w:ascii="方正仿宋_GBK" w:eastAsia="方正仿宋_GBK" w:cs="宋体" w:hAnsi="宋体" w:hint="eastAsia"/>
          <w:sz w:val="28"/>
        </w:rPr>
        <w:t>发</w:t>
      </w:r>
      <w:r>
        <w:rPr>
          <w:rFonts w:ascii="方正仿宋_GBK" w:eastAsia="方正仿宋_GBK" w:cs="Batang" w:hAnsi="Batang" w:hint="eastAsia"/>
          <w:sz w:val="28"/>
        </w:rPr>
        <w:t>展</w:t>
      </w:r>
      <w:r>
        <w:rPr>
          <w:rFonts w:ascii="方正仿宋_GBK" w:eastAsia="方正仿宋_GBK" w:cs="宋体" w:hAnsi="宋体" w:hint="eastAsia"/>
          <w:sz w:val="28"/>
        </w:rPr>
        <w:t>规划</w:t>
      </w:r>
      <w:r>
        <w:rPr>
          <w:rFonts w:ascii="方正仿宋_GBK" w:eastAsia="方正仿宋_GBK" w:cs="Batang" w:hAnsi="Batang" w:hint="eastAsia"/>
          <w:sz w:val="28"/>
        </w:rPr>
        <w:t>目</w:t>
      </w:r>
      <w:r>
        <w:rPr>
          <w:rFonts w:ascii="方正仿宋_GBK" w:eastAsia="方正仿宋_GBK" w:cs="宋体" w:hAnsi="宋体" w:hint="eastAsia"/>
          <w:sz w:val="28"/>
        </w:rPr>
        <w:t>标</w:t>
      </w:r>
    </w:p>
    <w:p>
      <w:pPr>
        <w:ind w:firstLine="560"/>
        <w:rPr>
          <w:rFonts w:ascii="方正仿宋_GBK" w:eastAsia="方正仿宋_GBK"/>
          <w:sz w:val="28"/>
        </w:rPr>
      </w:pPr>
      <w:r>
        <w:rPr>
          <w:rFonts w:ascii="方正仿宋_GBK" w:eastAsia="方正仿宋_GBK"/>
          <w:sz w:val="28"/>
        </w:rPr>
        <w:t xml:space="preserve">2016年，区委宣传部将重点做好以下工作：以习近平总书记系列重要讲话和党的十八届五中全会精神为指导，全面学习贯彻市委书记焦彦龙同志到我区调研重要讲话精神，凝聚全区上下力量，焕发干事创业激情，唱响实干兴区主旋律，争做干事创业排头兵，以奋发有为的精神状态，推动宣传思想文化各项工作任务的落实，为加快建设沿海经济强区、宜居和谐之区提供强大精神文化力量。 </w:t>
      </w:r>
    </w:p>
    <w:p>
      <w:pPr>
        <w:spacing w:line="500" w:lineRule="exact"/>
        <w:ind w:firstLine="560"/>
        <w:rPr>
          <w:rFonts w:eastAsia="方正仿宋_GBK" w:cs="仿宋" w:hAnsi="仿宋"/>
          <w:bCs/>
          <w:color w:val="000000"/>
          <w:sz w:val="28"/>
        </w:rPr>
      </w:pPr>
      <w:r>
        <w:rPr>
          <w:rFonts w:eastAsia="方正仿宋_GBK" w:cs="仿宋" w:hAnsi="仿宋" w:hint="eastAsia"/>
          <w:bCs/>
          <w:color w:val="000000"/>
          <w:sz w:val="28"/>
          <w:lang w:eastAsia="zh-CN"/>
        </w:rPr>
        <w:t>（二）</w:t>
      </w:r>
      <w:r>
        <w:rPr>
          <w:rFonts w:eastAsia="方正仿宋_GBK" w:cs="仿宋" w:hAnsi="仿宋" w:hint="eastAsia"/>
          <w:bCs/>
          <w:color w:val="000000"/>
          <w:sz w:val="28"/>
        </w:rPr>
        <w:t>实现年度发展规划目标的保障措施</w:t>
      </w:r>
    </w:p>
    <w:p>
      <w:pPr>
        <w:ind w:firstLine="560"/>
        <w:rPr>
          <w:rFonts w:ascii="方正仿宋_GBK" w:eastAsia="方正仿宋_GBK"/>
          <w:sz w:val="28"/>
        </w:rPr>
      </w:pPr>
      <w:r>
        <w:rPr>
          <w:rFonts w:ascii="方正仿宋_GBK" w:eastAsia="方正仿宋_GBK"/>
          <w:sz w:val="28"/>
        </w:rPr>
        <w:t>2016年，区委宣传部围绕年度发展规划目标，社强化管理，增强责任意识，采取有效措施，确保年度发展规划达到最高绩效水平。</w:t>
      </w:r>
    </w:p>
    <w:p>
      <w:pPr>
        <w:ind w:firstLine="560"/>
        <w:rPr>
          <w:rFonts w:ascii="方正仿宋_GBK" w:eastAsia="方正仿宋_GBK"/>
          <w:sz w:val="28"/>
        </w:rPr>
      </w:pPr>
      <w:r>
        <w:rPr>
          <w:rFonts w:ascii="方正仿宋_GBK" w:eastAsia="方正仿宋_GBK"/>
          <w:sz w:val="28"/>
        </w:rPr>
        <w:t xml:space="preserve">思想理论建设方面：一是深入推进学习型党组织建设。积极探索完善建设学习型党组织的方法途径，继续做好党员干部学习书目的推荐工作，积极发现总结宣传各类先进典型，广泛开展经验交流会、研讨会、中华经典诵读等学习活动，营造重视学习、崇尚学习的浓厚氛围。二是大力开展形势政策宣传教育活动。围绕党的十八届五中全会、中国梦、习近平系列重要讲话精神等重大专题，广泛组织开展理论宣讲、报告会等多种形式的宣传教育活动，把中央和省市委，特别是区委的声音传达到基层，让广大党员干部真正认识到建设“经济强区、美丽丰南”重要性和紧迫性，进一步增强责任感和使命感，进一步提高工作的积极性和主动性，自觉按照科学发展观要求投身到建设“经济强区、美丽丰南”的实践之中。三是建立和完善各种长效机制。进一步落实中心组学习制度，发挥各级中心组的带头作用，组织好理论学习，把各项要求落到实处。严格执行“月学习日制度”，做到时间落实、内容落实、人员落实，切实把广大党员干部组织起来。编印好中心组学习参考资料，并下发到各乡镇和区直各单位，以便更好的指导理论学习。建立理论学习考评机制，完善领导干部探索完善“学”、“述”、“考”“评”制度，增强理论学习的约束力。完善落实培训制度，切实组织好科级干部、理论骨干的学习培训。四是强化阵地建设。力争年内建立起较高标准的理论讲堂，为党员干部的学习培训提供扎实的基础保障。 </w:t>
      </w:r>
    </w:p>
    <w:p>
      <w:pPr>
        <w:ind w:firstLine="560"/>
        <w:rPr>
          <w:rFonts w:ascii="方正仿宋_GBK" w:eastAsia="方正仿宋_GBK"/>
          <w:sz w:val="28"/>
        </w:rPr>
      </w:pPr>
      <w:r>
        <w:rPr>
          <w:rFonts w:ascii="方正仿宋_GBK" w:eastAsia="方正仿宋_GBK"/>
          <w:sz w:val="28"/>
        </w:rPr>
        <w:t xml:space="preserve">新闻宣传方面：以党的十八届三中、四中、五中全会精神为指导，紧密围绕区委、区政府中心工作，深入研究、精心策划开展好学习贯彻习近平总书记系列讲话精神、项目建设、培育和践行社会主义核心价值观、防治大气污染、农村面貌改造提升等重大主题系列宣传。重点谋划好在国家、省、市媒体做好宣传丰南工作。 </w:t>
      </w:r>
    </w:p>
    <w:p>
      <w:pPr>
        <w:ind w:firstLine="560"/>
        <w:rPr>
          <w:rFonts w:ascii="方正仿宋_GBK" w:eastAsia="方正仿宋_GBK"/>
          <w:sz w:val="28"/>
        </w:rPr>
      </w:pPr>
      <w:r>
        <w:rPr>
          <w:rFonts w:ascii="方正仿宋_GBK" w:eastAsia="方正仿宋_GBK"/>
          <w:sz w:val="28"/>
        </w:rPr>
        <w:t xml:space="preserve">对外宣传方面：推进我区互联网信息办公室机构、编制、人员、资金、工作进一步落实到位，并结合实际，逐步探索互联网管理先进工作措施和方法，在此基础上，将互联网管理向乡镇（街道）延伸。继续组织好美丽丰南建设、经济转型升级、扩大开放招商、统筹城乡发展和改善生态环境、优化发展环境以及党的群众路线教育实践活动等一系列网上宣传战役；协调相关部门，持续开展净化网络环境行动，规范网上信息传播秩序，打击网络谣言，整治网上政治类有害信息、网络淫秽色情和低俗信息。组织系列主题对外宣传活动。整合我区外宣资源，积极配合中央、省驻唐记者站及市媒体记者工作，继续谋划实施好“群众路线教育实践活动在丰南”、“中国梦•赶考行”、“改善民生，让人民生活的更幸福”等系列主题对外宣传活动，宣传丰南全面深化改革，推动经济社会加快发展的新举措和新成效，不断集聚丰南转型发展正能量。 </w:t>
      </w:r>
    </w:p>
    <w:p>
      <w:pPr>
        <w:ind w:firstLine="560"/>
        <w:rPr>
          <w:rFonts w:ascii="方正仿宋_GBK" w:eastAsia="方正仿宋_GBK"/>
          <w:sz w:val="28"/>
        </w:rPr>
      </w:pPr>
      <w:r>
        <w:rPr>
          <w:rFonts w:ascii="方正仿宋_GBK" w:eastAsia="方正仿宋_GBK"/>
          <w:sz w:val="28"/>
        </w:rPr>
        <w:t xml:space="preserve">社会宣传方面：一是继续深入开展学习宣传党的“十八大”精神及十八届三中、四中、五中全会精神。二是继续积极开展培育和践行社会主义核心价值观宣传教育活动。三是深入开展爱国主义教育活动，充分发挥爱国教育基地的教育意义。四是继续深入开展扫黄打非和规范文化市场管理工作，促进全区文化大发展大繁荣。五是继续深入开展文化科技卫生“三下乡”活动。积极准备省级社会主义核心价值观示范县复检工作。 </w:t>
      </w:r>
    </w:p>
    <w:p>
      <w:pPr>
        <w:ind w:firstLine="560"/>
        <w:rPr>
          <w:rFonts w:ascii="方正仿宋_GBK" w:eastAsia="方正仿宋_GBK"/>
          <w:sz w:val="28"/>
        </w:rPr>
      </w:pPr>
      <w:r>
        <w:rPr>
          <w:rFonts w:ascii="方正仿宋_GBK" w:eastAsia="方正仿宋_GBK"/>
          <w:sz w:val="28"/>
        </w:rPr>
        <w:t xml:space="preserve">文化产业方面：一是夯实文化产业发展基础。对全区文化产业发展情况进行全面系统的摸底调研，加强文化产业发展推进管理相关工作人员的学习培训，发挥区级文化产业发展引导资金作用，加大对文化企业和项目的支持引导力度。二是以建设国家级文化产业示范园区为目标，推进唐津运文化产集聚区发展建设。提升丰南大剧院、唐人大舞台、运河唐人街一期等建成项目的运营管理水平。加快东方神龙乐园、银泉古玩珠宝商城、中国网络游戏发行基地、逸缘书画院等在建项目的建设进度。实施大招商战略，加强与京津等地的文化企业合作对接，利用参加深圳文博会、北京文博会等各种平台加大唐津运河文化产业集聚区的推介和招商工作力度。加快集约化、规模化发展步伐，以集聚区重点项目为依托，全力打造文化旅游、文化会展、演艺娱乐、工艺美术品生产销售等产业集群。依托现有文化资源优势，把孙氏银器、刘氏铁画、黄氏布浮雕等民间艺术品和民间工艺品推向市场，形成产业规模。同时深挖民间艺术资源，促进其传承发展。三是培育文化企业，激活文化产业发展主体。将银贝壳（唐山）科技有限公司、惠达纸业包装公司等带动示范作用强的文化企业列为重点培育对象，对其实施跟踪服务及时解决企业建设运营过程中遇到的问题。依托区职教中心，实施文化产业人才定制计划，聘请企业专业技术人员和讲师为学生进行文化产业方面的专门培训，为文化企业定向培养产业人才。四是创作文化精品，提升文化产业发展内生动力。依托文化馆、百花艺术团等专业团体和人才，努力在文学艺术、美术绘画、歌舞、声乐方面培植创造文化精品。充分发挥各类群众协会的作用，带动群众文化骨干，培植创造群众文化精品。努力深入挖掘保护我区非物质文化遗产，做好文物保护工作，立足实际推动丰南文化繁荣发展。积极筹备省文化产业十强县、唐津运河文化产业园复检验收工作。 </w:t>
      </w:r>
    </w:p>
    <w:p>
      <w:pPr>
        <w:ind w:firstLine="560"/>
        <w:rPr>
          <w:rFonts w:ascii="方正仿宋_GBK" w:eastAsia="方正仿宋_GBK"/>
          <w:sz w:val="28"/>
        </w:rPr>
      </w:pPr>
      <w:r>
        <w:rPr>
          <w:rFonts w:ascii="方正仿宋_GBK" w:eastAsia="方正仿宋_GBK"/>
          <w:sz w:val="28"/>
        </w:rPr>
        <w:t xml:space="preserve">精神文明建设方面：一是扎实推进文明城市建设。继续以城乡党政机关、“窗口”服务单位、学校、厂企、社区、农村及城区主次干道、公园、广场、建筑工地、沿街商业门店等部位为重点，组织开展城乡环境卫生集中整治活动。不断加强督导检查力度，采取正面宣传与反面曝光相结合的方法，大力营造全民参与创建氛围。二是大力推进志愿服务制度化。把城乡社区作为经常性志愿服务活动的主要场所，精心设计开展形式多样的志愿服务活动。完善志愿者队伍建设机制，健全招募注册和培训管理制度，引导和动员社区居民加入志愿者行列。加强对志愿者的教育培训和日常管理，不断提高志愿服务的能力和水平。推动企业、机关、学校、医院等志愿服务队进社区服务，引导公益慈善类、城乡社区服务类组织，到社区开展志愿服务。三是开展道德模范评选表彰活动。按照丰南区《关于推荐评选第四届道德模范的通知》要求，根据时间节点安排，对申报的道德模范候选人事迹进行审核，广泛征求社会意见，确定正式候选人，组织开展投票评选活动。对产生的丰南区第四届道德模范适时召开表彰大会予以表彰，弘扬先进事迹，营造社会氛围。四广泛开展“我们的节日”系列主题活动。认真组织开展元旦、春节等“我们的节日”主题活动，通过实践活动，进一步激发广大群众参与传统节庆活动的积极性和主动性，增强优秀传统文化的吸引力和感染力。 </w:t>
      </w:r>
    </w:p>
    <w:p>
      <w:pPr>
        <w:spacing w:line="500" w:lineRule="exact"/>
        <w:ind w:firstLine="560"/>
        <w:rPr>
          <w:rFonts w:ascii="方正仿宋_GBK" w:eastAsia="方正仿宋_GBK"/>
          <w:sz w:val="28"/>
        </w:rPr>
      </w:pPr>
    </w:p>
    <w:p>
      <w:pPr>
        <w:adjustRightInd w:val="0"/>
        <w:snapToGrid w:val="0"/>
        <w:spacing w:line="360" w:lineRule="auto"/>
        <w:ind w:firstLine="200"/>
        <w:rPr>
          <w:rFonts w:ascii="仿宋" w:eastAsia="仿宋" w:cs="仿宋" w:hAnsi="仿宋"/>
          <w:sz w:val="28"/>
          <w:szCs w:val="28"/>
        </w:rPr>
      </w:pPr>
    </w:p>
    <w:p>
      <w:pPr>
        <w:jc w:val="center"/>
        <w:outlineLvl w:val="0"/>
        <w:rPr>
          <w:rFonts w:ascii="方正小标宋_GBK" w:eastAsia="方正小标宋_GBK" w:hint="eastAsia"/>
          <w:sz w:val="32"/>
        </w:rPr>
      </w:pPr>
      <w:r>
        <w:rPr>
          <w:rFonts w:eastAsia="方正仿宋_GBK" w:hAnsi="楷体" w:hint="eastAsia"/>
          <w:color w:val="000000"/>
          <w:sz w:val="28"/>
        </w:rPr>
        <w:t>（三）部门职责及工作活动绩效目标指标</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rPr>
          <w:trHeight w:val="227"/>
          <w:tblHeader/>
        </w:trPr>
        <w:tc>
          <w:tcPr>
            <w:tcW w:w="13934" w:type="dxa"/>
            <w:gridSpan w:val="9"/>
            <w:tcBorders>
              <w:top w:val="single" w:sz="6" w:space="0" w:color="FFFFFF"/>
              <w:left w:val="single" w:sz="6" w:space="0" w:color="FFFFFF"/>
              <w:right w:val="single" w:sz="6" w:space="0" w:color="FFFFFF"/>
              <w:tl2br w:val="nil"/>
              <w:tr2bl w:val="nil"/>
            </w:tcBorders>
            <w:vAlign w:val="center"/>
          </w:tcPr>
          <w:p>
            <w:pPr>
              <w:spacing w:line="300" w:lineRule="exact"/>
              <w:jc w:val="left"/>
              <w:rPr>
                <w:rFonts w:ascii="方正小标宋_GBK" w:eastAsia="方正小标宋_GBK"/>
                <w:sz w:val="24"/>
              </w:rPr>
            </w:pPr>
            <w:r>
              <w:rPr>
                <w:rFonts w:ascii="方正小标宋_GBK" w:eastAsia="方正小标宋_GBK"/>
                <w:sz w:val="24"/>
              </w:rPr>
              <w:t>321</w:t>
            </w:r>
            <w:r>
              <w:rPr>
                <w:rFonts w:ascii="方正小标宋_GBK" w:eastAsia="方正小标宋_GBK" w:hint="eastAsia"/>
                <w:sz w:val="24"/>
              </w:rPr>
              <w:t>区委宣传部</w:t>
            </w:r>
          </w:p>
        </w:tc>
      </w:tr>
      <w:tr>
        <w:trPr>
          <w:trHeight w:val="227"/>
          <w:tblHeader/>
        </w:trPr>
        <w:tc>
          <w:tcPr>
            <w:tcW w:w="2341"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评价标准</w:t>
            </w:r>
          </w:p>
        </w:tc>
      </w:tr>
      <w:tr>
        <w:trPr>
          <w:trHeight w:val="227"/>
          <w:tblHeader/>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vMerge/>
            <w:tcBorders>
              <w:tl2br w:val="nil"/>
              <w:tr2bl w:val="nil"/>
            </w:tcBorders>
            <w:vAlign w:val="center"/>
          </w:tcPr>
          <w:p/>
        </w:tc>
        <w:tc>
          <w:tcPr>
            <w:tcW w:w="73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优</w:t>
            </w:r>
          </w:p>
        </w:tc>
        <w:tc>
          <w:tcPr>
            <w:tcW w:w="73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良</w:t>
            </w:r>
          </w:p>
        </w:tc>
        <w:tc>
          <w:tcPr>
            <w:tcW w:w="73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中</w:t>
            </w:r>
          </w:p>
        </w:tc>
        <w:tc>
          <w:tcPr>
            <w:tcW w:w="73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差</w:t>
            </w:r>
          </w:p>
        </w:tc>
      </w:tr>
      <w:tr>
        <w:trPr>
          <w:trHeight w:val="227"/>
        </w:trPr>
        <w:tc>
          <w:tcPr>
            <w:tcW w:w="2341" w:type="dxa"/>
            <w:tcBorders>
              <w:tl2br w:val="nil"/>
              <w:tr2bl w:val="nil"/>
            </w:tcBorders>
            <w:vAlign w:val="center"/>
          </w:tcPr>
          <w:p>
            <w:pPr>
              <w:spacing w:line="300" w:lineRule="exact"/>
              <w:jc w:val="left"/>
              <w:rPr>
                <w:rFonts w:ascii="方正书宋_GBK" w:eastAsia="方正书宋_GBK"/>
                <w:b/>
              </w:rPr>
            </w:pPr>
            <w:r>
              <w:rPr>
                <w:rFonts w:ascii="方正书宋_GBK" w:eastAsia="方正书宋_GBK" w:hint="eastAsia"/>
                <w:b/>
              </w:rPr>
              <w:t>宣传思想文化工作</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235.14</w:t>
            </w:r>
          </w:p>
        </w:tc>
        <w:tc>
          <w:tcPr>
            <w:tcW w:w="29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负责理论学习、理论宣传工作；协调督查有关部门对文化市场进行管理；负责思想政治工作；负责党员教育，编写教材；负责对干部业务培训；负责扫黄打非工作的组织、协调、指导；负责承办区委交办的其他工作任务。</w:t>
            </w:r>
          </w:p>
        </w:tc>
        <w:tc>
          <w:tcPr>
            <w:tcW w:w="29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牢牢掌握意识形态工作领导权、管理权、话语权，弘扬主旋律，汇聚正能量，为经济社会发展提供有力的思想保证、精神动力、舆论支持。进一步解放和发展文化生产力，推动全区文化事业和文化产业健康发展。</w:t>
            </w:r>
          </w:p>
        </w:tc>
        <w:tc>
          <w:tcPr>
            <w:tcW w:w="1417" w:type="dxa"/>
            <w:tcBorders>
              <w:tl2br w:val="nil"/>
              <w:tr2bl w:val="nil"/>
            </w:tcBorders>
            <w:vAlign w:val="center"/>
          </w:tcPr>
          <w:p>
            <w:pPr>
              <w:spacing w:line="300" w:lineRule="exact"/>
              <w:jc w:val="left"/>
              <w:rPr>
                <w:rFonts w:ascii="方正书宋_GBK" w:eastAsia="方正书宋_GBK"/>
              </w:rPr>
            </w:pPr>
          </w:p>
        </w:tc>
        <w:tc>
          <w:tcPr>
            <w:tcW w:w="737" w:type="dxa"/>
            <w:tcBorders>
              <w:tl2br w:val="nil"/>
              <w:tr2bl w:val="nil"/>
            </w:tcBorders>
            <w:vAlign w:val="center"/>
          </w:tcPr>
          <w:p>
            <w:pPr>
              <w:spacing w:line="300" w:lineRule="exact"/>
              <w:jc w:val="center"/>
              <w:rPr>
                <w:rFonts w:ascii="方正书宋_GBK" w:eastAsia="方正书宋_GBK"/>
              </w:rPr>
            </w:pPr>
          </w:p>
        </w:tc>
        <w:tc>
          <w:tcPr>
            <w:tcW w:w="737" w:type="dxa"/>
            <w:tcBorders>
              <w:tl2br w:val="nil"/>
              <w:tr2bl w:val="nil"/>
            </w:tcBorders>
            <w:vAlign w:val="center"/>
          </w:tcPr>
          <w:p>
            <w:pPr>
              <w:spacing w:line="300" w:lineRule="exact"/>
              <w:jc w:val="center"/>
              <w:rPr>
                <w:rFonts w:ascii="方正书宋_GBK" w:eastAsia="方正书宋_GBK"/>
              </w:rPr>
            </w:pPr>
          </w:p>
        </w:tc>
        <w:tc>
          <w:tcPr>
            <w:tcW w:w="737" w:type="dxa"/>
            <w:tcBorders>
              <w:tl2br w:val="nil"/>
              <w:tr2bl w:val="nil"/>
            </w:tcBorders>
            <w:vAlign w:val="center"/>
          </w:tcPr>
          <w:p>
            <w:pPr>
              <w:spacing w:line="300" w:lineRule="exact"/>
              <w:jc w:val="center"/>
              <w:rPr>
                <w:rFonts w:ascii="方正书宋_GBK" w:eastAsia="方正书宋_GBK"/>
              </w:rPr>
            </w:pPr>
          </w:p>
        </w:tc>
        <w:tc>
          <w:tcPr>
            <w:tcW w:w="737" w:type="dxa"/>
            <w:tcBorders>
              <w:tl2br w:val="nil"/>
              <w:tr2bl w:val="nil"/>
            </w:tcBorders>
            <w:vAlign w:val="center"/>
          </w:tcPr>
          <w:p>
            <w:pPr>
              <w:spacing w:line="300" w:lineRule="exact"/>
              <w:jc w:val="center"/>
              <w:rPr>
                <w:rFonts w:ascii="方正书宋_GBK" w:eastAsia="方正书宋_GBK"/>
              </w:rPr>
            </w:pPr>
          </w:p>
        </w:tc>
      </w:tr>
      <w:tr>
        <w:trPr>
          <w:trHeight w:val="227"/>
        </w:trPr>
        <w:tc>
          <w:tcPr>
            <w:tcW w:w="2341" w:type="dxa"/>
            <w:vMerge w:val="restart"/>
            <w:tcBorders>
              <w:tl2br w:val="nil"/>
              <w:tr2bl w:val="nil"/>
            </w:tcBorders>
            <w:vAlign w:val="center"/>
          </w:tcPr>
          <w:p>
            <w:pPr>
              <w:spacing w:line="300" w:lineRule="exact"/>
              <w:jc w:val="left"/>
              <w:rPr>
                <w:rFonts w:ascii="方正书宋_GBK" w:eastAsia="方正书宋_GBK" w:hint="eastAsia"/>
                <w:b/>
              </w:rPr>
            </w:pPr>
            <w:r>
              <w:rPr>
                <w:rFonts w:ascii="方正书宋_GBK" w:eastAsia="方正书宋_GBK" w:hint="eastAsia"/>
                <w:b/>
              </w:rPr>
              <w:t>　　思想理论建设</w:t>
            </w:r>
          </w:p>
        </w:tc>
        <w:tc>
          <w:tcPr>
            <w:tcW w:w="1276" w:type="dxa"/>
            <w:vMerge w:val="restart"/>
            <w:tcBorders>
              <w:tl2br w:val="nil"/>
              <w:tr2bl w:val="nil"/>
            </w:tcBorders>
            <w:vAlign w:val="center"/>
          </w:tcPr>
          <w:p>
            <w:pPr>
              <w:spacing w:line="300" w:lineRule="exact"/>
              <w:jc w:val="left"/>
              <w:rPr>
                <w:rFonts w:ascii="方正书宋_GBK" w:eastAsia="方正书宋_GBK"/>
              </w:rPr>
            </w:pPr>
            <w:r>
              <w:rPr>
                <w:rFonts w:ascii="方正书宋_GBK" w:eastAsia="方正书宋_GBK"/>
              </w:rPr>
              <w:t>35.00</w:t>
            </w:r>
          </w:p>
        </w:tc>
        <w:tc>
          <w:tcPr>
            <w:tcW w:w="2976" w:type="dxa"/>
            <w:vMerge w:val="restart"/>
            <w:tcBorders>
              <w:tl2br w:val="nil"/>
              <w:tr2bl w:val="nil"/>
            </w:tcBorders>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负责全区理论学习、理论研究、理论宣传工作；组织区级理论中心组的理论学习，指导乡级理论中心组学习；负责全区党员干部教育培训工作，搞好基层党教阵地的规范化建设；负责政工职称评审工作。</w:t>
            </w:r>
          </w:p>
        </w:tc>
        <w:tc>
          <w:tcPr>
            <w:tcW w:w="2976" w:type="dxa"/>
            <w:vMerge w:val="restart"/>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提升理论研究水平，为全区经济社会发展提供理论支持；提高干部群众运用科学理论解决实际问题能力；增强广大干部群众理论自信、道路自信、制度自信，不断巩固全区人民团结奋斗的共同思想基础。</w:t>
            </w:r>
          </w:p>
        </w:tc>
        <w:tc>
          <w:tcPr>
            <w:tcW w:w="141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培训、督导的次数</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每年</w:t>
            </w:r>
            <w:r>
              <w:rPr>
                <w:rFonts w:ascii="方正书宋_GBK" w:eastAsia="方正书宋_GBK"/>
              </w:rPr>
              <w:t>12</w:t>
            </w:r>
            <w:r>
              <w:rPr>
                <w:rFonts w:ascii="方正书宋_GBK" w:eastAsia="方正书宋_GBK" w:hint="eastAsia"/>
              </w:rPr>
              <w:t>次以上</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每年</w:t>
            </w:r>
            <w:r>
              <w:rPr>
                <w:rFonts w:ascii="方正书宋_GBK" w:eastAsia="方正书宋_GBK"/>
              </w:rPr>
              <w:t>8</w:t>
            </w:r>
            <w:r>
              <w:rPr>
                <w:rFonts w:ascii="方正书宋_GBK" w:eastAsia="方正书宋_GBK" w:hint="eastAsia"/>
              </w:rPr>
              <w:t>至</w:t>
            </w:r>
            <w:r>
              <w:rPr>
                <w:rFonts w:ascii="方正书宋_GBK" w:eastAsia="方正书宋_GBK"/>
              </w:rPr>
              <w:t>12</w:t>
            </w:r>
            <w:r>
              <w:rPr>
                <w:rFonts w:ascii="方正书宋_GBK" w:eastAsia="方正书宋_GBK" w:hint="eastAsia"/>
              </w:rPr>
              <w:t>次</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每年</w:t>
            </w:r>
            <w:r>
              <w:rPr>
                <w:rFonts w:ascii="方正书宋_GBK" w:eastAsia="方正书宋_GBK"/>
              </w:rPr>
              <w:t>4</w:t>
            </w:r>
            <w:r>
              <w:rPr>
                <w:rFonts w:ascii="方正书宋_GBK" w:eastAsia="方正书宋_GBK" w:hint="eastAsia"/>
              </w:rPr>
              <w:t>至</w:t>
            </w:r>
            <w:r>
              <w:rPr>
                <w:rFonts w:ascii="方正书宋_GBK" w:eastAsia="方正书宋_GBK"/>
              </w:rPr>
              <w:t>8</w:t>
            </w:r>
            <w:r>
              <w:rPr>
                <w:rFonts w:ascii="方正书宋_GBK" w:eastAsia="方正书宋_GBK" w:hint="eastAsia"/>
              </w:rPr>
              <w:t>次</w:t>
            </w:r>
          </w:p>
        </w:tc>
        <w:tc>
          <w:tcPr>
            <w:tcW w:w="737" w:type="dxa"/>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每年</w:t>
            </w:r>
            <w:r>
              <w:rPr>
                <w:rFonts w:ascii="方正书宋_GBK" w:eastAsia="方正书宋_GBK"/>
              </w:rPr>
              <w:t>4</w:t>
            </w:r>
            <w:r>
              <w:rPr>
                <w:rFonts w:ascii="方正书宋_GBK" w:eastAsia="方正书宋_GBK" w:hint="eastAsia"/>
              </w:rPr>
              <w:t>次以下</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 xml:space="preserve"> </w:t>
            </w:r>
            <w:r>
              <w:rPr>
                <w:rFonts w:ascii="方正书宋_GBK" w:eastAsia="方正书宋_GBK" w:hint="eastAsia"/>
              </w:rPr>
              <w:t>中心组学习的次数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12</w:t>
            </w:r>
            <w:r>
              <w:rPr>
                <w:rFonts w:ascii="方正书宋_GBK" w:eastAsia="方正书宋_GBK" w:hint="eastAsia"/>
              </w:rPr>
              <w:t>次以上</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8</w:t>
            </w:r>
            <w:r>
              <w:rPr>
                <w:rFonts w:ascii="方正书宋_GBK" w:eastAsia="方正书宋_GBK" w:hint="eastAsia"/>
              </w:rPr>
              <w:t>至</w:t>
            </w:r>
            <w:r>
              <w:rPr>
                <w:rFonts w:ascii="方正书宋_GBK" w:eastAsia="方正书宋_GBK"/>
              </w:rPr>
              <w:t>12</w:t>
            </w:r>
            <w:r>
              <w:rPr>
                <w:rFonts w:ascii="方正书宋_GBK" w:eastAsia="方正书宋_GBK" w:hint="eastAsia"/>
              </w:rPr>
              <w:t>次</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4</w:t>
            </w:r>
            <w:r>
              <w:rPr>
                <w:rFonts w:ascii="方正书宋_GBK" w:eastAsia="方正书宋_GBK" w:hint="eastAsia"/>
              </w:rPr>
              <w:t>至</w:t>
            </w:r>
            <w:r>
              <w:rPr>
                <w:rFonts w:ascii="方正书宋_GBK" w:eastAsia="方正书宋_GBK"/>
              </w:rPr>
              <w:t>8</w:t>
            </w:r>
            <w:r>
              <w:rPr>
                <w:rFonts w:ascii="方正书宋_GBK" w:eastAsia="方正书宋_GBK" w:hint="eastAsia"/>
              </w:rPr>
              <w:t>次</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4</w:t>
            </w:r>
            <w:r>
              <w:rPr>
                <w:rFonts w:ascii="方正书宋_GBK" w:eastAsia="方正书宋_GBK" w:hint="eastAsia"/>
              </w:rPr>
              <w:t>次以下</w:t>
            </w:r>
          </w:p>
        </w:tc>
      </w:tr>
      <w:tr>
        <w:trPr>
          <w:trHeight w:val="227"/>
        </w:trPr>
        <w:tc>
          <w:tcPr>
            <w:tcW w:w="2341" w:type="dxa"/>
            <w:vMerge w:val="restart"/>
            <w:tcBorders>
              <w:tl2br w:val="nil"/>
              <w:tr2bl w:val="nil"/>
            </w:tcBorders>
            <w:vAlign w:val="center"/>
          </w:tcPr>
          <w:p>
            <w:pPr>
              <w:spacing w:line="300" w:lineRule="exact"/>
              <w:jc w:val="left"/>
              <w:rPr>
                <w:rFonts w:ascii="方正书宋_GBK" w:eastAsia="方正书宋_GBK" w:hint="eastAsia"/>
                <w:b/>
              </w:rPr>
            </w:pPr>
            <w:r>
              <w:rPr>
                <w:rFonts w:ascii="方正书宋_GBK" w:eastAsia="方正书宋_GBK" w:hint="eastAsia"/>
                <w:b/>
              </w:rPr>
              <w:t>　　思想政治工作</w:t>
            </w:r>
          </w:p>
        </w:tc>
        <w:tc>
          <w:tcPr>
            <w:tcW w:w="1276" w:type="dxa"/>
            <w:vMerge w:val="restart"/>
            <w:tcBorders>
              <w:tl2br w:val="nil"/>
              <w:tr2bl w:val="nil"/>
            </w:tcBorders>
            <w:vAlign w:val="center"/>
          </w:tcPr>
          <w:p>
            <w:pPr>
              <w:spacing w:line="300" w:lineRule="exact"/>
              <w:jc w:val="left"/>
              <w:rPr>
                <w:rFonts w:ascii="方正书宋_GBK" w:eastAsia="方正书宋_GBK"/>
              </w:rPr>
            </w:pPr>
            <w:r>
              <w:rPr>
                <w:rFonts w:ascii="方正书宋_GBK" w:eastAsia="方正书宋_GBK"/>
              </w:rPr>
              <w:t>90.00</w:t>
            </w:r>
          </w:p>
        </w:tc>
        <w:tc>
          <w:tcPr>
            <w:tcW w:w="2976" w:type="dxa"/>
            <w:vMerge w:val="restart"/>
            <w:tcBorders>
              <w:tl2br w:val="nil"/>
              <w:tr2bl w:val="nil"/>
            </w:tcBorders>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部署思想政治工作任务，践行社会主义核心价值观，负责全区社会宣传各项活动，区委区政府中心工作及重大会议等社会宣传活动和思想教育活动；负责扫黄打非工作的组织、协调、指导；组织全区重点党报党刊征订工作。</w:t>
            </w:r>
          </w:p>
        </w:tc>
        <w:tc>
          <w:tcPr>
            <w:tcW w:w="2976" w:type="dxa"/>
            <w:vMerge w:val="restart"/>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 xml:space="preserve">    </w:t>
            </w:r>
            <w:r>
              <w:rPr>
                <w:rFonts w:ascii="方正书宋_GBK" w:eastAsia="方正书宋_GBK" w:hint="eastAsia"/>
              </w:rPr>
              <w:t>推进各项社会宣传活动，完成思想政治工作重大任务；推进社会主义核心价值观落地生根；各大媒体报道丰南反响强烈，党报党刊征订工作任务圆满完成。</w:t>
            </w:r>
          </w:p>
        </w:tc>
        <w:tc>
          <w:tcPr>
            <w:tcW w:w="141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报道次数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报道</w:t>
            </w:r>
            <w:r>
              <w:rPr>
                <w:rFonts w:ascii="方正书宋_GBK" w:eastAsia="方正书宋_GBK"/>
              </w:rPr>
              <w:t>60</w:t>
            </w:r>
            <w:r>
              <w:rPr>
                <w:rFonts w:ascii="方正书宋_GBK" w:eastAsia="方正书宋_GBK" w:hint="eastAsia"/>
              </w:rPr>
              <w:t>次以上</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报道</w:t>
            </w:r>
            <w:r>
              <w:rPr>
                <w:rFonts w:ascii="方正书宋_GBK" w:eastAsia="方正书宋_GBK"/>
              </w:rPr>
              <w:t>50</w:t>
            </w:r>
            <w:r>
              <w:rPr>
                <w:rFonts w:ascii="方正书宋_GBK" w:eastAsia="方正书宋_GBK" w:hint="eastAsia"/>
              </w:rPr>
              <w:t>至</w:t>
            </w:r>
            <w:r>
              <w:rPr>
                <w:rFonts w:ascii="方正书宋_GBK" w:eastAsia="方正书宋_GBK"/>
              </w:rPr>
              <w:t>60</w:t>
            </w:r>
            <w:r>
              <w:rPr>
                <w:rFonts w:ascii="方正书宋_GBK" w:eastAsia="方正书宋_GBK" w:hint="eastAsia"/>
              </w:rPr>
              <w:t>次以上</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报道</w:t>
            </w:r>
            <w:r>
              <w:rPr>
                <w:rFonts w:ascii="方正书宋_GBK" w:eastAsia="方正书宋_GBK"/>
              </w:rPr>
              <w:t>40</w:t>
            </w:r>
            <w:r>
              <w:rPr>
                <w:rFonts w:ascii="方正书宋_GBK" w:eastAsia="方正书宋_GBK" w:hint="eastAsia"/>
              </w:rPr>
              <w:t>至</w:t>
            </w:r>
            <w:r>
              <w:rPr>
                <w:rFonts w:ascii="方正书宋_GBK" w:eastAsia="方正书宋_GBK"/>
              </w:rPr>
              <w:t>50</w:t>
            </w:r>
            <w:r>
              <w:rPr>
                <w:rFonts w:ascii="方正书宋_GBK" w:eastAsia="方正书宋_GBK" w:hint="eastAsia"/>
              </w:rPr>
              <w:t>次以上</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报道</w:t>
            </w:r>
            <w:r>
              <w:rPr>
                <w:rFonts w:ascii="方正书宋_GBK" w:eastAsia="方正书宋_GBK"/>
              </w:rPr>
              <w:t>40</w:t>
            </w:r>
            <w:r>
              <w:rPr>
                <w:rFonts w:ascii="方正书宋_GBK" w:eastAsia="方正书宋_GBK" w:hint="eastAsia"/>
              </w:rPr>
              <w:t>次以下</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党报党刊征订数量</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数量达到上级要求的</w:t>
            </w:r>
            <w:r>
              <w:rPr>
                <w:rFonts w:ascii="方正书宋_GBK" w:eastAsia="方正书宋_GBK"/>
              </w:rPr>
              <w:t>100%</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数量达到上级要求的</w:t>
            </w:r>
            <w:r>
              <w:rPr>
                <w:rFonts w:ascii="方正书宋_GBK" w:eastAsia="方正书宋_GBK"/>
              </w:rPr>
              <w:t>90%</w:t>
            </w:r>
            <w:r>
              <w:rPr>
                <w:rFonts w:ascii="方正书宋_GBK" w:eastAsia="方正书宋_GBK" w:hint="eastAsia"/>
              </w:rPr>
              <w:t>以上</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数量达到上级要求的</w:t>
            </w:r>
            <w:r>
              <w:rPr>
                <w:rFonts w:ascii="方正书宋_GBK" w:eastAsia="方正书宋_GBK"/>
              </w:rPr>
              <w:t>80%</w:t>
            </w:r>
            <w:r>
              <w:rPr>
                <w:rFonts w:ascii="方正书宋_GBK" w:eastAsia="方正书宋_GBK" w:hint="eastAsia"/>
              </w:rPr>
              <w:t>以上</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数量达到上级要求的</w:t>
            </w:r>
            <w:r>
              <w:rPr>
                <w:rFonts w:ascii="方正书宋_GBK" w:eastAsia="方正书宋_GBK"/>
              </w:rPr>
              <w:t>80%</w:t>
            </w:r>
            <w:r>
              <w:rPr>
                <w:rFonts w:ascii="方正书宋_GBK" w:eastAsia="方正书宋_GBK" w:hint="eastAsia"/>
              </w:rPr>
              <w:t>及以下</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 xml:space="preserve"> </w:t>
            </w:r>
            <w:r>
              <w:rPr>
                <w:rFonts w:ascii="方正书宋_GBK" w:eastAsia="方正书宋_GBK" w:hint="eastAsia"/>
              </w:rPr>
              <w:t>社会宣传活动的次数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8</w:t>
            </w:r>
            <w:r>
              <w:rPr>
                <w:rFonts w:ascii="方正书宋_GBK" w:eastAsia="方正书宋_GBK" w:hint="eastAsia"/>
              </w:rPr>
              <w:t>次以上</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6</w:t>
            </w:r>
            <w:r>
              <w:rPr>
                <w:rFonts w:ascii="方正书宋_GBK" w:eastAsia="方正书宋_GBK" w:hint="eastAsia"/>
              </w:rPr>
              <w:t>至</w:t>
            </w:r>
            <w:r>
              <w:rPr>
                <w:rFonts w:ascii="方正书宋_GBK" w:eastAsia="方正书宋_GBK"/>
              </w:rPr>
              <w:t>8</w:t>
            </w:r>
            <w:r>
              <w:rPr>
                <w:rFonts w:ascii="方正书宋_GBK" w:eastAsia="方正书宋_GBK" w:hint="eastAsia"/>
              </w:rPr>
              <w:t>次</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3</w:t>
            </w:r>
            <w:r>
              <w:rPr>
                <w:rFonts w:ascii="方正书宋_GBK" w:eastAsia="方正书宋_GBK" w:hint="eastAsia"/>
              </w:rPr>
              <w:t>至</w:t>
            </w:r>
            <w:r>
              <w:rPr>
                <w:rFonts w:ascii="方正书宋_GBK" w:eastAsia="方正书宋_GBK"/>
              </w:rPr>
              <w:t>6</w:t>
            </w:r>
            <w:r>
              <w:rPr>
                <w:rFonts w:ascii="方正书宋_GBK" w:eastAsia="方正书宋_GBK" w:hint="eastAsia"/>
              </w:rPr>
              <w:t>次</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3</w:t>
            </w:r>
            <w:r>
              <w:rPr>
                <w:rFonts w:ascii="方正书宋_GBK" w:eastAsia="方正书宋_GBK" w:hint="eastAsia"/>
              </w:rPr>
              <w:t>次以下</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活动的次数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4</w:t>
            </w:r>
            <w:r>
              <w:rPr>
                <w:rFonts w:ascii="方正书宋_GBK" w:eastAsia="方正书宋_GBK" w:hint="eastAsia"/>
              </w:rPr>
              <w:t>次以上</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3</w:t>
            </w:r>
            <w:r>
              <w:rPr>
                <w:rFonts w:ascii="方正书宋_GBK" w:eastAsia="方正书宋_GBK" w:hint="eastAsia"/>
              </w:rPr>
              <w:t>次</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2</w:t>
            </w:r>
            <w:r>
              <w:rPr>
                <w:rFonts w:ascii="方正书宋_GBK" w:eastAsia="方正书宋_GBK" w:hint="eastAsia"/>
              </w:rPr>
              <w:t>次</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2</w:t>
            </w:r>
            <w:r>
              <w:rPr>
                <w:rFonts w:ascii="方正书宋_GBK" w:eastAsia="方正书宋_GBK" w:hint="eastAsia"/>
              </w:rPr>
              <w:t>次以下</w:t>
            </w:r>
          </w:p>
        </w:tc>
      </w:tr>
      <w:tr>
        <w:trPr>
          <w:trHeight w:val="227"/>
        </w:trPr>
        <w:tc>
          <w:tcPr>
            <w:tcW w:w="2341" w:type="dxa"/>
            <w:tcBorders>
              <w:tl2br w:val="nil"/>
              <w:tr2bl w:val="nil"/>
            </w:tcBorders>
            <w:vAlign w:val="center"/>
          </w:tcPr>
          <w:p>
            <w:pPr>
              <w:spacing w:line="300" w:lineRule="exact"/>
              <w:jc w:val="left"/>
              <w:rPr>
                <w:rFonts w:ascii="方正书宋_GBK" w:eastAsia="方正书宋_GBK" w:hint="eastAsia"/>
                <w:b/>
              </w:rPr>
            </w:pPr>
            <w:r>
              <w:rPr>
                <w:rFonts w:ascii="方正书宋_GBK" w:eastAsia="方正书宋_GBK" w:hint="eastAsia"/>
                <w:b/>
              </w:rPr>
              <w:t>　　推动文化发展</w:t>
            </w:r>
          </w:p>
        </w:tc>
        <w:tc>
          <w:tcPr>
            <w:tcW w:w="1276" w:type="dxa"/>
            <w:tcBorders>
              <w:tl2br w:val="nil"/>
              <w:tr2bl w:val="nil"/>
            </w:tcBorders>
            <w:vAlign w:val="center"/>
          </w:tcPr>
          <w:p>
            <w:pPr>
              <w:spacing w:line="300" w:lineRule="exact"/>
              <w:jc w:val="left"/>
              <w:rPr>
                <w:rFonts w:ascii="方正书宋_GBK" w:eastAsia="方正书宋_GBK"/>
              </w:rPr>
            </w:pPr>
          </w:p>
        </w:tc>
        <w:tc>
          <w:tcPr>
            <w:tcW w:w="29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协调督导全区文化事业发展；负责督导全区文化产业项目建设与发展；组织协调全区文化事业体制改革与发展。</w:t>
            </w:r>
          </w:p>
        </w:tc>
        <w:tc>
          <w:tcPr>
            <w:tcW w:w="29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推动全区文化事业繁荣，推进文化产业持续健康发展，在全国文化产业博览会推广丰南文化产业项目。</w:t>
            </w: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文化产业项目个数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参加全国性文化产业推介活动</w:t>
            </w:r>
            <w:r>
              <w:rPr>
                <w:rFonts w:ascii="方正书宋_GBK" w:eastAsia="方正书宋_GBK"/>
              </w:rPr>
              <w:t>1</w:t>
            </w:r>
            <w:r>
              <w:rPr>
                <w:rFonts w:ascii="方正书宋_GBK" w:eastAsia="方正书宋_GBK" w:hint="eastAsia"/>
              </w:rPr>
              <w:t>次以上，并至少推广丰南文化产业项目</w:t>
            </w:r>
            <w:r>
              <w:rPr>
                <w:rFonts w:ascii="方正书宋_GBK" w:eastAsia="方正书宋_GBK"/>
              </w:rPr>
              <w:t>1</w:t>
            </w:r>
            <w:r>
              <w:rPr>
                <w:rFonts w:ascii="方正书宋_GBK" w:eastAsia="方正书宋_GBK" w:hint="eastAsia"/>
              </w:rPr>
              <w:t>个以上。</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参加全国性文化产业推介活动</w:t>
            </w:r>
            <w:r>
              <w:rPr>
                <w:rFonts w:ascii="方正书宋_GBK" w:eastAsia="方正书宋_GBK"/>
              </w:rPr>
              <w:t>1</w:t>
            </w:r>
            <w:r>
              <w:rPr>
                <w:rFonts w:ascii="方正书宋_GBK" w:eastAsia="方正书宋_GBK" w:hint="eastAsia"/>
              </w:rPr>
              <w:t>次，并至少推广丰南文化产业项目</w:t>
            </w:r>
            <w:r>
              <w:rPr>
                <w:rFonts w:ascii="方正书宋_GBK" w:eastAsia="方正书宋_GBK"/>
              </w:rPr>
              <w:t>1</w:t>
            </w:r>
            <w:r>
              <w:rPr>
                <w:rFonts w:ascii="方正书宋_GBK" w:eastAsia="方正书宋_GBK" w:hint="eastAsia"/>
              </w:rPr>
              <w:t>个。</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参加全国性文化产业推介活动</w:t>
            </w:r>
            <w:r>
              <w:rPr>
                <w:rFonts w:ascii="方正书宋_GBK" w:eastAsia="方正书宋_GBK"/>
              </w:rPr>
              <w:t>1</w:t>
            </w:r>
            <w:r>
              <w:rPr>
                <w:rFonts w:ascii="方正书宋_GBK" w:eastAsia="方正书宋_GBK" w:hint="eastAsia"/>
              </w:rPr>
              <w:t>次。</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全年没有参加全国性文化产业推介活动，也没有推广丰南文化产业项目。</w:t>
            </w:r>
          </w:p>
        </w:tc>
      </w:tr>
      <w:tr>
        <w:trPr>
          <w:trHeight w:val="227"/>
        </w:trPr>
        <w:tc>
          <w:tcPr>
            <w:tcW w:w="2341" w:type="dxa"/>
            <w:vMerge w:val="restart"/>
            <w:tcBorders>
              <w:tl2br w:val="nil"/>
              <w:tr2bl w:val="nil"/>
            </w:tcBorders>
            <w:vAlign w:val="center"/>
          </w:tcPr>
          <w:p>
            <w:pPr>
              <w:spacing w:line="300" w:lineRule="exact"/>
              <w:jc w:val="left"/>
              <w:rPr>
                <w:rFonts w:ascii="方正书宋_GBK" w:eastAsia="方正书宋_GBK" w:hint="eastAsia"/>
                <w:b/>
              </w:rPr>
            </w:pPr>
            <w:r>
              <w:rPr>
                <w:rFonts w:ascii="方正书宋_GBK" w:eastAsia="方正书宋_GBK" w:hint="eastAsia"/>
                <w:b/>
              </w:rPr>
              <w:t>　　精神文明建设</w:t>
            </w:r>
          </w:p>
        </w:tc>
        <w:tc>
          <w:tcPr>
            <w:tcW w:w="1276" w:type="dxa"/>
            <w:vMerge w:val="restart"/>
            <w:tcBorders>
              <w:tl2br w:val="nil"/>
              <w:tr2bl w:val="nil"/>
            </w:tcBorders>
            <w:vAlign w:val="center"/>
          </w:tcPr>
          <w:p>
            <w:pPr>
              <w:spacing w:line="300" w:lineRule="exact"/>
              <w:jc w:val="left"/>
              <w:rPr>
                <w:rFonts w:ascii="方正书宋_GBK" w:eastAsia="方正书宋_GBK"/>
              </w:rPr>
            </w:pPr>
            <w:r>
              <w:rPr>
                <w:rFonts w:ascii="方正书宋_GBK" w:eastAsia="方正书宋_GBK"/>
              </w:rPr>
              <w:t>110.14</w:t>
            </w:r>
          </w:p>
        </w:tc>
        <w:tc>
          <w:tcPr>
            <w:tcW w:w="2976" w:type="dxa"/>
            <w:vMerge w:val="restart"/>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部署精神文明创建工作，组织指导全区群众性精神文明创建活动。</w:t>
            </w:r>
          </w:p>
        </w:tc>
        <w:tc>
          <w:tcPr>
            <w:tcW w:w="2976" w:type="dxa"/>
            <w:vMerge w:val="restart"/>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全区城乡文明程度显著提升，和谐向善的社会风气逐步形成。</w:t>
            </w: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全民素质培育活动的次数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12</w:t>
            </w:r>
            <w:r>
              <w:rPr>
                <w:rFonts w:ascii="方正书宋_GBK" w:eastAsia="方正书宋_GBK" w:hint="eastAsia"/>
              </w:rPr>
              <w:t>次以上</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10</w:t>
            </w:r>
            <w:r>
              <w:rPr>
                <w:rFonts w:ascii="方正书宋_GBK" w:eastAsia="方正书宋_GBK" w:hint="eastAsia"/>
              </w:rPr>
              <w:t>至</w:t>
            </w:r>
            <w:r>
              <w:rPr>
                <w:rFonts w:ascii="方正书宋_GBK" w:eastAsia="方正书宋_GBK"/>
              </w:rPr>
              <w:t>8</w:t>
            </w:r>
            <w:r>
              <w:rPr>
                <w:rFonts w:ascii="方正书宋_GBK" w:eastAsia="方正书宋_GBK" w:hint="eastAsia"/>
              </w:rPr>
              <w:t>次</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8</w:t>
            </w:r>
            <w:r>
              <w:rPr>
                <w:rFonts w:ascii="方正书宋_GBK" w:eastAsia="方正书宋_GBK" w:hint="eastAsia"/>
              </w:rPr>
              <w:t>至</w:t>
            </w:r>
            <w:r>
              <w:rPr>
                <w:rFonts w:ascii="方正书宋_GBK" w:eastAsia="方正书宋_GBK"/>
              </w:rPr>
              <w:t>6</w:t>
            </w:r>
            <w:r>
              <w:rPr>
                <w:rFonts w:ascii="方正书宋_GBK" w:eastAsia="方正书宋_GBK" w:hint="eastAsia"/>
              </w:rPr>
              <w:t>次</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6</w:t>
            </w:r>
            <w:r>
              <w:rPr>
                <w:rFonts w:ascii="方正书宋_GBK" w:eastAsia="方正书宋_GBK" w:hint="eastAsia"/>
              </w:rPr>
              <w:t>次以下</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公民道德教育活动的次数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12</w:t>
            </w:r>
            <w:r>
              <w:rPr>
                <w:rFonts w:ascii="方正书宋_GBK" w:eastAsia="方正书宋_GBK" w:hint="eastAsia"/>
              </w:rPr>
              <w:t>次以上</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10</w:t>
            </w:r>
            <w:r>
              <w:rPr>
                <w:rFonts w:ascii="方正书宋_GBK" w:eastAsia="方正书宋_GBK" w:hint="eastAsia"/>
              </w:rPr>
              <w:t>至</w:t>
            </w:r>
            <w:r>
              <w:rPr>
                <w:rFonts w:ascii="方正书宋_GBK" w:eastAsia="方正书宋_GBK"/>
              </w:rPr>
              <w:t>8</w:t>
            </w:r>
            <w:r>
              <w:rPr>
                <w:rFonts w:ascii="方正书宋_GBK" w:eastAsia="方正书宋_GBK" w:hint="eastAsia"/>
              </w:rPr>
              <w:t>次</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8</w:t>
            </w:r>
            <w:r>
              <w:rPr>
                <w:rFonts w:ascii="方正书宋_GBK" w:eastAsia="方正书宋_GBK" w:hint="eastAsia"/>
              </w:rPr>
              <w:t>至</w:t>
            </w:r>
            <w:r>
              <w:rPr>
                <w:rFonts w:ascii="方正书宋_GBK" w:eastAsia="方正书宋_GBK"/>
              </w:rPr>
              <w:t>6</w:t>
            </w:r>
            <w:r>
              <w:rPr>
                <w:rFonts w:ascii="方正书宋_GBK" w:eastAsia="方正书宋_GBK" w:hint="eastAsia"/>
              </w:rPr>
              <w:t>次</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6</w:t>
            </w:r>
            <w:r>
              <w:rPr>
                <w:rFonts w:ascii="方正书宋_GBK" w:eastAsia="方正书宋_GBK" w:hint="eastAsia"/>
              </w:rPr>
              <w:t>次以下</w:t>
            </w:r>
          </w:p>
        </w:tc>
      </w:tr>
      <w:tr>
        <w:trPr>
          <w:trHeight w:val="227"/>
        </w:trPr>
        <w:tc>
          <w:tcPr>
            <w:tcW w:w="2341" w:type="dxa"/>
            <w:vMerge/>
            <w:tcBorders>
              <w:tl2br w:val="nil"/>
              <w:tr2bl w:val="nil"/>
            </w:tcBorders>
            <w:vAlign w:val="center"/>
          </w:tcPr>
          <w:p/>
        </w:tc>
        <w:tc>
          <w:tcPr>
            <w:tcW w:w="1276" w:type="dxa"/>
            <w:vMerge/>
            <w:tcBorders>
              <w:tl2br w:val="nil"/>
              <w:tr2bl w:val="nil"/>
            </w:tcBorders>
            <w:vAlign w:val="center"/>
          </w:tcPr>
          <w:p/>
        </w:tc>
        <w:tc>
          <w:tcPr>
            <w:tcW w:w="2976" w:type="dxa"/>
            <w:vMerge/>
            <w:tcBorders>
              <w:tl2br w:val="nil"/>
              <w:tr2bl w:val="nil"/>
            </w:tcBorders>
            <w:vAlign w:val="center"/>
          </w:tcPr>
          <w:p/>
        </w:tc>
        <w:tc>
          <w:tcPr>
            <w:tcW w:w="2976" w:type="dxa"/>
            <w:vMerge/>
            <w:tcBorders>
              <w:tl2br w:val="nil"/>
              <w:tr2bl w:val="nil"/>
            </w:tcBorders>
            <w:vAlign w:val="center"/>
          </w:tcPr>
          <w:p/>
        </w:tc>
        <w:tc>
          <w:tcPr>
            <w:tcW w:w="141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文明城市创建活动的次数</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8</w:t>
            </w:r>
            <w:r>
              <w:rPr>
                <w:rFonts w:ascii="方正书宋_GBK" w:eastAsia="方正书宋_GBK" w:hint="eastAsia"/>
              </w:rPr>
              <w:t>次以上</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8</w:t>
            </w:r>
            <w:r>
              <w:rPr>
                <w:rFonts w:ascii="方正书宋_GBK" w:eastAsia="方正书宋_GBK" w:hint="eastAsia"/>
              </w:rPr>
              <w:t>至</w:t>
            </w:r>
            <w:r>
              <w:rPr>
                <w:rFonts w:ascii="方正书宋_GBK" w:eastAsia="方正书宋_GBK"/>
              </w:rPr>
              <w:t>6</w:t>
            </w:r>
            <w:r>
              <w:rPr>
                <w:rFonts w:ascii="方正书宋_GBK" w:eastAsia="方正书宋_GBK" w:hint="eastAsia"/>
              </w:rPr>
              <w:t>次</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6</w:t>
            </w:r>
            <w:r>
              <w:rPr>
                <w:rFonts w:ascii="方正书宋_GBK" w:eastAsia="方正书宋_GBK" w:hint="eastAsia"/>
              </w:rPr>
              <w:t>至</w:t>
            </w:r>
            <w:r>
              <w:rPr>
                <w:rFonts w:ascii="方正书宋_GBK" w:eastAsia="方正书宋_GBK"/>
              </w:rPr>
              <w:t>4</w:t>
            </w:r>
            <w:r>
              <w:rPr>
                <w:rFonts w:ascii="方正书宋_GBK" w:eastAsia="方正书宋_GBK" w:hint="eastAsia"/>
              </w:rPr>
              <w:t>次</w:t>
            </w:r>
          </w:p>
        </w:tc>
        <w:tc>
          <w:tcPr>
            <w:tcW w:w="737"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每年</w:t>
            </w:r>
            <w:r>
              <w:rPr>
                <w:rFonts w:ascii="方正书宋_GBK" w:eastAsia="方正书宋_GBK"/>
              </w:rPr>
              <w:t>4</w:t>
            </w:r>
            <w:r>
              <w:rPr>
                <w:rFonts w:ascii="方正书宋_GBK" w:eastAsia="方正书宋_GBK" w:hint="eastAsia"/>
              </w:rPr>
              <w:t>次以下</w:t>
            </w:r>
          </w:p>
        </w:tc>
      </w:tr>
    </w:tbl>
    <w:p>
      <w:pPr>
        <w:spacing w:line="300" w:lineRule="exact"/>
        <w:jc w:val="left"/>
        <w:outlineLvl w:val="0"/>
        <w:sectPr>
          <w:footerReference w:type="default" r:id="rId2"/>
          <w:footerReference w:type="even" r:id="rId3"/>
          <w:pgSz w:w="16839" w:h="11907" w:orient="landscape"/>
          <w:pgMar w:top="1020" w:right="1361" w:bottom="1020" w:left="1361" w:header="851" w:footer="992" w:gutter="0"/>
          <w:pgNumType/>
          <w:docGrid w:type="lines" w:linePitch="312" w:charSpace="0"/>
        </w:sectPr>
      </w:pPr>
    </w:p>
    <w:p>
      <w:pPr>
        <w:spacing w:before="10" w:after="10"/>
        <w:ind w:firstLine="640"/>
        <w:outlineLvl w:val="2"/>
        <w:rPr>
          <w:rFonts w:ascii="方正小标宋_GBK" w:eastAsia="方正小标宋_GBK"/>
          <w:sz w:val="24"/>
        </w:rPr>
      </w:pPr>
    </w:p>
    <w:p>
      <w:pPr>
        <w:spacing w:before="10" w:after="10"/>
        <w:ind w:firstLine="640"/>
        <w:outlineLvl w:val="2"/>
        <w:rPr>
          <w:rFonts w:ascii="方正小标宋_GBK" w:eastAsia="方正小标宋_GBK"/>
          <w:sz w:val="24"/>
        </w:rPr>
      </w:pPr>
    </w:p>
    <w:p>
      <w:pPr>
        <w:spacing w:before="10" w:after="10"/>
        <w:ind w:firstLine="640"/>
        <w:outlineLvl w:val="2"/>
      </w:pPr>
      <w:r>
        <w:rPr>
          <w:rFonts w:ascii="黑体" w:eastAsia="黑体" w:cs="黑体" w:hAnsi="黑体"/>
          <w:sz w:val="32"/>
        </w:rPr>
        <w:t>六、政府采购预算情况</w:t>
      </w:r>
      <w:bookmarkEnd w:id="5"/>
    </w:p>
    <w:p>
      <w:pPr>
        <w:spacing w:before="10" w:after="10"/>
        <w:ind w:firstLine="640"/>
        <w:outlineLvl w:val="2"/>
        <w:rPr>
          <w:rFonts w:ascii="方正小标宋_GBK" w:eastAsia="方正小标宋_GBK" w:hint="eastAsia"/>
          <w:color w:val="000000"/>
          <w:sz w:val="36"/>
          <w:lang w:eastAsia="zh-CN"/>
        </w:rPr>
      </w:pPr>
    </w:p>
    <w:p>
      <w:pPr>
        <w:jc w:val="center"/>
        <w:rPr>
          <w:rFonts w:ascii="Times New Roman" w:hAnsi="宋体"/>
          <w:color w:val="000000"/>
          <w:sz w:val="36"/>
        </w:rPr>
      </w:pPr>
      <w:r>
        <w:rPr>
          <w:rFonts w:ascii="方正小标宋_GBK" w:eastAsia="方正小标宋_GBK" w:hint="eastAsia"/>
          <w:color w:val="000000"/>
          <w:sz w:val="36"/>
          <w:lang w:eastAsia="zh-CN"/>
        </w:rPr>
        <w:t>单位</w:t>
      </w:r>
      <w:r>
        <w:rPr>
          <w:rFonts w:ascii="方正小标宋_GBK" w:eastAsia="方正小标宋_GBK" w:hint="eastAsia"/>
          <w:color w:val="000000"/>
          <w:sz w:val="36"/>
        </w:rPr>
        <w:t>政府采购预算</w:t>
      </w:r>
    </w:p>
    <w:tbl>
      <w:tblPr>
        <w:jc w:val="center"/>
        <w:tblW w:w="15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rPr>
          <w:cantSplit/>
          <w:trHeight w:val="369"/>
          <w:tblHeader/>
        </w:trPr>
        <w:tc>
          <w:tcPr>
            <w:tcW w:w="8703" w:type="dxa"/>
            <w:gridSpan w:val="7"/>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hint="eastAsia"/>
                <w:color w:val="FF0000"/>
                <w:sz w:val="24"/>
                <w:lang w:eastAsia="zh-CN"/>
              </w:rPr>
            </w:pPr>
            <w:r>
              <w:rPr>
                <w:rFonts w:ascii="方正小标宋_GBK" w:eastAsia="方正小标宋_GBK" w:hint="eastAsia"/>
                <w:color w:val="auto"/>
                <w:sz w:val="24"/>
                <w:lang w:val="en-US" w:eastAsia="zh-CN"/>
              </w:rPr>
              <w:t>321001</w:t>
            </w:r>
            <w:r>
              <w:rPr>
                <w:rFonts w:ascii="方正小标宋_GBK" w:eastAsia="方正小标宋_GBK" w:hint="eastAsia"/>
                <w:color w:val="auto"/>
                <w:sz w:val="24"/>
              </w:rPr>
              <w:t>中国共产党唐山市丰南区委员会宣传部</w:t>
            </w:r>
            <w:r>
              <w:rPr>
                <w:rFonts w:ascii="方正小标宋_GBK" w:eastAsia="方正小标宋_GBK" w:hint="eastAsia"/>
                <w:color w:val="auto"/>
                <w:sz w:val="24"/>
                <w:lang w:eastAsia="zh-CN"/>
              </w:rPr>
              <w:t>本级</w:t>
            </w:r>
          </w:p>
        </w:tc>
        <w:tc>
          <w:tcPr>
            <w:tcW w:w="6804" w:type="dxa"/>
            <w:gridSpan w:val="6"/>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单位：万元</w:t>
            </w:r>
          </w:p>
        </w:tc>
      </w:tr>
      <w:tr>
        <w:trPr>
          <w:cantSplit/>
          <w:trHeight w:val="369"/>
          <w:tblHeader/>
        </w:trPr>
        <w:tc>
          <w:tcPr>
            <w:tcW w:w="3118" w:type="dxa"/>
            <w:gridSpan w:val="2"/>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政府采购项目来源</w:t>
            </w:r>
          </w:p>
        </w:tc>
        <w:tc>
          <w:tcPr>
            <w:tcW w:w="1531"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采购物品名称</w:t>
            </w:r>
          </w:p>
        </w:tc>
        <w:tc>
          <w:tcPr>
            <w:tcW w:w="1531"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政府采购目录序号</w:t>
            </w:r>
          </w:p>
        </w:tc>
        <w:tc>
          <w:tcPr>
            <w:tcW w:w="709"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计量单位</w:t>
            </w:r>
          </w:p>
        </w:tc>
        <w:tc>
          <w:tcPr>
            <w:tcW w:w="907"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907" w:type="dxa"/>
            <w:vMerge w:val="restart"/>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单价</w:t>
            </w:r>
          </w:p>
        </w:tc>
        <w:tc>
          <w:tcPr>
            <w:tcW w:w="6804" w:type="dxa"/>
            <w:gridSpan w:val="6"/>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政府采购金额（当年部门预算安排资金）</w:t>
            </w:r>
          </w:p>
        </w:tc>
      </w:tr>
      <w:tr>
        <w:trPr>
          <w:cantSplit/>
          <w:trHeight w:val="369"/>
          <w:tblHeader/>
        </w:trPr>
        <w:tc>
          <w:tcPr>
            <w:tcW w:w="198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项目名称</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预算资金</w:t>
            </w:r>
          </w:p>
        </w:tc>
        <w:tc>
          <w:tcPr>
            <w:tcW w:w="1531" w:type="dxa"/>
            <w:vMerge/>
            <w:tcBorders>
              <w:top w:val="single" w:sz="6" w:space="0" w:color="000000"/>
              <w:left w:val="single" w:sz="6" w:space="0" w:color="000000"/>
              <w:right w:val="single" w:sz="6" w:space="0" w:color="000000"/>
            </w:tcBorders>
            <w:shd w:val="clear" w:color="auto" w:fill="auto"/>
            <w:vAlign w:val="center"/>
          </w:tcPr>
          <w:p/>
        </w:tc>
        <w:tc>
          <w:tcPr>
            <w:tcW w:w="1531" w:type="dxa"/>
            <w:vMerge/>
            <w:tcBorders>
              <w:top w:val="single" w:sz="6" w:space="0" w:color="000000"/>
              <w:left w:val="single" w:sz="6" w:space="0" w:color="000000"/>
              <w:right w:val="single" w:sz="6" w:space="0" w:color="000000"/>
            </w:tcBorders>
            <w:shd w:val="clear" w:color="auto" w:fill="auto"/>
            <w:vAlign w:val="center"/>
          </w:tcPr>
          <w:p/>
        </w:tc>
        <w:tc>
          <w:tcPr>
            <w:tcW w:w="709" w:type="dxa"/>
            <w:vMerge/>
            <w:tcBorders>
              <w:top w:val="single" w:sz="6" w:space="0" w:color="000000"/>
              <w:left w:val="single" w:sz="6" w:space="0" w:color="000000"/>
              <w:right w:val="single" w:sz="6" w:space="0" w:color="000000"/>
            </w:tcBorders>
            <w:shd w:val="clear" w:color="auto" w:fill="auto"/>
            <w:vAlign w:val="center"/>
          </w:tcPr>
          <w:p/>
        </w:tc>
        <w:tc>
          <w:tcPr>
            <w:tcW w:w="907" w:type="dxa"/>
            <w:vMerge/>
            <w:tcBorders>
              <w:top w:val="single" w:sz="6" w:space="0" w:color="000000"/>
              <w:left w:val="single" w:sz="6" w:space="0" w:color="000000"/>
              <w:right w:val="single" w:sz="6" w:space="0" w:color="000000"/>
            </w:tcBorders>
            <w:shd w:val="clear" w:color="auto" w:fill="auto"/>
            <w:vAlign w:val="center"/>
          </w:tcPr>
          <w:p/>
        </w:tc>
        <w:tc>
          <w:tcPr>
            <w:tcW w:w="907" w:type="dxa"/>
            <w:vMerge/>
            <w:tcBorders>
              <w:top w:val="single" w:sz="6" w:space="0" w:color="000000"/>
              <w:left w:val="single" w:sz="6" w:space="0" w:color="000000"/>
              <w:right w:val="single" w:sz="6" w:space="0" w:color="000000"/>
            </w:tcBorders>
            <w:shd w:val="clear" w:color="auto" w:fill="auto"/>
            <w:vAlign w:val="center"/>
          </w:tc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合计</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一般公共预算拨款</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基金预算拨款</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国有资本经营预算拨款</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财政专户核拨</w:t>
            </w: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单位资金</w:t>
            </w:r>
          </w:p>
        </w:tc>
      </w:tr>
      <w:tr>
        <w:trPr>
          <w:cantSplit/>
          <w:trHeight w:val="369"/>
        </w:trPr>
        <w:tc>
          <w:tcPr>
            <w:tcW w:w="198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b/>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b/>
                <w:color w:val="000000"/>
              </w:rPr>
            </w:pPr>
          </w:p>
        </w:tc>
        <w:tc>
          <w:tcPr>
            <w:tcW w:w="709"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r>
      <w:tr>
        <w:trPr>
          <w:cantSplit/>
          <w:trHeight w:val="369"/>
        </w:trPr>
        <w:tc>
          <w:tcPr>
            <w:tcW w:w="1984"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b/>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b/>
                <w:color w:val="000000"/>
              </w:rPr>
            </w:pPr>
          </w:p>
        </w:tc>
        <w:tc>
          <w:tcPr>
            <w:tcW w:w="709"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b/>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b/>
                <w:color w:val="000000"/>
              </w:rPr>
            </w:pPr>
          </w:p>
        </w:tc>
      </w:tr>
      <w:tr>
        <w:trPr>
          <w:cantSplit/>
          <w:trHeight w:val="369"/>
        </w:trPr>
        <w:tc>
          <w:tcPr>
            <w:tcW w:w="1984"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709"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r>
      <w:tr>
        <w:trPr>
          <w:cantSplit/>
          <w:trHeight w:val="369"/>
        </w:trPr>
        <w:tc>
          <w:tcPr>
            <w:tcW w:w="1984"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1531" w:type="dxa"/>
            <w:tcBorders>
              <w:top w:val="single" w:sz="6" w:space="0" w:color="000000"/>
              <w:left w:val="single" w:sz="6" w:space="0" w:color="000000"/>
              <w:right w:val="single" w:sz="6" w:space="0" w:color="000000"/>
            </w:tcBorders>
            <w:shd w:val="clear" w:color="auto" w:fill="auto"/>
            <w:vAlign w:val="center"/>
          </w:tcPr>
          <w:p>
            <w:pPr>
              <w:spacing w:line="300" w:lineRule="exact"/>
              <w:jc w:val="left"/>
              <w:rPr>
                <w:rFonts w:ascii="方正书宋_GBK" w:eastAsia="方正书宋_GBK"/>
                <w:color w:val="000000"/>
              </w:rPr>
            </w:pPr>
          </w:p>
        </w:tc>
        <w:tc>
          <w:tcPr>
            <w:tcW w:w="709" w:type="dxa"/>
            <w:tcBorders>
              <w:top w:val="single" w:sz="6" w:space="0" w:color="000000"/>
              <w:left w:val="single" w:sz="6" w:space="0" w:color="000000"/>
              <w:right w:val="single" w:sz="6" w:space="0" w:color="000000"/>
            </w:tcBorders>
            <w:shd w:val="clear" w:color="auto" w:fill="auto"/>
            <w:vAlign w:val="center"/>
          </w:tcPr>
          <w:p>
            <w:pPr>
              <w:spacing w:line="300" w:lineRule="exact"/>
              <w:jc w:val="center"/>
              <w:rPr>
                <w:rFonts w:ascii="方正书宋_GBK" w:eastAsia="方正书宋_GBK"/>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907"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c>
          <w:tcPr>
            <w:tcW w:w="1134" w:type="dxa"/>
            <w:tcBorders>
              <w:top w:val="single" w:sz="6" w:space="0" w:color="000000"/>
              <w:left w:val="single" w:sz="6" w:space="0" w:color="000000"/>
              <w:right w:val="single" w:sz="6" w:space="0" w:color="000000"/>
            </w:tcBorders>
            <w:shd w:val="clear" w:color="auto" w:fill="auto"/>
            <w:vAlign w:val="center"/>
          </w:tcPr>
          <w:p>
            <w:pPr>
              <w:spacing w:line="300" w:lineRule="exact"/>
              <w:jc w:val="right"/>
              <w:rPr>
                <w:rFonts w:ascii="方正书宋_GBK" w:eastAsia="方正书宋_GBK"/>
                <w:color w:val="000000"/>
              </w:rPr>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hAnsi="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6" w:name="_Toc_3_3_0000000018"/>
      <w:r>
        <w:rPr>
          <w:rFonts w:ascii="黑体" w:eastAsia="黑体" w:cs="黑体" w:hAnsi="黑体"/>
          <w:color w:val="000000"/>
          <w:sz w:val="32"/>
        </w:rPr>
        <w:t>七、国有资产信息</w:t>
      </w:r>
      <w:bookmarkEnd w:id="6"/>
    </w:p>
    <w:p>
      <w:pPr>
        <w:adjustRightInd w:val="0"/>
        <w:snapToGrid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我单位201</w:t>
      </w:r>
      <w:r>
        <w:rPr>
          <w:rFonts w:ascii="仿宋_GB2312" w:eastAsia="仿宋_GB2312" w:hAnsi="仿宋"/>
          <w:sz w:val="32"/>
          <w:szCs w:val="32"/>
        </w:rPr>
        <w:t>5</w:t>
      </w:r>
      <w:r>
        <w:rPr>
          <w:rFonts w:ascii="仿宋_GB2312" w:eastAsia="仿宋_GB2312" w:hAnsi="仿宋" w:hint="eastAsia"/>
          <w:sz w:val="32"/>
          <w:szCs w:val="32"/>
        </w:rPr>
        <w:t>年底固定资产</w:t>
      </w:r>
      <w:r>
        <w:rPr>
          <w:rFonts w:ascii="仿宋_GB2312" w:eastAsia="仿宋_GB2312" w:hAnsi="仿宋"/>
          <w:sz w:val="32"/>
          <w:szCs w:val="32"/>
        </w:rPr>
        <w:t>184.72</w:t>
      </w:r>
      <w:r>
        <w:rPr>
          <w:rFonts w:ascii="仿宋_GB2312" w:eastAsia="仿宋_GB2312" w:hAnsi="仿宋" w:hint="eastAsia"/>
          <w:sz w:val="32"/>
          <w:szCs w:val="32"/>
        </w:rPr>
        <w:t>万元，其中其中公务用车8辆，价值</w:t>
      </w:r>
      <w:r>
        <w:rPr>
          <w:rFonts w:ascii="仿宋_GB2312" w:eastAsia="仿宋_GB2312" w:hAnsi="仿宋"/>
          <w:sz w:val="32"/>
          <w:szCs w:val="32"/>
        </w:rPr>
        <w:t>82</w:t>
      </w:r>
      <w:r>
        <w:rPr>
          <w:rFonts w:ascii="仿宋_GB2312" w:eastAsia="仿宋_GB2312" w:hAnsi="仿宋" w:hint="eastAsia"/>
          <w:sz w:val="32"/>
          <w:szCs w:val="32"/>
        </w:rPr>
        <w:t>.</w:t>
      </w:r>
      <w:r>
        <w:rPr>
          <w:rFonts w:ascii="仿宋_GB2312" w:eastAsia="仿宋_GB2312" w:hAnsi="仿宋"/>
          <w:sz w:val="32"/>
          <w:szCs w:val="32"/>
        </w:rPr>
        <w:t>53</w:t>
      </w:r>
      <w:r>
        <w:rPr>
          <w:rFonts w:ascii="仿宋_GB2312" w:eastAsia="仿宋_GB2312" w:hAnsi="仿宋" w:hint="eastAsia"/>
          <w:sz w:val="32"/>
          <w:szCs w:val="32"/>
        </w:rPr>
        <w:t>万元；其他固定资产</w:t>
      </w:r>
      <w:r>
        <w:rPr>
          <w:rFonts w:ascii="仿宋_GB2312" w:eastAsia="仿宋_GB2312" w:hAnsi="仿宋"/>
          <w:sz w:val="32"/>
          <w:szCs w:val="32"/>
        </w:rPr>
        <w:t>102.19</w:t>
      </w:r>
      <w:r>
        <w:rPr>
          <w:rFonts w:ascii="仿宋_GB2312" w:eastAsia="仿宋_GB2312" w:hAnsi="仿宋" w:hint="eastAsia"/>
          <w:sz w:val="32"/>
          <w:szCs w:val="32"/>
        </w:rPr>
        <w:t>万元，已按要求列入政府采购预算，详见政府采购预算表。</w:t>
      </w:r>
    </w:p>
    <w:tbl>
      <w:tblPr>
        <w:jc w:val="left"/>
        <w:tblInd w:w="93" w:type="dxa"/>
        <w:tblW w:w="1347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020"/>
        <w:gridCol w:w="1830"/>
        <w:gridCol w:w="8625"/>
      </w:tblGrid>
      <w:tr>
        <w:trPr>
          <w:trHeight w:val="612"/>
        </w:trPr>
        <w:tc>
          <w:tcPr>
            <w:tcW w:w="4850" w:type="dxa"/>
            <w:gridSpan w:val="2"/>
            <w:tcBorders>
              <w:top w:val="nil"/>
              <w:left w:val="nil"/>
              <w:bottom w:val="nil"/>
              <w:right w:val="nil"/>
              <w:tl2br w:val="nil"/>
              <w:tr2bl w:val="nil"/>
            </w:tcBorders>
            <w:vAlign w:val="center"/>
          </w:tcPr>
          <w:p>
            <w:pPr>
              <w:widowControl/>
              <w:jc w:val="left"/>
              <w:rPr>
                <w:rFonts w:eastAsia="仿宋"/>
                <w:kern w:val="0"/>
                <w:sz w:val="22"/>
              </w:rPr>
            </w:pPr>
            <w:r>
              <w:rPr>
                <w:rFonts w:eastAsia="仿宋" w:hint="eastAsia"/>
                <w:kern w:val="0"/>
                <w:sz w:val="22"/>
              </w:rPr>
              <w:t>编制部门：</w:t>
            </w:r>
          </w:p>
        </w:tc>
        <w:tc>
          <w:tcPr>
            <w:tcW w:w="8625" w:type="dxa"/>
            <w:tcBorders>
              <w:top w:val="nil"/>
              <w:left w:val="nil"/>
              <w:bottom w:val="nil"/>
              <w:right w:val="nil"/>
              <w:tl2br w:val="nil"/>
              <w:tr2bl w:val="nil"/>
            </w:tcBorders>
            <w:vAlign w:val="center"/>
          </w:tcPr>
          <w:p>
            <w:pPr>
              <w:widowControl/>
              <w:jc w:val="right"/>
              <w:rPr>
                <w:rFonts w:ascii="宋体" w:cs="宋体" w:hAnsi="宋体" w:hint="eastAsia"/>
                <w:b/>
                <w:bCs/>
                <w:kern w:val="0"/>
                <w:sz w:val="22"/>
                <w:szCs w:val="22"/>
              </w:rPr>
            </w:pPr>
            <w:r>
              <w:rPr>
                <w:rFonts w:ascii="仿宋_GB2312" w:eastAsia="仿宋_GB2312" w:cs="仿宋_GB2312" w:hAnsi="仿宋_GB2312" w:hint="eastAsia"/>
                <w:kern w:val="0"/>
                <w:sz w:val="22"/>
                <w:szCs w:val="22"/>
              </w:rPr>
              <w:t>截止时间：201</w:t>
            </w:r>
            <w:r>
              <w:rPr>
                <w:rFonts w:ascii="仿宋_GB2312" w:eastAsia="仿宋_GB2312" w:cs="仿宋_GB2312" w:hAnsi="仿宋_GB2312"/>
                <w:kern w:val="0"/>
                <w:sz w:val="22"/>
                <w:szCs w:val="22"/>
              </w:rPr>
              <w:t>5</w:t>
            </w:r>
            <w:bookmarkStart w:id="7" w:name="_GoBack"/>
            <w:bookmarkEnd w:id="7"/>
            <w:r>
              <w:rPr>
                <w:rFonts w:ascii="仿宋_GB2312" w:eastAsia="仿宋_GB2312" w:cs="仿宋_GB2312" w:hAnsi="仿宋_GB2312" w:hint="eastAsia"/>
                <w:kern w:val="0"/>
                <w:sz w:val="22"/>
                <w:szCs w:val="22"/>
              </w:rPr>
              <w:t>年12月31日</w:t>
            </w:r>
          </w:p>
        </w:tc>
      </w:tr>
      <w:tr>
        <w:trPr>
          <w:trHeight w:val="397"/>
        </w:trPr>
        <w:tc>
          <w:tcPr>
            <w:tcW w:w="3020"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宋体" w:cs="宋体" w:hAnsi="宋体"/>
                <w:b/>
                <w:bCs/>
                <w:kern w:val="0"/>
                <w:sz w:val="22"/>
              </w:rPr>
            </w:pPr>
            <w:r>
              <w:rPr>
                <w:rFonts w:ascii="宋体" w:cs="宋体" w:hAnsi="宋体" w:hint="eastAsia"/>
                <w:b/>
                <w:bCs/>
                <w:kern w:val="0"/>
                <w:sz w:val="22"/>
              </w:rPr>
              <w:t>项目</w:t>
            </w:r>
          </w:p>
        </w:tc>
        <w:tc>
          <w:tcPr>
            <w:tcW w:w="1830"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Ansi="宋体"/>
                <w:b/>
                <w:bCs/>
                <w:kern w:val="0"/>
                <w:sz w:val="22"/>
              </w:rPr>
            </w:pPr>
            <w:r>
              <w:rPr>
                <w:rFonts w:ascii="宋体" w:cs="宋体" w:hAnsi="宋体" w:hint="eastAsia"/>
                <w:b/>
                <w:bCs/>
                <w:kern w:val="0"/>
                <w:sz w:val="22"/>
              </w:rPr>
              <w:t>数量</w:t>
            </w:r>
          </w:p>
        </w:tc>
        <w:tc>
          <w:tcPr>
            <w:tcW w:w="8625"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Ansi="宋体" w:hint="eastAsia"/>
                <w:b/>
                <w:bCs/>
                <w:kern w:val="0"/>
                <w:sz w:val="22"/>
                <w:szCs w:val="22"/>
              </w:rPr>
            </w:pPr>
            <w:r>
              <w:rPr>
                <w:rFonts w:ascii="宋体" w:cs="宋体" w:hAnsi="宋体" w:hint="eastAsia"/>
                <w:b/>
                <w:bCs/>
                <w:kern w:val="0"/>
                <w:sz w:val="22"/>
                <w:szCs w:val="22"/>
              </w:rPr>
              <w:t>价值（金额单位：万元）</w:t>
            </w:r>
          </w:p>
        </w:tc>
      </w:tr>
      <w:tr>
        <w:trPr>
          <w:trHeight w:val="350"/>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center"/>
              <w:rPr>
                <w:rFonts w:eastAsia="仿宋"/>
                <w:kern w:val="0"/>
                <w:sz w:val="22"/>
              </w:rPr>
            </w:pPr>
            <w:r>
              <w:rPr>
                <w:rFonts w:eastAsia="仿宋" w:hint="eastAsia"/>
                <w:kern w:val="0"/>
                <w:sz w:val="22"/>
              </w:rPr>
              <w:t>资产总额</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ascii="仿宋_GB2312" w:eastAsia="仿宋_GB2312" w:hAnsi="仿宋"/>
                <w:sz w:val="32"/>
                <w:szCs w:val="32"/>
              </w:rPr>
              <w:t>184.72</w:t>
            </w:r>
          </w:p>
        </w:tc>
      </w:tr>
      <w:tr>
        <w:trPr>
          <w:trHeight w:val="539"/>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1</w:t>
            </w:r>
            <w:r>
              <w:rPr>
                <w:rFonts w:eastAsia="仿宋" w:hint="eastAsia"/>
                <w:kern w:val="0"/>
                <w:sz w:val="22"/>
              </w:rPr>
              <w:t>、房屋（平方米）</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eastAsia="仿宋" w:hint="eastAsia"/>
                <w:kern w:val="0"/>
                <w:sz w:val="22"/>
              </w:rPr>
              <w:t>0</w:t>
            </w: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p>
        </w:tc>
      </w:tr>
      <w:tr>
        <w:trPr>
          <w:trHeight w:val="616"/>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hint="eastAsia"/>
                <w:kern w:val="0"/>
                <w:sz w:val="22"/>
              </w:rPr>
              <w:t>其中：办公用房（平方米）</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eastAsia="仿宋" w:hint="eastAsia"/>
                <w:kern w:val="0"/>
                <w:sz w:val="22"/>
              </w:rPr>
              <w:t>0</w:t>
            </w: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p>
        </w:tc>
      </w:tr>
      <w:tr>
        <w:trPr>
          <w:trHeight w:val="463"/>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2</w:t>
            </w:r>
            <w:r>
              <w:rPr>
                <w:rFonts w:eastAsia="仿宋" w:hint="eastAsia"/>
                <w:kern w:val="0"/>
                <w:sz w:val="22"/>
              </w:rPr>
              <w:t>、车辆（台、辆）</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eastAsia="仿宋" w:hint="eastAsia"/>
                <w:kern w:val="0"/>
                <w:sz w:val="22"/>
              </w:rPr>
              <w:t>8</w:t>
            </w: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eastAsia="仿宋"/>
                <w:kern w:val="0"/>
                <w:sz w:val="22"/>
              </w:rPr>
              <w:t>82.53</w:t>
            </w:r>
          </w:p>
        </w:tc>
      </w:tr>
      <w:tr>
        <w:trPr>
          <w:trHeight w:val="691"/>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3</w:t>
            </w:r>
            <w:r>
              <w:rPr>
                <w:rFonts w:eastAsia="仿宋" w:hint="eastAsia"/>
                <w:kern w:val="0"/>
                <w:sz w:val="22"/>
              </w:rPr>
              <w:t>、单价在</w:t>
            </w:r>
            <w:r>
              <w:rPr>
                <w:rFonts w:eastAsia="仿宋"/>
                <w:kern w:val="0"/>
                <w:sz w:val="22"/>
              </w:rPr>
              <w:t>20</w:t>
            </w:r>
            <w:r>
              <w:rPr>
                <w:rFonts w:eastAsia="仿宋" w:hint="eastAsia"/>
                <w:kern w:val="0"/>
                <w:sz w:val="22"/>
              </w:rPr>
              <w:t>万元以上设备</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p>
        </w:tc>
      </w:tr>
      <w:tr>
        <w:trPr>
          <w:trHeight w:val="390"/>
        </w:trPr>
        <w:tc>
          <w:tcPr>
            <w:tcW w:w="302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4</w:t>
            </w:r>
            <w:r>
              <w:rPr>
                <w:rFonts w:eastAsia="仿宋" w:hint="eastAsia"/>
                <w:kern w:val="0"/>
                <w:sz w:val="22"/>
              </w:rPr>
              <w:t>、其他固定资产</w:t>
            </w:r>
          </w:p>
        </w:tc>
        <w:tc>
          <w:tcPr>
            <w:tcW w:w="1830"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rPr>
            </w:pPr>
          </w:p>
        </w:tc>
        <w:tc>
          <w:tcPr>
            <w:tcW w:w="8625"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rPr>
            </w:pPr>
            <w:r>
              <w:rPr>
                <w:rFonts w:ascii="仿宋_GB2312" w:eastAsia="仿宋_GB2312" w:hAnsi="仿宋"/>
                <w:sz w:val="32"/>
                <w:szCs w:val="32"/>
              </w:rPr>
              <w:t>102.19</w:t>
            </w:r>
          </w:p>
        </w:tc>
      </w:tr>
    </w:tbl>
    <w:p>
      <w:pPr>
        <w:ind w:firstLine="640"/>
      </w:pPr>
      <w:r>
        <w:t>2016年无新增资产。</w:t>
      </w:r>
    </w:p>
    <w:p>
      <w:pPr>
        <w:adjustRightInd w:val="0"/>
        <w:snapToGrid w:val="0"/>
        <w:spacing w:line="560" w:lineRule="exact"/>
        <w:ind w:firstLineChars="200" w:firstLine="640"/>
        <w:rPr>
          <w:rFonts w:ascii="仿宋_GB2312" w:eastAsia="仿宋_GB2312" w:hAnsi="仿宋" w:hint="eastAsia"/>
          <w:sz w:val="32"/>
          <w:szCs w:val="32"/>
          <w:shd w:val="solid" w:color="C00000" w:fill="FFFFFF"/>
        </w:rPr>
      </w:pPr>
    </w:p>
    <w:p>
      <w:pPr>
        <w:ind w:firstLine="640"/>
      </w:pPr>
    </w:p>
    <w:p>
      <w:pPr>
        <w:spacing w:before="10" w:after="10"/>
        <w:ind w:firstLine="640"/>
        <w:outlineLvl w:val="2"/>
      </w:pPr>
      <w:bookmarkStart w:id="8" w:name="_Toc_3_3_0000000019"/>
      <w:r>
        <w:rPr>
          <w:rFonts w:ascii="黑体" w:eastAsia="黑体" w:cs="黑体" w:hAnsi="黑体"/>
          <w:color w:val="000000"/>
          <w:sz w:val="32"/>
        </w:rPr>
        <w:t>八、名词解释</w:t>
      </w:r>
      <w:bookmarkEnd w:id="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9" w:name="_Toc_3_3_0000000020"/>
      <w:r>
        <w:rPr>
          <w:rFonts w:ascii="黑体" w:eastAsia="黑体" w:cs="黑体" w:hAnsi="黑体"/>
          <w:color w:val="000000"/>
          <w:sz w:val="32"/>
        </w:rPr>
        <w:t>九、其他需要说明的事项</w:t>
      </w:r>
      <w:bookmarkEnd w:id="9"/>
    </w:p>
    <w:p>
      <w:pPr>
        <w:spacing w:line="500" w:lineRule="exact"/>
        <w:ind w:firstLine="560"/>
        <w:rPr>
          <w:rFonts w:eastAsia="宋体"/>
          <w:lang w:eastAsia="zh-CN"/>
        </w:rPr>
      </w:pPr>
      <w:r>
        <w:rPr>
          <w:rFonts w:eastAsia="方正仿宋_GBK"/>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黑体"/>
    <w:panose1 w:val="00000000000000000000"/>
    <w:charset w:val="86"/>
    <w:family w:val="roman"/>
    <w:pitch w:val="variable"/>
    <w:sig w:usb0="00000000" w:usb1="00000000" w:usb2="00000000" w:usb3="00000000" w:csb0="00040000" w:csb1="00000000"/>
  </w:font>
  <w:font w:name="方正小标宋_GBK">
    <w:altName w:val="Microsoft YaHei UI"/>
    <w:panose1 w:val="03000509000000000000"/>
    <w:charset w:val="86"/>
    <w:family w:val="script"/>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Times New Roman"/>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86"/>
    <w:family w:val="roman"/>
    <w:pitch w:val="variable"/>
    <w:sig w:usb0="00000000" w:usb1="00000000" w:usb2="00000010" w:usb3="00000000" w:csb0="00040000" w:csb1="00000000"/>
  </w:font>
  <w:font w:name="方正仿宋_GBK">
    <w:altName w:val="Microsoft YaHei UI"/>
    <w:panose1 w:val="03000509000000000000"/>
    <w:charset w:val="86"/>
    <w:family w:val="script"/>
    <w:pitch w:val="variable"/>
    <w:sig w:usb0="00000001" w:usb1="080E0000" w:usb2="00000010" w:usb3="00000000" w:csb0="00040000" w:csb1="00000000"/>
  </w:font>
  <w:font w:name="Batang">
    <w:altName w:val="Malgun Gothic"/>
    <w:panose1 w:val="02030600000101010101"/>
    <w:charset w:val="81"/>
    <w:family w:val="roman"/>
    <w:pitch w:val="variable"/>
    <w:sig w:usb0="B00002AF" w:usb1="69D77CFB" w:usb2="00000030" w:usb3="00000000" w:csb0="4008009F" w:csb1="DFD70000"/>
  </w:font>
  <w:font w:name="仿宋">
    <w:panose1 w:val="02010609060101010101"/>
    <w:charset w:val="86"/>
    <w:family w:val="modern"/>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NTNiYWMxMjFlMmE2ZWE1OWMxYzQyMDU3MTlhZjJhOD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0"/>
    <w:next w:val="0"/>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0"/>
    <w:next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0">
    <w:name w:val="Default Paragraph Font"/>
  </w:style>
  <w:style w:type="paragraph" w:styleId="15">
    <w:name w:val="toc 3"/>
    <w:basedOn w:val="0"/>
    <w:pPr>
      <w:ind w:left="480"/>
    </w:pPr>
  </w:style>
  <w:style w:type="paragraph" w:styleId="16">
    <w:name w:val="footer"/>
    <w:basedOn w:val="0"/>
    <w:pPr>
      <w:tabs>
        <w:tab w:val="center" w:pos="4153"/>
        <w:tab w:val="right" w:pos="8306"/>
      </w:tabs>
      <w:snapToGrid w:val="0"/>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pPr>
      <w:spacing w:before="120"/>
      <w:ind w:firstLine="560"/>
    </w:pPr>
    <w:rPr>
      <w:rFonts w:eastAsia="方正仿宋_GBK"/>
      <w:color w:val="000000"/>
      <w:sz w:val="28"/>
    </w:rPr>
  </w:style>
  <w:style w:type="paragraph" w:styleId="19">
    <w:name w:val="toc 2"/>
    <w:basedOn w:val="0"/>
    <w:pPr>
      <w:ind w:left="240"/>
    </w:pPr>
  </w:style>
  <w:style w:type="paragraph" w:customStyle="1" w:styleId="20">
    <w:name w:val="单元格样式22"/>
    <w:basedOn w:val="0"/>
    <w:pPr>
      <w:jc w:val="right"/>
    </w:pPr>
    <w:rPr>
      <w:rFonts w:ascii="方正小标宋_GBK" w:eastAsia="方正小标宋_GBK" w:cs="方正小标宋_GBK" w:hAnsi="方正小标宋_GBK"/>
    </w:rPr>
  </w:style>
  <w:style w:type="paragraph" w:customStyle="1" w:styleId="21">
    <w:name w:val="单元格样式21"/>
    <w:basedOn w:val="0"/>
    <w:pPr>
      <w:jc w:val="center"/>
    </w:pPr>
    <w:rPr>
      <w:rFonts w:ascii="方正小标宋_GBK" w:eastAsia="方正小标宋_GBK" w:cs="方正小标宋_GBK" w:hAnsi="方正小标宋_GBK"/>
    </w:rPr>
  </w:style>
  <w:style w:type="paragraph" w:customStyle="1" w:styleId="22">
    <w:name w:val="单元格样式20"/>
    <w:basedOn w:val="0"/>
    <w:rPr>
      <w:rFonts w:ascii="方正小标宋_GBK" w:eastAsia="方正小标宋_GBK" w:cs="方正小标宋_GBK" w:hAnsi="方正小标宋_GBK"/>
    </w:rPr>
  </w:style>
  <w:style w:type="paragraph" w:customStyle="1" w:styleId="23">
    <w:name w:val="单元格样式1"/>
    <w:basedOn w:val="0"/>
    <w:pPr>
      <w:jc w:val="center"/>
    </w:pPr>
    <w:rPr>
      <w:rFonts w:ascii="方正书宋_GBK" w:eastAsia="方正书宋_GBK" w:cs="方正书宋_GBK" w:hAnsi="方正书宋_GBK"/>
      <w:b/>
      <w:sz w:val="21"/>
    </w:rPr>
  </w:style>
  <w:style w:type="paragraph" w:customStyle="1" w:styleId="24">
    <w:name w:val="单元格样式4"/>
    <w:basedOn w:val="0"/>
    <w:pPr>
      <w:jc w:val="right"/>
    </w:pPr>
    <w:rPr>
      <w:rFonts w:ascii="方正书宋_GBK" w:eastAsia="方正书宋_GBK" w:cs="方正书宋_GBK" w:hAnsi="方正书宋_GBK"/>
      <w:sz w:val="21"/>
    </w:rPr>
  </w:style>
  <w:style w:type="paragraph" w:customStyle="1" w:styleId="25">
    <w:name w:val="单元格样式2"/>
    <w:basedOn w:val="0"/>
    <w:rPr>
      <w:rFonts w:ascii="方正书宋_GBK" w:eastAsia="方正书宋_GBK" w:cs="方正书宋_GBK" w:hAnsi="方正书宋_GBK"/>
      <w:sz w:val="21"/>
    </w:rPr>
  </w:style>
  <w:style w:type="paragraph" w:customStyle="1" w:styleId="26">
    <w:name w:val="单元格样式3"/>
    <w:basedOn w:val="0"/>
    <w:pPr>
      <w:jc w:val="center"/>
    </w:pPr>
    <w:rPr>
      <w:rFonts w:ascii="方正书宋_GBK" w:eastAsia="方正书宋_GBK" w:cs="方正书宋_GBK" w:hAnsi="方正书宋_GBK"/>
      <w:sz w:val="21"/>
    </w:rPr>
  </w:style>
  <w:style w:type="paragraph" w:customStyle="1" w:styleId="27">
    <w:name w:val="单元格样式6"/>
    <w:basedOn w:val="0"/>
    <w:pPr>
      <w:jc w:val="center"/>
    </w:pPr>
    <w:rPr>
      <w:rFonts w:ascii="方正书宋_GBK" w:eastAsia="方正书宋_GBK" w:cs="方正书宋_GBK" w:hAnsi="方正书宋_GBK"/>
      <w:b/>
      <w:sz w:val="21"/>
    </w:rPr>
  </w:style>
  <w:style w:type="paragraph" w:customStyle="1" w:styleId="28">
    <w:name w:val="单元格样式7"/>
    <w:basedOn w:val="0"/>
    <w:pPr>
      <w:jc w:val="right"/>
    </w:pPr>
    <w:rPr>
      <w:rFonts w:ascii="方正书宋_GBK" w:eastAsia="方正书宋_GBK" w:cs="方正书宋_GBK" w:hAnsi="方正书宋_GBK"/>
      <w:b/>
      <w:sz w:val="21"/>
    </w:rPr>
  </w:style>
  <w:style w:type="paragraph" w:customStyle="1" w:styleId="29">
    <w:name w:val="单元格样式5"/>
    <w:basedOn w:val="0"/>
    <w:rPr>
      <w:rFonts w:ascii="方正书宋_GBK" w:eastAsia="方正书宋_GBK" w:cs="方正书宋_GBK" w:hAnsi="方正书宋_GBK"/>
      <w:b/>
      <w:sz w:val="21"/>
    </w:rPr>
  </w:style>
  <w:style w:type="paragraph" w:customStyle="1" w:styleId="30">
    <w:name w:val="插入文本样式-插入预算公开部门职责文件"/>
    <w:basedOn w:val="0"/>
    <w:pPr>
      <w:spacing w:line="500" w:lineRule="exact"/>
      <w:ind w:firstLine="560"/>
    </w:pPr>
    <w:rPr>
      <w:rFonts w:eastAsia="方正仿宋_GBK"/>
      <w:sz w:val="28"/>
    </w:rPr>
  </w:style>
  <w:style w:type="paragraph" w:customStyle="1" w:styleId="31">
    <w:name w:val="插入文本样式-插入预算公开部门预算安排的总体情况文件"/>
    <w:basedOn w:val="0"/>
    <w:pPr>
      <w:spacing w:line="500" w:lineRule="exact"/>
      <w:ind w:firstLine="560"/>
    </w:pPr>
    <w:rPr>
      <w:rFonts w:eastAsia="方正仿宋_GBK"/>
      <w:sz w:val="28"/>
    </w:rPr>
  </w:style>
  <w:style w:type="paragraph" w:customStyle="1" w:styleId="32">
    <w:name w:val="插入文本样式-插入预算公开部门机关运行经费安排情况文件"/>
    <w:basedOn w:val="0"/>
    <w:pPr>
      <w:spacing w:line="500" w:lineRule="exact"/>
      <w:ind w:firstLine="560"/>
    </w:pPr>
    <w:rPr>
      <w:rFonts w:eastAsia="方正仿宋_GBK"/>
      <w:sz w:val="28"/>
    </w:rPr>
  </w:style>
  <w:style w:type="paragraph" w:customStyle="1" w:styleId="33">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4">
    <w:name w:val="插入文本样式-插入总体目标文件"/>
    <w:basedOn w:val="0"/>
    <w:pPr>
      <w:spacing w:line="500" w:lineRule="exact"/>
      <w:ind w:firstLine="560"/>
    </w:pPr>
    <w:rPr>
      <w:rFonts w:eastAsia="方正仿宋_GBK"/>
      <w:sz w:val="28"/>
    </w:rPr>
  </w:style>
  <w:style w:type="paragraph" w:customStyle="1" w:styleId="35">
    <w:name w:val="插入文本样式-插入职责分类绩效目标文件"/>
    <w:basedOn w:val="0"/>
    <w:pPr>
      <w:spacing w:line="500" w:lineRule="exact"/>
      <w:ind w:firstLine="560"/>
    </w:pPr>
    <w:rPr>
      <w:rFonts w:eastAsia="方正仿宋_GBK"/>
      <w:sz w:val="28"/>
    </w:rPr>
  </w:style>
  <w:style w:type="paragraph" w:customStyle="1" w:styleId="36">
    <w:name w:val="插入文本样式-插入实现年度发展规划目标的保障措施文件"/>
    <w:basedOn w:val="0"/>
    <w:pPr>
      <w:spacing w:line="500" w:lineRule="exact"/>
      <w:ind w:firstLine="560"/>
    </w:pPr>
    <w:rPr>
      <w:rFonts w:eastAsia="方正仿宋_GBK"/>
      <w:sz w:val="28"/>
    </w:rPr>
  </w:style>
  <w:style w:type="paragraph" w:customStyle="1" w:styleId="37">
    <w:name w:val="单元格样式23"/>
    <w:basedOn w:val="0"/>
    <w:pPr>
      <w:jc w:val="right"/>
    </w:pPr>
    <w:rPr>
      <w:rFonts w:ascii="方正书宋_GBK" w:eastAsia="方正书宋_GBK" w:cs="方正书宋_GBK" w:hAnsi="方正书宋_GBK"/>
    </w:rPr>
  </w:style>
  <w:style w:type="paragraph" w:customStyle="1" w:styleId="38">
    <w:name w:val="插入文本样式-插入预算公开单位财政拨款三公经费预算情况及增减变化原因文件"/>
    <w:basedOn w:val="0"/>
    <w:pPr>
      <w:spacing w:line="500" w:lineRule="exact"/>
      <w:ind w:firstLine="560"/>
    </w:pPr>
    <w:rPr>
      <w:rFonts w:eastAsia="方正仿宋_GBK"/>
      <w:sz w:val="28"/>
    </w:rPr>
  </w:style>
  <w:style w:type="character" w:styleId="39">
    <w:name w:val="footnote reference"/>
    <w:basedOn w:val="10"/>
    <w:rPr>
      <w:vertAlign w:val="superscript"/>
    </w:rPr>
  </w:style>
  <w:style w:type="character" w:styleId="40">
    <w:name w:val="page number"/>
    <w:basedOn w:val="10"/>
  </w:style>
  <w:style w:type="character" w:customStyle="1" w:styleId="41">
    <w:name w:val="font21"/>
    <w:basedOn w:val="10"/>
    <w:rPr>
      <w:rFonts w:ascii="宋体" w:eastAsia="宋体" w:cs="宋体"/>
      <w:color w:val="000000"/>
      <w:sz w:val="20"/>
      <w:szCs w:val="20"/>
      <w:u w:val="none"/>
      <w:lang w:bidi="ar-SA"/>
    </w:rPr>
  </w:style>
  <w:style w:type="character" w:customStyle="1" w:styleId="42">
    <w:name w:val="font31"/>
    <w:basedOn w:val="10"/>
    <w:rPr>
      <w:rFonts w:ascii="宋体" w:eastAsia="宋体" w:cs="宋体"/>
      <w:color w:val="000000"/>
      <w:sz w:val="20"/>
      <w:szCs w:val="20"/>
      <w:u w:val="none"/>
      <w:lang w:bidi="ar-SA"/>
    </w:rPr>
  </w:style>
  <w:style w:type="paragraph" w:styleId="43">
    <w:name w:val="Date"/>
    <w:basedOn w:val="0"/>
    <w:next w:val="0"/>
    <w:pPr>
      <w:widowControl w:val="0"/>
      <w:ind w:leftChars="2500" w:left="2500"/>
      <w:jc w:val="both"/>
    </w:pPr>
    <w:rPr>
      <w:rFonts w:eastAsia="宋体"/>
      <w:kern w:val="2"/>
      <w:sz w:val="21"/>
      <w:szCs w:val="20"/>
      <w:lang w:eastAsia="zh-CN"/>
    </w:rPr>
  </w:style>
  <w:style w:type="paragraph" w:styleId="44">
    <w:name w:val="footnote text"/>
    <w:basedOn w:val="0"/>
    <w:pPr>
      <w:widowControl w:val="0"/>
      <w:snapToGrid w:val="0"/>
    </w:pPr>
    <w:rPr>
      <w:rFonts w:eastAsia="宋体"/>
      <w:kern w:val="2"/>
      <w:sz w:val="18"/>
      <w:szCs w:val="18"/>
      <w:lang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86F38586-A618-40B3-AC19-77FE9AB8666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112</TotalTime>
  <Application>Yozo_Office27021597764231179</Application>
  <Pages>14</Pages>
  <Words>0</Words>
  <Characters>5748</Characters>
  <Lines>0</Lines>
  <Paragraphs>87</Paragraphs>
  <CharactersWithSpaces>7664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5</cp:revision>
  <dcterms:created xsi:type="dcterms:W3CDTF">2024-02-19T16:18:00Z</dcterms:created>
  <dcterms:modified xsi:type="dcterms:W3CDTF">2024-11-25T06:43:33Z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2052-12.1.0.15990</vt:lpwstr>
  </property>
  <property fmtid="{D5CDD505-2E9C-101B-9397-08002B2CF9AE}" pid="3" name="ICV">
    <vt:lpwstr>BCDD9443FCD94EA9A3AE7702E4EB3DF7_12</vt:lpwstr>
  </property>
</Properties>
</file>