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2024年部门预算信息公开目录</w:t>
      </w:r>
    </w:p>
    <w:p>
      <w:pPr>
        <w:jc w:val="center"/>
      </w:pPr>
    </w:p>
    <w:p>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46</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46</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1417.88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993.78</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r>
              <w:t>20.00</w:t>
            </w: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r>
              <w:t>254.16</w:t>
            </w: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88.87</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53.69</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47.38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1437.88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1437.88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1437.88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1437.88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1437.88</w:t>
            </w:r>
          </w:p>
        </w:tc>
        <w:tc>
          <w:tcPr>
            <w:tcW w:w="1134" w:type="dxa"/>
            <w:tcBorders>
              <w:left w:val="single" w:sz="6" w:space="0" w:color="000000"/>
              <w:right w:val="single" w:sz="6" w:space="0" w:color="000000"/>
            </w:tcBorders>
            <w:vAlign w:val="center"/>
          </w:tcPr>
          <w:p>
            <w:pPr>
              <w:pStyle w:val="23"/>
            </w:pPr>
            <w:r>
              <w:t>1437.88</w:t>
            </w:r>
          </w:p>
        </w:tc>
        <w:tc>
          <w:tcPr>
            <w:tcW w:w="1134" w:type="dxa"/>
            <w:tcBorders>
              <w:left w:val="single" w:sz="6" w:space="0" w:color="000000"/>
              <w:right w:val="single" w:sz="6" w:space="0" w:color="000000"/>
            </w:tcBorders>
            <w:vAlign w:val="center"/>
          </w:tcPr>
          <w:p>
            <w:pPr>
              <w:pStyle w:val="23"/>
            </w:pPr>
            <w:r>
              <w:t>1437.88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1559" w:type="dxa"/>
            <w:tcBorders>
              <w:left w:val="single" w:sz="6" w:space="0" w:color="000000"/>
              <w:right w:val="single" w:sz="6" w:space="0" w:color="000000"/>
            </w:tcBorders>
            <w:vAlign w:val="center"/>
          </w:tcPr>
          <w:p>
            <w:pPr>
              <w:pStyle w:val="20"/>
            </w:pPr>
            <w:r>
              <w:t>宣传事务</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r>
              <w:t>993.78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560.77</w:t>
            </w:r>
          </w:p>
        </w:tc>
        <w:tc>
          <w:tcPr>
            <w:tcW w:w="1134" w:type="dxa"/>
            <w:tcBorders>
              <w:left w:val="single" w:sz="6" w:space="0" w:color="000000"/>
              <w:right w:val="single" w:sz="6" w:space="0" w:color="000000"/>
            </w:tcBorders>
            <w:vAlign w:val="center"/>
          </w:tcPr>
          <w:p>
            <w:pPr>
              <w:pStyle w:val="19"/>
            </w:pPr>
            <w:r>
              <w:t>560.77</w:t>
            </w:r>
          </w:p>
        </w:tc>
        <w:tc>
          <w:tcPr>
            <w:tcW w:w="1134" w:type="dxa"/>
            <w:tcBorders>
              <w:left w:val="single" w:sz="6" w:space="0" w:color="000000"/>
              <w:right w:val="single" w:sz="6" w:space="0" w:color="000000"/>
            </w:tcBorders>
            <w:vAlign w:val="center"/>
          </w:tcPr>
          <w:p>
            <w:pPr>
              <w:pStyle w:val="19"/>
            </w:pPr>
            <w:r>
              <w:t>560.77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433.01</w:t>
            </w:r>
          </w:p>
        </w:tc>
        <w:tc>
          <w:tcPr>
            <w:tcW w:w="1134" w:type="dxa"/>
            <w:tcBorders>
              <w:left w:val="single" w:sz="6" w:space="0" w:color="000000"/>
              <w:right w:val="single" w:sz="6" w:space="0" w:color="000000"/>
            </w:tcBorders>
            <w:vAlign w:val="center"/>
          </w:tcPr>
          <w:p>
            <w:pPr>
              <w:pStyle w:val="19"/>
            </w:pPr>
            <w:r>
              <w:t>433.01</w:t>
            </w:r>
          </w:p>
        </w:tc>
        <w:tc>
          <w:tcPr>
            <w:tcW w:w="1134" w:type="dxa"/>
            <w:tcBorders>
              <w:left w:val="single" w:sz="6" w:space="0" w:color="000000"/>
              <w:right w:val="single" w:sz="6" w:space="0" w:color="000000"/>
            </w:tcBorders>
            <w:vAlign w:val="center"/>
          </w:tcPr>
          <w:p>
            <w:pPr>
              <w:pStyle w:val="19"/>
            </w:pPr>
            <w:r>
              <w:t>433.01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1559" w:type="dxa"/>
            <w:tcBorders>
              <w:left w:val="single" w:sz="6" w:space="0" w:color="000000"/>
              <w:right w:val="single" w:sz="6" w:space="0" w:color="000000"/>
            </w:tcBorders>
            <w:vAlign w:val="center"/>
          </w:tcPr>
          <w:p>
            <w:pPr>
              <w:pStyle w:val="20"/>
            </w:pPr>
            <w:r>
              <w:t>文化旅游体育与传媒支出</w:t>
            </w:r>
          </w:p>
        </w:tc>
        <w:tc>
          <w:tcPr>
            <w:tcW w:w="1134" w:type="dxa"/>
            <w:tcBorders>
              <w:left w:val="single" w:sz="6" w:space="0" w:color="000000"/>
              <w:right w:val="single" w:sz="6" w:space="0" w:color="000000"/>
            </w:tcBorders>
            <w:vAlign w:val="center"/>
          </w:tcPr>
          <w:p>
            <w:pPr>
              <w:pStyle w:val="19"/>
            </w:pPr>
            <w:r>
              <w:t>254.16</w:t>
            </w:r>
          </w:p>
        </w:tc>
        <w:tc>
          <w:tcPr>
            <w:tcW w:w="1134" w:type="dxa"/>
            <w:tcBorders>
              <w:left w:val="single" w:sz="6" w:space="0" w:color="000000"/>
              <w:right w:val="single" w:sz="6" w:space="0" w:color="000000"/>
            </w:tcBorders>
            <w:vAlign w:val="center"/>
          </w:tcPr>
          <w:p>
            <w:pPr>
              <w:pStyle w:val="19"/>
            </w:pPr>
            <w:r>
              <w:t>254.16</w:t>
            </w:r>
          </w:p>
        </w:tc>
        <w:tc>
          <w:tcPr>
            <w:tcW w:w="1134" w:type="dxa"/>
            <w:tcBorders>
              <w:left w:val="single" w:sz="6" w:space="0" w:color="000000"/>
              <w:right w:val="single" w:sz="6" w:space="0" w:color="000000"/>
            </w:tcBorders>
            <w:vAlign w:val="center"/>
          </w:tcPr>
          <w:p>
            <w:pPr>
              <w:pStyle w:val="19"/>
            </w:pPr>
            <w:r>
              <w:t>254.16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1559" w:type="dxa"/>
            <w:tcBorders>
              <w:left w:val="single" w:sz="6" w:space="0" w:color="000000"/>
              <w:right w:val="single" w:sz="6" w:space="0" w:color="000000"/>
            </w:tcBorders>
            <w:vAlign w:val="center"/>
          </w:tcPr>
          <w:p>
            <w:pPr>
              <w:pStyle w:val="20"/>
            </w:pPr>
            <w:r>
              <w:t>国家电影事业发展专项资金安排的支出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1559" w:type="dxa"/>
            <w:tcBorders>
              <w:left w:val="single" w:sz="6" w:space="0" w:color="000000"/>
              <w:right w:val="single" w:sz="6" w:space="0" w:color="000000"/>
            </w:tcBorders>
            <w:vAlign w:val="center"/>
          </w:tcPr>
          <w:p>
            <w:pPr>
              <w:pStyle w:val="20"/>
            </w:pPr>
            <w:r>
              <w:t>其他国家电影事业发展专项资金支出</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1559" w:type="dxa"/>
            <w:tcBorders>
              <w:left w:val="single" w:sz="6" w:space="0" w:color="000000"/>
              <w:right w:val="single" w:sz="6" w:space="0" w:color="000000"/>
            </w:tcBorders>
            <w:vAlign w:val="center"/>
          </w:tcPr>
          <w:p>
            <w:pPr>
              <w:pStyle w:val="20"/>
            </w:pPr>
            <w:r>
              <w:t>其他文化旅游体育与传媒支出</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r>
              <w:t>234.16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88.87</w:t>
            </w:r>
          </w:p>
        </w:tc>
        <w:tc>
          <w:tcPr>
            <w:tcW w:w="1134" w:type="dxa"/>
            <w:tcBorders>
              <w:left w:val="single" w:sz="6" w:space="0" w:color="000000"/>
              <w:right w:val="single" w:sz="6" w:space="0" w:color="000000"/>
            </w:tcBorders>
            <w:vAlign w:val="center"/>
          </w:tcPr>
          <w:p>
            <w:pPr>
              <w:pStyle w:val="19"/>
            </w:pPr>
            <w:r>
              <w:t>88.87</w:t>
            </w:r>
          </w:p>
        </w:tc>
        <w:tc>
          <w:tcPr>
            <w:tcW w:w="1134" w:type="dxa"/>
            <w:tcBorders>
              <w:left w:val="single" w:sz="6" w:space="0" w:color="000000"/>
              <w:right w:val="single" w:sz="6" w:space="0" w:color="000000"/>
            </w:tcBorders>
            <w:vAlign w:val="center"/>
          </w:tcPr>
          <w:p>
            <w:pPr>
              <w:pStyle w:val="19"/>
            </w:pPr>
            <w:r>
              <w:t>88.87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85.70</w:t>
            </w:r>
          </w:p>
        </w:tc>
        <w:tc>
          <w:tcPr>
            <w:tcW w:w="1134" w:type="dxa"/>
            <w:tcBorders>
              <w:left w:val="single" w:sz="6" w:space="0" w:color="000000"/>
              <w:right w:val="single" w:sz="6" w:space="0" w:color="000000"/>
            </w:tcBorders>
            <w:vAlign w:val="center"/>
          </w:tcPr>
          <w:p>
            <w:pPr>
              <w:pStyle w:val="19"/>
            </w:pPr>
            <w:r>
              <w:t>85.70</w:t>
            </w:r>
          </w:p>
        </w:tc>
        <w:tc>
          <w:tcPr>
            <w:tcW w:w="1134" w:type="dxa"/>
            <w:tcBorders>
              <w:left w:val="single" w:sz="6" w:space="0" w:color="000000"/>
              <w:right w:val="single" w:sz="6" w:space="0" w:color="000000"/>
            </w:tcBorders>
            <w:vAlign w:val="center"/>
          </w:tcPr>
          <w:p>
            <w:pPr>
              <w:pStyle w:val="19"/>
            </w:pPr>
            <w:r>
              <w:t>85.70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26.51</w:t>
            </w:r>
          </w:p>
        </w:tc>
        <w:tc>
          <w:tcPr>
            <w:tcW w:w="1134" w:type="dxa"/>
            <w:tcBorders>
              <w:left w:val="single" w:sz="6" w:space="0" w:color="000000"/>
              <w:right w:val="single" w:sz="6" w:space="0" w:color="000000"/>
            </w:tcBorders>
            <w:vAlign w:val="center"/>
          </w:tcPr>
          <w:p>
            <w:pPr>
              <w:pStyle w:val="19"/>
            </w:pPr>
            <w:r>
              <w:t>26.51</w:t>
            </w:r>
          </w:p>
        </w:tc>
        <w:tc>
          <w:tcPr>
            <w:tcW w:w="1134" w:type="dxa"/>
            <w:tcBorders>
              <w:left w:val="single" w:sz="6" w:space="0" w:color="000000"/>
              <w:right w:val="single" w:sz="6" w:space="0" w:color="000000"/>
            </w:tcBorders>
            <w:vAlign w:val="center"/>
          </w:tcPr>
          <w:p>
            <w:pPr>
              <w:pStyle w:val="19"/>
            </w:pPr>
            <w:r>
              <w:t>26.51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59.19</w:t>
            </w:r>
          </w:p>
        </w:tc>
        <w:tc>
          <w:tcPr>
            <w:tcW w:w="1134" w:type="dxa"/>
            <w:tcBorders>
              <w:left w:val="single" w:sz="6" w:space="0" w:color="000000"/>
              <w:right w:val="single" w:sz="6" w:space="0" w:color="000000"/>
            </w:tcBorders>
            <w:vAlign w:val="center"/>
          </w:tcPr>
          <w:p>
            <w:pPr>
              <w:pStyle w:val="19"/>
            </w:pPr>
            <w:r>
              <w:t>59.19</w:t>
            </w:r>
          </w:p>
        </w:tc>
        <w:tc>
          <w:tcPr>
            <w:tcW w:w="1134" w:type="dxa"/>
            <w:tcBorders>
              <w:left w:val="single" w:sz="6" w:space="0" w:color="000000"/>
              <w:right w:val="single" w:sz="6" w:space="0" w:color="000000"/>
            </w:tcBorders>
            <w:vAlign w:val="center"/>
          </w:tcPr>
          <w:p>
            <w:pPr>
              <w:pStyle w:val="19"/>
            </w:pPr>
            <w:r>
              <w:t>59.19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r>
              <w:t>3.17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r>
              <w:t>53.69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22.62</w:t>
            </w:r>
          </w:p>
        </w:tc>
        <w:tc>
          <w:tcPr>
            <w:tcW w:w="1134" w:type="dxa"/>
            <w:tcBorders>
              <w:left w:val="single" w:sz="6" w:space="0" w:color="000000"/>
              <w:right w:val="single" w:sz="6" w:space="0" w:color="000000"/>
            </w:tcBorders>
            <w:vAlign w:val="center"/>
          </w:tcPr>
          <w:p>
            <w:pPr>
              <w:pStyle w:val="19"/>
            </w:pPr>
            <w:r>
              <w:t>22.62</w:t>
            </w:r>
          </w:p>
        </w:tc>
        <w:tc>
          <w:tcPr>
            <w:tcW w:w="1134" w:type="dxa"/>
            <w:tcBorders>
              <w:left w:val="single" w:sz="6" w:space="0" w:color="000000"/>
              <w:right w:val="single" w:sz="6" w:space="0" w:color="000000"/>
            </w:tcBorders>
            <w:vAlign w:val="center"/>
          </w:tcPr>
          <w:p>
            <w:pPr>
              <w:pStyle w:val="19"/>
            </w:pPr>
            <w:r>
              <w:t>22.62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31.07</w:t>
            </w:r>
          </w:p>
        </w:tc>
        <w:tc>
          <w:tcPr>
            <w:tcW w:w="1134" w:type="dxa"/>
            <w:tcBorders>
              <w:left w:val="single" w:sz="6" w:space="0" w:color="000000"/>
              <w:right w:val="single" w:sz="6" w:space="0" w:color="000000"/>
            </w:tcBorders>
            <w:vAlign w:val="center"/>
          </w:tcPr>
          <w:p>
            <w:pPr>
              <w:pStyle w:val="19"/>
            </w:pPr>
            <w:r>
              <w:t>31.07</w:t>
            </w:r>
          </w:p>
        </w:tc>
        <w:tc>
          <w:tcPr>
            <w:tcW w:w="1134" w:type="dxa"/>
            <w:tcBorders>
              <w:left w:val="single" w:sz="6" w:space="0" w:color="000000"/>
              <w:right w:val="single" w:sz="6" w:space="0" w:color="000000"/>
            </w:tcBorders>
            <w:vAlign w:val="center"/>
          </w:tcPr>
          <w:p>
            <w:pPr>
              <w:pStyle w:val="19"/>
            </w:pPr>
            <w:r>
              <w:t>31.07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r>
              <w:t>47.38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1437.88</w:t>
            </w:r>
          </w:p>
        </w:tc>
        <w:tc>
          <w:tcPr>
            <w:tcW w:w="1361" w:type="dxa"/>
            <w:tcBorders>
              <w:left w:val="single" w:sz="6" w:space="0" w:color="000000"/>
              <w:right w:val="single" w:sz="6" w:space="0" w:color="000000"/>
            </w:tcBorders>
            <w:vAlign w:val="center"/>
          </w:tcPr>
          <w:p>
            <w:pPr>
              <w:pStyle w:val="23"/>
            </w:pPr>
            <w:r>
              <w:t>747.54</w:t>
            </w:r>
          </w:p>
        </w:tc>
        <w:tc>
          <w:tcPr>
            <w:tcW w:w="1361" w:type="dxa"/>
            <w:tcBorders>
              <w:left w:val="single" w:sz="6" w:space="0" w:color="000000"/>
              <w:right w:val="single" w:sz="6" w:space="0" w:color="000000"/>
            </w:tcBorders>
            <w:vAlign w:val="center"/>
          </w:tcPr>
          <w:p>
            <w:pPr>
              <w:pStyle w:val="23"/>
            </w:pPr>
            <w:r>
              <w:t>690.34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993.78</w:t>
            </w:r>
          </w:p>
        </w:tc>
        <w:tc>
          <w:tcPr>
            <w:tcW w:w="1361" w:type="dxa"/>
            <w:tcBorders>
              <w:left w:val="single" w:sz="6" w:space="0" w:color="000000"/>
              <w:right w:val="single" w:sz="6" w:space="0" w:color="000000"/>
            </w:tcBorders>
            <w:vAlign w:val="center"/>
          </w:tcPr>
          <w:p>
            <w:pPr>
              <w:pStyle w:val="19"/>
            </w:pPr>
            <w:r>
              <w:t>560.77</w:t>
            </w:r>
          </w:p>
        </w:tc>
        <w:tc>
          <w:tcPr>
            <w:tcW w:w="1361" w:type="dxa"/>
            <w:tcBorders>
              <w:left w:val="single" w:sz="6" w:space="0" w:color="000000"/>
              <w:right w:val="single" w:sz="6" w:space="0" w:color="000000"/>
            </w:tcBorders>
            <w:vAlign w:val="center"/>
          </w:tcPr>
          <w:p>
            <w:pPr>
              <w:pStyle w:val="19"/>
            </w:pPr>
            <w:r>
              <w:t>433.01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1361" w:type="dxa"/>
            <w:tcBorders>
              <w:left w:val="single" w:sz="6" w:space="0" w:color="000000"/>
              <w:right w:val="single" w:sz="6" w:space="0" w:color="000000"/>
            </w:tcBorders>
            <w:vAlign w:val="center"/>
          </w:tcPr>
          <w:p>
            <w:pPr>
              <w:pStyle w:val="19"/>
            </w:pPr>
            <w:r>
              <w:t>993.78</w:t>
            </w:r>
          </w:p>
        </w:tc>
        <w:tc>
          <w:tcPr>
            <w:tcW w:w="1361" w:type="dxa"/>
            <w:tcBorders>
              <w:left w:val="single" w:sz="6" w:space="0" w:color="000000"/>
              <w:right w:val="single" w:sz="6" w:space="0" w:color="000000"/>
            </w:tcBorders>
            <w:vAlign w:val="center"/>
          </w:tcPr>
          <w:p>
            <w:pPr>
              <w:pStyle w:val="19"/>
            </w:pPr>
            <w:r>
              <w:t>560.77</w:t>
            </w:r>
          </w:p>
        </w:tc>
        <w:tc>
          <w:tcPr>
            <w:tcW w:w="1361" w:type="dxa"/>
            <w:tcBorders>
              <w:left w:val="single" w:sz="6" w:space="0" w:color="000000"/>
              <w:right w:val="single" w:sz="6" w:space="0" w:color="000000"/>
            </w:tcBorders>
            <w:vAlign w:val="center"/>
          </w:tcPr>
          <w:p>
            <w:pPr>
              <w:pStyle w:val="19"/>
            </w:pPr>
            <w:r>
              <w:t>433.01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560.77</w:t>
            </w:r>
          </w:p>
        </w:tc>
        <w:tc>
          <w:tcPr>
            <w:tcW w:w="1361" w:type="dxa"/>
            <w:tcBorders>
              <w:left w:val="single" w:sz="6" w:space="0" w:color="000000"/>
              <w:right w:val="single" w:sz="6" w:space="0" w:color="000000"/>
            </w:tcBorders>
            <w:vAlign w:val="center"/>
          </w:tcPr>
          <w:p>
            <w:pPr>
              <w:pStyle w:val="19"/>
            </w:pPr>
            <w:r>
              <w:t>560.77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433.01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433.01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1361" w:type="dxa"/>
            <w:tcBorders>
              <w:left w:val="single" w:sz="6" w:space="0" w:color="000000"/>
              <w:right w:val="single" w:sz="6" w:space="0" w:color="000000"/>
            </w:tcBorders>
            <w:vAlign w:val="center"/>
          </w:tcPr>
          <w:p>
            <w:pPr>
              <w:pStyle w:val="19"/>
            </w:pPr>
            <w:r>
              <w:t>254.16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254.16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234.16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1361" w:type="dxa"/>
            <w:tcBorders>
              <w:left w:val="single" w:sz="6" w:space="0" w:color="000000"/>
              <w:right w:val="single" w:sz="6" w:space="0" w:color="000000"/>
            </w:tcBorders>
            <w:vAlign w:val="center"/>
          </w:tcPr>
          <w:p>
            <w:pPr>
              <w:pStyle w:val="19"/>
            </w:pPr>
            <w:r>
              <w:t>234.16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234.16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88.87</w:t>
            </w:r>
          </w:p>
        </w:tc>
        <w:tc>
          <w:tcPr>
            <w:tcW w:w="1361" w:type="dxa"/>
            <w:tcBorders>
              <w:left w:val="single" w:sz="6" w:space="0" w:color="000000"/>
              <w:right w:val="single" w:sz="6" w:space="0" w:color="000000"/>
            </w:tcBorders>
            <w:vAlign w:val="center"/>
          </w:tcPr>
          <w:p>
            <w:pPr>
              <w:pStyle w:val="19"/>
            </w:pPr>
            <w:r>
              <w:t>85.70</w:t>
            </w:r>
          </w:p>
        </w:tc>
        <w:tc>
          <w:tcPr>
            <w:tcW w:w="1361" w:type="dxa"/>
            <w:tcBorders>
              <w:left w:val="single" w:sz="6" w:space="0" w:color="000000"/>
              <w:right w:val="single" w:sz="6" w:space="0" w:color="000000"/>
            </w:tcBorders>
            <w:vAlign w:val="center"/>
          </w:tcPr>
          <w:p>
            <w:pPr>
              <w:pStyle w:val="19"/>
            </w:pPr>
            <w:r>
              <w:t>3.17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85.70</w:t>
            </w:r>
          </w:p>
        </w:tc>
        <w:tc>
          <w:tcPr>
            <w:tcW w:w="1361" w:type="dxa"/>
            <w:tcBorders>
              <w:left w:val="single" w:sz="6" w:space="0" w:color="000000"/>
              <w:right w:val="single" w:sz="6" w:space="0" w:color="000000"/>
            </w:tcBorders>
            <w:vAlign w:val="center"/>
          </w:tcPr>
          <w:p>
            <w:pPr>
              <w:pStyle w:val="19"/>
            </w:pPr>
            <w:r>
              <w:t>85.70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26.51</w:t>
            </w:r>
          </w:p>
        </w:tc>
        <w:tc>
          <w:tcPr>
            <w:tcW w:w="1361" w:type="dxa"/>
            <w:tcBorders>
              <w:left w:val="single" w:sz="6" w:space="0" w:color="000000"/>
              <w:right w:val="single" w:sz="6" w:space="0" w:color="000000"/>
            </w:tcBorders>
            <w:vAlign w:val="center"/>
          </w:tcPr>
          <w:p>
            <w:pPr>
              <w:pStyle w:val="19"/>
            </w:pPr>
            <w:r>
              <w:t>26.51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59.19</w:t>
            </w:r>
          </w:p>
        </w:tc>
        <w:tc>
          <w:tcPr>
            <w:tcW w:w="1361" w:type="dxa"/>
            <w:tcBorders>
              <w:left w:val="single" w:sz="6" w:space="0" w:color="000000"/>
              <w:right w:val="single" w:sz="6" w:space="0" w:color="000000"/>
            </w:tcBorders>
            <w:vAlign w:val="center"/>
          </w:tcPr>
          <w:p>
            <w:pPr>
              <w:pStyle w:val="19"/>
            </w:pPr>
            <w:r>
              <w:t>59.19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3.17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3.17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53.69</w:t>
            </w:r>
          </w:p>
        </w:tc>
        <w:tc>
          <w:tcPr>
            <w:tcW w:w="1361" w:type="dxa"/>
            <w:tcBorders>
              <w:left w:val="single" w:sz="6" w:space="0" w:color="000000"/>
              <w:right w:val="single" w:sz="6" w:space="0" w:color="000000"/>
            </w:tcBorders>
            <w:vAlign w:val="center"/>
          </w:tcPr>
          <w:p>
            <w:pPr>
              <w:pStyle w:val="19"/>
            </w:pPr>
            <w:r>
              <w:t>53.69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53.69</w:t>
            </w:r>
          </w:p>
        </w:tc>
        <w:tc>
          <w:tcPr>
            <w:tcW w:w="1361" w:type="dxa"/>
            <w:tcBorders>
              <w:left w:val="single" w:sz="6" w:space="0" w:color="000000"/>
              <w:right w:val="single" w:sz="6" w:space="0" w:color="000000"/>
            </w:tcBorders>
            <w:vAlign w:val="center"/>
          </w:tcPr>
          <w:p>
            <w:pPr>
              <w:pStyle w:val="19"/>
            </w:pPr>
            <w:r>
              <w:t>53.69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22.62</w:t>
            </w:r>
          </w:p>
        </w:tc>
        <w:tc>
          <w:tcPr>
            <w:tcW w:w="1361" w:type="dxa"/>
            <w:tcBorders>
              <w:left w:val="single" w:sz="6" w:space="0" w:color="000000"/>
              <w:right w:val="single" w:sz="6" w:space="0" w:color="000000"/>
            </w:tcBorders>
            <w:vAlign w:val="center"/>
          </w:tcPr>
          <w:p>
            <w:pPr>
              <w:pStyle w:val="19"/>
            </w:pPr>
            <w:r>
              <w:t>22.62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31.07</w:t>
            </w:r>
          </w:p>
        </w:tc>
        <w:tc>
          <w:tcPr>
            <w:tcW w:w="1361" w:type="dxa"/>
            <w:tcBorders>
              <w:left w:val="single" w:sz="6" w:space="0" w:color="000000"/>
              <w:right w:val="single" w:sz="6" w:space="0" w:color="000000"/>
            </w:tcBorders>
            <w:vAlign w:val="center"/>
          </w:tcPr>
          <w:p>
            <w:pPr>
              <w:pStyle w:val="19"/>
            </w:pPr>
            <w:r>
              <w:t>31.07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r>
              <w:t>47.38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1417.88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993.78</w:t>
            </w:r>
          </w:p>
        </w:tc>
        <w:tc>
          <w:tcPr>
            <w:tcW w:w="1474" w:type="dxa"/>
            <w:tcBorders>
              <w:left w:val="single" w:sz="6" w:space="0" w:color="000000"/>
              <w:right w:val="single" w:sz="6" w:space="0" w:color="000000"/>
            </w:tcBorders>
            <w:vAlign w:val="center"/>
          </w:tcPr>
          <w:p>
            <w:pPr>
              <w:pStyle w:val="19"/>
            </w:pPr>
            <w:r>
              <w:t>993.78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20.00</w:t>
            </w: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r>
              <w:t>254.16</w:t>
            </w:r>
          </w:p>
        </w:tc>
        <w:tc>
          <w:tcPr>
            <w:tcW w:w="1474" w:type="dxa"/>
            <w:tcBorders>
              <w:left w:val="single" w:sz="6" w:space="0" w:color="000000"/>
              <w:right w:val="single" w:sz="6" w:space="0" w:color="000000"/>
            </w:tcBorders>
            <w:vAlign w:val="center"/>
          </w:tcPr>
          <w:p>
            <w:pPr>
              <w:pStyle w:val="19"/>
            </w:pPr>
            <w:r>
              <w:t>234.16</w:t>
            </w:r>
          </w:p>
        </w:tc>
        <w:tc>
          <w:tcPr>
            <w:tcW w:w="1474" w:type="dxa"/>
            <w:tcBorders>
              <w:left w:val="single" w:sz="6" w:space="0" w:color="000000"/>
              <w:right w:val="single" w:sz="6" w:space="0" w:color="000000"/>
            </w:tcBorders>
            <w:vAlign w:val="center"/>
          </w:tcPr>
          <w:p>
            <w:pPr>
              <w:pStyle w:val="19"/>
            </w:pPr>
            <w:r>
              <w:t>20.00</w:t>
            </w: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88.87</w:t>
            </w:r>
          </w:p>
        </w:tc>
        <w:tc>
          <w:tcPr>
            <w:tcW w:w="1474" w:type="dxa"/>
            <w:tcBorders>
              <w:left w:val="single" w:sz="6" w:space="0" w:color="000000"/>
              <w:right w:val="single" w:sz="6" w:space="0" w:color="000000"/>
            </w:tcBorders>
            <w:vAlign w:val="center"/>
          </w:tcPr>
          <w:p>
            <w:pPr>
              <w:pStyle w:val="19"/>
            </w:pPr>
            <w:r>
              <w:t>88.87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53.69</w:t>
            </w:r>
          </w:p>
        </w:tc>
        <w:tc>
          <w:tcPr>
            <w:tcW w:w="1474" w:type="dxa"/>
            <w:tcBorders>
              <w:left w:val="single" w:sz="6" w:space="0" w:color="000000"/>
              <w:right w:val="single" w:sz="6" w:space="0" w:color="000000"/>
            </w:tcBorders>
            <w:vAlign w:val="center"/>
          </w:tcPr>
          <w:p>
            <w:pPr>
              <w:pStyle w:val="19"/>
            </w:pPr>
            <w:r>
              <w:t>53.69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47.38</w:t>
            </w:r>
          </w:p>
        </w:tc>
        <w:tc>
          <w:tcPr>
            <w:tcW w:w="1474" w:type="dxa"/>
            <w:tcBorders>
              <w:left w:val="single" w:sz="6" w:space="0" w:color="000000"/>
              <w:right w:val="single" w:sz="6" w:space="0" w:color="000000"/>
            </w:tcBorders>
            <w:vAlign w:val="center"/>
          </w:tcPr>
          <w:p>
            <w:pPr>
              <w:pStyle w:val="19"/>
            </w:pPr>
            <w:r>
              <w:t>47.38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1437.88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1437.88</w:t>
            </w:r>
          </w:p>
        </w:tc>
        <w:tc>
          <w:tcPr>
            <w:tcW w:w="1474" w:type="dxa"/>
            <w:tcBorders>
              <w:left w:val="single" w:sz="6" w:space="0" w:color="000000"/>
              <w:right w:val="single" w:sz="6" w:space="0" w:color="000000"/>
            </w:tcBorders>
            <w:vAlign w:val="center"/>
          </w:tcPr>
          <w:p>
            <w:pPr>
              <w:pStyle w:val="23"/>
            </w:pPr>
            <w:r>
              <w:t>1417.88</w:t>
            </w:r>
          </w:p>
        </w:tc>
        <w:tc>
          <w:tcPr>
            <w:tcW w:w="1474" w:type="dxa"/>
            <w:tcBorders>
              <w:left w:val="single" w:sz="6" w:space="0" w:color="000000"/>
              <w:right w:val="single" w:sz="6" w:space="0" w:color="000000"/>
            </w:tcBorders>
            <w:vAlign w:val="center"/>
          </w:tcPr>
          <w:p>
            <w:pPr>
              <w:pStyle w:val="23"/>
            </w:pPr>
            <w:r>
              <w:t>20.00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1437.88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1437.88</w:t>
            </w:r>
          </w:p>
        </w:tc>
        <w:tc>
          <w:tcPr>
            <w:tcW w:w="1474" w:type="dxa"/>
            <w:tcBorders>
              <w:left w:val="single" w:sz="6" w:space="0" w:color="000000"/>
              <w:right w:val="single" w:sz="6" w:space="0" w:color="000000"/>
            </w:tcBorders>
            <w:vAlign w:val="center"/>
          </w:tcPr>
          <w:p>
            <w:pPr>
              <w:pStyle w:val="23"/>
            </w:pPr>
            <w:r>
              <w:t>1417.88</w:t>
            </w:r>
          </w:p>
        </w:tc>
        <w:tc>
          <w:tcPr>
            <w:tcW w:w="1474" w:type="dxa"/>
            <w:tcBorders>
              <w:left w:val="single" w:sz="6" w:space="0" w:color="000000"/>
              <w:right w:val="single" w:sz="6" w:space="0" w:color="000000"/>
            </w:tcBorders>
            <w:vAlign w:val="center"/>
          </w:tcPr>
          <w:p>
            <w:pPr>
              <w:pStyle w:val="23"/>
            </w:pPr>
            <w:r>
              <w:t>20.00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1417.88</w:t>
            </w:r>
          </w:p>
        </w:tc>
        <w:tc>
          <w:tcPr>
            <w:tcW w:w="2551" w:type="dxa"/>
            <w:tcBorders>
              <w:left w:val="single" w:sz="6" w:space="0" w:color="000000"/>
              <w:right w:val="single" w:sz="6" w:space="0" w:color="000000"/>
            </w:tcBorders>
            <w:vAlign w:val="center"/>
          </w:tcPr>
          <w:p>
            <w:pPr>
              <w:pStyle w:val="23"/>
            </w:pPr>
            <w:r>
              <w:t>747.54</w:t>
            </w:r>
          </w:p>
        </w:tc>
        <w:tc>
          <w:tcPr>
            <w:tcW w:w="2551" w:type="dxa"/>
            <w:vAlign w:val="center"/>
          </w:tcPr>
          <w:p>
            <w:pPr>
              <w:pStyle w:val="23"/>
            </w:pPr>
            <w:r>
              <w:t>670.34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993.78</w:t>
            </w:r>
          </w:p>
        </w:tc>
        <w:tc>
          <w:tcPr>
            <w:tcW w:w="2551" w:type="dxa"/>
            <w:tcBorders>
              <w:left w:val="single" w:sz="6" w:space="0" w:color="000000"/>
              <w:right w:val="single" w:sz="6" w:space="0" w:color="000000"/>
            </w:tcBorders>
            <w:vAlign w:val="center"/>
          </w:tcPr>
          <w:p>
            <w:pPr>
              <w:pStyle w:val="19"/>
            </w:pPr>
            <w:r>
              <w:t>560.77</w:t>
            </w:r>
          </w:p>
        </w:tc>
        <w:tc>
          <w:tcPr>
            <w:tcW w:w="2551" w:type="dxa"/>
            <w:vAlign w:val="center"/>
          </w:tcPr>
          <w:p>
            <w:pPr>
              <w:pStyle w:val="19"/>
            </w:pPr>
            <w:r>
              <w:t>433.01</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20133</w:t>
            </w:r>
          </w:p>
        </w:tc>
        <w:tc>
          <w:tcPr>
            <w:tcW w:w="4535" w:type="dxa"/>
            <w:tcBorders>
              <w:left w:val="single" w:sz="6" w:space="0" w:color="000000"/>
              <w:right w:val="single" w:sz="6" w:space="0" w:color="000000"/>
            </w:tcBorders>
            <w:vAlign w:val="center"/>
          </w:tcPr>
          <w:p>
            <w:pPr>
              <w:pStyle w:val="20"/>
            </w:pPr>
            <w:r>
              <w:t>宣传事务</w:t>
            </w:r>
          </w:p>
        </w:tc>
        <w:tc>
          <w:tcPr>
            <w:tcW w:w="2551" w:type="dxa"/>
            <w:tcBorders>
              <w:left w:val="single" w:sz="6" w:space="0" w:color="000000"/>
              <w:right w:val="single" w:sz="6" w:space="0" w:color="000000"/>
            </w:tcBorders>
            <w:vAlign w:val="center"/>
          </w:tcPr>
          <w:p>
            <w:pPr>
              <w:pStyle w:val="19"/>
            </w:pPr>
            <w:r>
              <w:t>993.78</w:t>
            </w:r>
          </w:p>
        </w:tc>
        <w:tc>
          <w:tcPr>
            <w:tcW w:w="2551" w:type="dxa"/>
            <w:tcBorders>
              <w:left w:val="single" w:sz="6" w:space="0" w:color="000000"/>
              <w:right w:val="single" w:sz="6" w:space="0" w:color="000000"/>
            </w:tcBorders>
            <w:vAlign w:val="center"/>
          </w:tcPr>
          <w:p>
            <w:pPr>
              <w:pStyle w:val="19"/>
            </w:pPr>
            <w:r>
              <w:t>560.77</w:t>
            </w:r>
          </w:p>
        </w:tc>
        <w:tc>
          <w:tcPr>
            <w:tcW w:w="2551" w:type="dxa"/>
            <w:vAlign w:val="center"/>
          </w:tcPr>
          <w:p>
            <w:pPr>
              <w:pStyle w:val="19"/>
            </w:pPr>
            <w:r>
              <w:t>433.01</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2013301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560.77</w:t>
            </w:r>
          </w:p>
        </w:tc>
        <w:tc>
          <w:tcPr>
            <w:tcW w:w="2551" w:type="dxa"/>
            <w:tcBorders>
              <w:left w:val="single" w:sz="6" w:space="0" w:color="000000"/>
              <w:right w:val="single" w:sz="6" w:space="0" w:color="000000"/>
            </w:tcBorders>
            <w:vAlign w:val="center"/>
          </w:tcPr>
          <w:p>
            <w:pPr>
              <w:pStyle w:val="19"/>
            </w:pPr>
            <w:r>
              <w:t>560.77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2013302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433.01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433.01</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234.16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234.16</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20799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234.16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234.16</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2079999</w:t>
            </w:r>
          </w:p>
        </w:tc>
        <w:tc>
          <w:tcPr>
            <w:tcW w:w="4535" w:type="dxa"/>
            <w:tcBorders>
              <w:left w:val="single" w:sz="6" w:space="0" w:color="000000"/>
              <w:right w:val="single" w:sz="6" w:space="0" w:color="000000"/>
            </w:tcBorders>
            <w:vAlign w:val="center"/>
          </w:tcPr>
          <w:p>
            <w:pPr>
              <w:pStyle w:val="20"/>
            </w:pPr>
            <w:r>
              <w:t>其他文化旅游体育与传媒支出</w:t>
            </w:r>
          </w:p>
        </w:tc>
        <w:tc>
          <w:tcPr>
            <w:tcW w:w="2551" w:type="dxa"/>
            <w:tcBorders>
              <w:left w:val="single" w:sz="6" w:space="0" w:color="000000"/>
              <w:right w:val="single" w:sz="6" w:space="0" w:color="000000"/>
            </w:tcBorders>
            <w:vAlign w:val="center"/>
          </w:tcPr>
          <w:p>
            <w:pPr>
              <w:pStyle w:val="19"/>
            </w:pPr>
            <w:r>
              <w:t>234.16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234.16</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88.87</w:t>
            </w:r>
          </w:p>
        </w:tc>
        <w:tc>
          <w:tcPr>
            <w:tcW w:w="2551" w:type="dxa"/>
            <w:tcBorders>
              <w:left w:val="single" w:sz="6" w:space="0" w:color="000000"/>
              <w:right w:val="single" w:sz="6" w:space="0" w:color="000000"/>
            </w:tcBorders>
            <w:vAlign w:val="center"/>
          </w:tcPr>
          <w:p>
            <w:pPr>
              <w:pStyle w:val="19"/>
            </w:pPr>
            <w:r>
              <w:t>85.70</w:t>
            </w:r>
          </w:p>
        </w:tc>
        <w:tc>
          <w:tcPr>
            <w:tcW w:w="2551" w:type="dxa"/>
            <w:vAlign w:val="center"/>
          </w:tcPr>
          <w:p>
            <w:pPr>
              <w:pStyle w:val="19"/>
            </w:pPr>
            <w:r>
              <w:t>3.17</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85.70</w:t>
            </w:r>
          </w:p>
        </w:tc>
        <w:tc>
          <w:tcPr>
            <w:tcW w:w="2551" w:type="dxa"/>
            <w:tcBorders>
              <w:left w:val="single" w:sz="6" w:space="0" w:color="000000"/>
              <w:right w:val="single" w:sz="6" w:space="0" w:color="000000"/>
            </w:tcBorders>
            <w:vAlign w:val="center"/>
          </w:tcPr>
          <w:p>
            <w:pPr>
              <w:pStyle w:val="19"/>
            </w:pPr>
            <w:r>
              <w:t>85.70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26.51</w:t>
            </w:r>
          </w:p>
        </w:tc>
        <w:tc>
          <w:tcPr>
            <w:tcW w:w="2551" w:type="dxa"/>
            <w:tcBorders>
              <w:left w:val="single" w:sz="6" w:space="0" w:color="000000"/>
              <w:right w:val="single" w:sz="6" w:space="0" w:color="000000"/>
            </w:tcBorders>
            <w:vAlign w:val="center"/>
          </w:tcPr>
          <w:p>
            <w:pPr>
              <w:pStyle w:val="19"/>
            </w:pPr>
            <w:r>
              <w:t>26.51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59.19</w:t>
            </w:r>
          </w:p>
        </w:tc>
        <w:tc>
          <w:tcPr>
            <w:tcW w:w="2551" w:type="dxa"/>
            <w:tcBorders>
              <w:left w:val="single" w:sz="6" w:space="0" w:color="000000"/>
              <w:right w:val="single" w:sz="6" w:space="0" w:color="000000"/>
            </w:tcBorders>
            <w:vAlign w:val="center"/>
          </w:tcPr>
          <w:p>
            <w:pPr>
              <w:pStyle w:val="19"/>
            </w:pPr>
            <w:r>
              <w:t>59.19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3.17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3.17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3.17</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53.69</w:t>
            </w:r>
          </w:p>
        </w:tc>
        <w:tc>
          <w:tcPr>
            <w:tcW w:w="2551" w:type="dxa"/>
            <w:tcBorders>
              <w:left w:val="single" w:sz="6" w:space="0" w:color="000000"/>
              <w:right w:val="single" w:sz="6" w:space="0" w:color="000000"/>
            </w:tcBorders>
            <w:vAlign w:val="center"/>
          </w:tcPr>
          <w:p>
            <w:pPr>
              <w:pStyle w:val="19"/>
            </w:pPr>
            <w:r>
              <w:t>53.69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53.69</w:t>
            </w:r>
          </w:p>
        </w:tc>
        <w:tc>
          <w:tcPr>
            <w:tcW w:w="2551" w:type="dxa"/>
            <w:tcBorders>
              <w:left w:val="single" w:sz="6" w:space="0" w:color="000000"/>
              <w:right w:val="single" w:sz="6" w:space="0" w:color="000000"/>
            </w:tcBorders>
            <w:vAlign w:val="center"/>
          </w:tcPr>
          <w:p>
            <w:pPr>
              <w:pStyle w:val="19"/>
            </w:pPr>
            <w:r>
              <w:t>53.69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22.62</w:t>
            </w:r>
          </w:p>
        </w:tc>
        <w:tc>
          <w:tcPr>
            <w:tcW w:w="2551" w:type="dxa"/>
            <w:tcBorders>
              <w:left w:val="single" w:sz="6" w:space="0" w:color="000000"/>
              <w:right w:val="single" w:sz="6" w:space="0" w:color="000000"/>
            </w:tcBorders>
            <w:vAlign w:val="center"/>
          </w:tcPr>
          <w:p>
            <w:pPr>
              <w:pStyle w:val="19"/>
            </w:pPr>
            <w:r>
              <w:t>22.62</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31.07</w:t>
            </w:r>
          </w:p>
        </w:tc>
        <w:tc>
          <w:tcPr>
            <w:tcW w:w="2551" w:type="dxa"/>
            <w:tcBorders>
              <w:left w:val="single" w:sz="6" w:space="0" w:color="000000"/>
              <w:right w:val="single" w:sz="6" w:space="0" w:color="000000"/>
            </w:tcBorders>
            <w:vAlign w:val="center"/>
          </w:tcPr>
          <w:p>
            <w:pPr>
              <w:pStyle w:val="19"/>
            </w:pPr>
            <w:r>
              <w:t>31.07</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47.38</w:t>
            </w:r>
          </w:p>
        </w:tc>
        <w:tc>
          <w:tcPr>
            <w:tcW w:w="2551" w:type="dxa"/>
            <w:tcBorders>
              <w:left w:val="single" w:sz="6" w:space="0" w:color="000000"/>
              <w:right w:val="single" w:sz="6" w:space="0" w:color="000000"/>
            </w:tcBorders>
            <w:vAlign w:val="center"/>
          </w:tcPr>
          <w:p>
            <w:pPr>
              <w:pStyle w:val="19"/>
            </w:pPr>
            <w:r>
              <w:t>47.38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47.38</w:t>
            </w:r>
          </w:p>
        </w:tc>
        <w:tc>
          <w:tcPr>
            <w:tcW w:w="2551" w:type="dxa"/>
            <w:tcBorders>
              <w:left w:val="single" w:sz="6" w:space="0" w:color="000000"/>
              <w:right w:val="single" w:sz="6" w:space="0" w:color="000000"/>
            </w:tcBorders>
            <w:vAlign w:val="center"/>
          </w:tcPr>
          <w:p>
            <w:pPr>
              <w:pStyle w:val="19"/>
            </w:pPr>
            <w:r>
              <w:t>47.38</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47.38</w:t>
            </w:r>
          </w:p>
        </w:tc>
        <w:tc>
          <w:tcPr>
            <w:tcW w:w="2551" w:type="dxa"/>
            <w:tcBorders>
              <w:left w:val="single" w:sz="6" w:space="0" w:color="000000"/>
              <w:right w:val="single" w:sz="6" w:space="0" w:color="000000"/>
            </w:tcBorders>
            <w:vAlign w:val="center"/>
          </w:tcPr>
          <w:p>
            <w:pPr>
              <w:pStyle w:val="19"/>
            </w:pPr>
            <w:r>
              <w:t>47.38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747.54</w:t>
            </w:r>
          </w:p>
        </w:tc>
        <w:tc>
          <w:tcPr>
            <w:tcW w:w="2551" w:type="dxa"/>
            <w:tcBorders>
              <w:left w:val="single" w:sz="6" w:space="0" w:color="000000"/>
              <w:right w:val="single" w:sz="6" w:space="0" w:color="000000"/>
            </w:tcBorders>
            <w:vAlign w:val="center"/>
          </w:tcPr>
          <w:p>
            <w:pPr>
              <w:pStyle w:val="23"/>
            </w:pPr>
            <w:r>
              <w:t>699.68</w:t>
            </w:r>
          </w:p>
        </w:tc>
        <w:tc>
          <w:tcPr>
            <w:tcW w:w="2551" w:type="dxa"/>
            <w:vAlign w:val="center"/>
          </w:tcPr>
          <w:p>
            <w:pPr>
              <w:pStyle w:val="23"/>
            </w:pPr>
            <w:r>
              <w:t>47.86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673.09</w:t>
            </w:r>
          </w:p>
        </w:tc>
        <w:tc>
          <w:tcPr>
            <w:tcW w:w="2551" w:type="dxa"/>
            <w:tcBorders>
              <w:left w:val="single" w:sz="6" w:space="0" w:color="000000"/>
              <w:right w:val="single" w:sz="6" w:space="0" w:color="000000"/>
            </w:tcBorders>
            <w:vAlign w:val="center"/>
          </w:tcPr>
          <w:p>
            <w:pPr>
              <w:pStyle w:val="19"/>
            </w:pPr>
            <w:r>
              <w:t>673.09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161.33</w:t>
            </w:r>
          </w:p>
        </w:tc>
        <w:tc>
          <w:tcPr>
            <w:tcW w:w="2551" w:type="dxa"/>
            <w:tcBorders>
              <w:left w:val="single" w:sz="6" w:space="0" w:color="000000"/>
              <w:right w:val="single" w:sz="6" w:space="0" w:color="000000"/>
            </w:tcBorders>
            <w:vAlign w:val="center"/>
          </w:tcPr>
          <w:p>
            <w:pPr>
              <w:pStyle w:val="19"/>
            </w:pPr>
            <w:r>
              <w:t>161.33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84.41</w:t>
            </w:r>
          </w:p>
        </w:tc>
        <w:tc>
          <w:tcPr>
            <w:tcW w:w="2551" w:type="dxa"/>
            <w:tcBorders>
              <w:left w:val="single" w:sz="6" w:space="0" w:color="000000"/>
              <w:right w:val="single" w:sz="6" w:space="0" w:color="000000"/>
            </w:tcBorders>
            <w:vAlign w:val="center"/>
          </w:tcPr>
          <w:p>
            <w:pPr>
              <w:pStyle w:val="19"/>
            </w:pPr>
            <w:r>
              <w:t>84.41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33.24</w:t>
            </w:r>
          </w:p>
        </w:tc>
        <w:tc>
          <w:tcPr>
            <w:tcW w:w="2551" w:type="dxa"/>
            <w:tcBorders>
              <w:left w:val="single" w:sz="6" w:space="0" w:color="000000"/>
              <w:right w:val="single" w:sz="6" w:space="0" w:color="000000"/>
            </w:tcBorders>
            <w:vAlign w:val="center"/>
          </w:tcPr>
          <w:p>
            <w:pPr>
              <w:pStyle w:val="19"/>
            </w:pPr>
            <w:r>
              <w:t>33.24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122.62</w:t>
            </w:r>
          </w:p>
        </w:tc>
        <w:tc>
          <w:tcPr>
            <w:tcW w:w="2551" w:type="dxa"/>
            <w:tcBorders>
              <w:left w:val="single" w:sz="6" w:space="0" w:color="000000"/>
              <w:right w:val="single" w:sz="6" w:space="0" w:color="000000"/>
            </w:tcBorders>
            <w:vAlign w:val="center"/>
          </w:tcPr>
          <w:p>
            <w:pPr>
              <w:pStyle w:val="19"/>
            </w:pPr>
            <w:r>
              <w:t>122.62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59.19</w:t>
            </w:r>
          </w:p>
        </w:tc>
        <w:tc>
          <w:tcPr>
            <w:tcW w:w="2551" w:type="dxa"/>
            <w:tcBorders>
              <w:left w:val="single" w:sz="6" w:space="0" w:color="000000"/>
              <w:right w:val="single" w:sz="6" w:space="0" w:color="000000"/>
            </w:tcBorders>
            <w:vAlign w:val="center"/>
          </w:tcPr>
          <w:p>
            <w:pPr>
              <w:pStyle w:val="19"/>
            </w:pPr>
            <w:r>
              <w:t>59.19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22.62</w:t>
            </w:r>
          </w:p>
        </w:tc>
        <w:tc>
          <w:tcPr>
            <w:tcW w:w="2551" w:type="dxa"/>
            <w:tcBorders>
              <w:left w:val="single" w:sz="6" w:space="0" w:color="000000"/>
              <w:right w:val="single" w:sz="6" w:space="0" w:color="000000"/>
            </w:tcBorders>
            <w:vAlign w:val="center"/>
          </w:tcPr>
          <w:p>
            <w:pPr>
              <w:pStyle w:val="19"/>
            </w:pPr>
            <w:r>
              <w:t>22.62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31.07</w:t>
            </w:r>
          </w:p>
        </w:tc>
        <w:tc>
          <w:tcPr>
            <w:tcW w:w="2551" w:type="dxa"/>
            <w:tcBorders>
              <w:left w:val="single" w:sz="6" w:space="0" w:color="000000"/>
              <w:right w:val="single" w:sz="6" w:space="0" w:color="000000"/>
            </w:tcBorders>
            <w:vAlign w:val="center"/>
          </w:tcPr>
          <w:p>
            <w:pPr>
              <w:pStyle w:val="19"/>
            </w:pPr>
            <w:r>
              <w:t>31.07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3.65</w:t>
            </w:r>
          </w:p>
        </w:tc>
        <w:tc>
          <w:tcPr>
            <w:tcW w:w="2551" w:type="dxa"/>
            <w:tcBorders>
              <w:left w:val="single" w:sz="6" w:space="0" w:color="000000"/>
              <w:right w:val="single" w:sz="6" w:space="0" w:color="000000"/>
            </w:tcBorders>
            <w:vAlign w:val="center"/>
          </w:tcPr>
          <w:p>
            <w:pPr>
              <w:pStyle w:val="19"/>
            </w:pPr>
            <w:r>
              <w:t>3.65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47.38</w:t>
            </w:r>
          </w:p>
        </w:tc>
        <w:tc>
          <w:tcPr>
            <w:tcW w:w="2551" w:type="dxa"/>
            <w:tcBorders>
              <w:left w:val="single" w:sz="6" w:space="0" w:color="000000"/>
              <w:right w:val="single" w:sz="6" w:space="0" w:color="000000"/>
            </w:tcBorders>
            <w:vAlign w:val="center"/>
          </w:tcPr>
          <w:p>
            <w:pPr>
              <w:pStyle w:val="19"/>
            </w:pPr>
            <w:r>
              <w:t>47.38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107.58</w:t>
            </w:r>
          </w:p>
        </w:tc>
        <w:tc>
          <w:tcPr>
            <w:tcW w:w="2551" w:type="dxa"/>
            <w:tcBorders>
              <w:left w:val="single" w:sz="6" w:space="0" w:color="000000"/>
              <w:right w:val="single" w:sz="6" w:space="0" w:color="000000"/>
            </w:tcBorders>
            <w:vAlign w:val="center"/>
          </w:tcPr>
          <w:p>
            <w:pPr>
              <w:pStyle w:val="19"/>
            </w:pPr>
            <w:r>
              <w:t>107.58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47.86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47.86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5.52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9.65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9.65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8.80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4.67</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12.52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12.52</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26.59</w:t>
            </w:r>
          </w:p>
        </w:tc>
        <w:tc>
          <w:tcPr>
            <w:tcW w:w="2551" w:type="dxa"/>
            <w:tcBorders>
              <w:left w:val="single" w:sz="6" w:space="0" w:color="000000"/>
              <w:right w:val="single" w:sz="6" w:space="0" w:color="000000"/>
            </w:tcBorders>
            <w:vAlign w:val="center"/>
          </w:tcPr>
          <w:p>
            <w:pPr>
              <w:pStyle w:val="19"/>
            </w:pPr>
            <w:r>
              <w:t>26.59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26.51</w:t>
            </w:r>
          </w:p>
        </w:tc>
        <w:tc>
          <w:tcPr>
            <w:tcW w:w="2551" w:type="dxa"/>
            <w:tcBorders>
              <w:left w:val="single" w:sz="6" w:space="0" w:color="000000"/>
              <w:right w:val="single" w:sz="6" w:space="0" w:color="000000"/>
            </w:tcBorders>
            <w:vAlign w:val="center"/>
          </w:tcPr>
          <w:p>
            <w:pPr>
              <w:pStyle w:val="19"/>
            </w:pPr>
            <w:r>
              <w:t>26.51</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0.08</w:t>
            </w:r>
          </w:p>
        </w:tc>
        <w:tc>
          <w:tcPr>
            <w:tcW w:w="2551" w:type="dxa"/>
            <w:tcBorders>
              <w:left w:val="single" w:sz="6" w:space="0" w:color="000000"/>
              <w:right w:val="single" w:sz="6" w:space="0" w:color="000000"/>
            </w:tcBorders>
            <w:vAlign w:val="center"/>
          </w:tcPr>
          <w:p>
            <w:pPr>
              <w:pStyle w:val="19"/>
            </w:pPr>
            <w:r>
              <w:t>0.08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20.00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20.00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207</w:t>
            </w:r>
          </w:p>
        </w:tc>
        <w:tc>
          <w:tcPr>
            <w:tcW w:w="4535" w:type="dxa"/>
            <w:tcBorders>
              <w:left w:val="single" w:sz="6" w:space="0" w:color="000000"/>
              <w:right w:val="single" w:sz="6" w:space="0" w:color="000000"/>
            </w:tcBorders>
            <w:vAlign w:val="center"/>
          </w:tcPr>
          <w:p>
            <w:pPr>
              <w:pStyle w:val="20"/>
            </w:pPr>
            <w:r>
              <w:t>文化旅游体育与传媒支出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20707</w:t>
            </w:r>
          </w:p>
        </w:tc>
        <w:tc>
          <w:tcPr>
            <w:tcW w:w="4535" w:type="dxa"/>
            <w:tcBorders>
              <w:left w:val="single" w:sz="6" w:space="0" w:color="000000"/>
              <w:right w:val="single" w:sz="6" w:space="0" w:color="000000"/>
            </w:tcBorders>
            <w:vAlign w:val="center"/>
          </w:tcPr>
          <w:p>
            <w:pPr>
              <w:pStyle w:val="20"/>
            </w:pPr>
            <w:r>
              <w:t>国家电影事业发展专项资金安排的支出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2070799</w:t>
            </w:r>
          </w:p>
        </w:tc>
        <w:tc>
          <w:tcPr>
            <w:tcW w:w="4535" w:type="dxa"/>
            <w:tcBorders>
              <w:left w:val="single" w:sz="6" w:space="0" w:color="000000"/>
              <w:right w:val="single" w:sz="6" w:space="0" w:color="000000"/>
            </w:tcBorders>
            <w:vAlign w:val="center"/>
          </w:tcPr>
          <w:p>
            <w:pPr>
              <w:pStyle w:val="20"/>
            </w:pPr>
            <w:r>
              <w:t>其他国家电影事业发展专项资金支出</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r>
              <w:t>2.80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r>
              <w:t>2.80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中国共产党唐山市丰南区委员会宣传部2024年部门预算信息公开情况说明</w:t>
      </w:r>
    </w:p>
    <w:p>
      <w:pPr>
        <w:jc w:val="center"/>
      </w:pPr>
      <w:r>
        <w:rPr>
          <w:rFonts w:ascii="方正小标宋_GBK" w:eastAsia="方正小标宋_GBK" w:cs="方正小标宋_GBK" w:hAnsi="方正小标宋_GBK"/>
          <w:color w:val="000000"/>
          <w:sz w:val="44"/>
        </w:rPr>
        <w:t>中国共产党唐山市丰南区委员会宣传部2024年部门预算信息公开情况说明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按照《中华人民共和国预算法》、《地方预决算公开操作规程》和《关于进一步推进预算公开工作的实施意见》规定，现将中国共产党唐山市丰南区委员会宣传部2024年部门预算公开如下：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25"/>
      </w:pPr>
      <w:r>
        <w:t>(一)拟订全区宣传思想文化工作重大方针政策和事业发展总体规划，统筹协调推进宣传思想文化领域法治建设，按照区委统一部署，协调宣传思想文化系统各部门之间的工作。</w:t>
      </w:r>
    </w:p>
    <w:p>
      <w:pPr>
        <w:pStyle w:val="25"/>
      </w:pPr>
      <w:r>
        <w:t>(二)统筹协调全区党的意识形态工作，贯彻落实区委关于意识形态工作决策部署，组织协调意识形态工作责任制落实和日常监督检查，结合巡视巡察工作开展专项检查。</w:t>
      </w:r>
    </w:p>
    <w:p>
      <w:pPr>
        <w:pStyle w:val="25"/>
      </w:pPr>
      <w:r>
        <w:t>(三)统筹指导协调全区理论研究、理论学习、理论宣传工作，组织推动理论武装工作，推动落实马克思主义理论研究和建设工程任务，负责区委理论学习中心组理论学习的有关工作。</w:t>
      </w:r>
    </w:p>
    <w:p>
      <w:pPr>
        <w:pStyle w:val="25"/>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w:t>
      </w:r>
    </w:p>
    <w:p>
      <w:pPr>
        <w:pStyle w:val="25"/>
      </w:pPr>
      <w:r>
        <w:t>负责全区国防教育工作。</w:t>
      </w:r>
    </w:p>
    <w:p>
      <w:pPr>
        <w:pStyle w:val="25"/>
      </w:pPr>
      <w:r>
        <w:t>(五)统筹分析研判和引导全区社会舆论，指导协调区级各新闻单位的工作，组织全区突发公共事件应急新闻工作。承担区突发公共事件应急新闻办公室日常工作。</w:t>
      </w:r>
    </w:p>
    <w:p>
      <w:pPr>
        <w:pStyle w:val="25"/>
      </w:pPr>
      <w:r>
        <w:t>(六)拟定全区新闻出版业的管理政策并督促落实，管理新闻出版行政事务，统筹规划和指导协调新闻出版事业、产业发展监督管理出版物内容和质量，监督管理印刷业，管理著作权，管理出版物进出口等。组织指导协调全区“扫黄打非”工作。负责全区新闻记者证的审核管理。</w:t>
      </w:r>
    </w:p>
    <w:p>
      <w:pPr>
        <w:pStyle w:val="25"/>
      </w:pPr>
      <w:r>
        <w:t>(七)从宏观上统筹指导协调全区互联网宣传和信息内容管理工作。统筹数字新媒体的建设和管理。</w:t>
      </w:r>
    </w:p>
    <w:p>
      <w:pPr>
        <w:pStyle w:val="25"/>
      </w:pPr>
      <w:r>
        <w:t>(八)从宏观上统筹指导协调推动全区精神文化产品的创作和生产，协调组织中华优秀传统文化传承发展有关工作，指导协调推动群众文化建设</w:t>
      </w:r>
    </w:p>
    <w:p>
      <w:pPr>
        <w:pStyle w:val="25"/>
      </w:pPr>
      <w:r>
        <w:t>(九)负责管理全区电影行政事务，指导监管电影放映工作，指导协调全区性重大电影活动。</w:t>
      </w:r>
    </w:p>
    <w:p>
      <w:pPr>
        <w:pStyle w:val="25"/>
      </w:pPr>
      <w:r>
        <w:t>(十)对全区新闻出版、广播影视、文化艺术业改革发展研究提岀政策性建议，统筹指导协调文化体制改革和文化事业、文化产业及旅游业发展。承担区文化体制改革和文化产业发展领导小组办公室日常工作。</w:t>
      </w:r>
    </w:p>
    <w:p>
      <w:pPr>
        <w:pStyle w:val="25"/>
      </w:pPr>
      <w:r>
        <w:t>(十一)统筹指导全区舆情信息工作，组织协调开展区内外舆情信息收集分析硏判工作，跟踪了解、研究掌握宣传舆情动态。</w:t>
      </w:r>
    </w:p>
    <w:p>
      <w:pPr>
        <w:pStyle w:val="25"/>
      </w:pPr>
      <w:r>
        <w:t>(十二)统筹研究拟定有关全区精神文明建设的方针、政策。</w:t>
      </w:r>
    </w:p>
    <w:p>
      <w:pPr>
        <w:pStyle w:val="25"/>
      </w:pPr>
      <w:r>
        <w:t>规划部署全区精神文明建设工作，组织指导全区群众性精神文明创建活动</w:t>
      </w:r>
    </w:p>
    <w:p>
      <w:pPr>
        <w:pStyle w:val="25"/>
      </w:pPr>
      <w:r>
        <w:t>(十三)统筹协调全区对外宣传工作。指导协调有关部门研究拟订全区对外宣传事业发展规划，组织协调我区对外宣传文化交流工作，会同有关部门做好境外记者采访事务方面工作。</w:t>
      </w:r>
    </w:p>
    <w:p>
      <w:pPr>
        <w:pStyle w:val="25"/>
      </w:pPr>
      <w:r>
        <w:t>(十四)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pPr>
        <w:pStyle w:val="25"/>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pPr>
        <w:pStyle w:val="25"/>
      </w:pPr>
      <w:r>
        <w:t>(十六)受区委委托，会同区委组织部管理新闻、文化、社会科学研究和互联网信息等方面区直宣传文化单位的领导干部。</w:t>
      </w:r>
    </w:p>
    <w:p>
      <w:pPr>
        <w:pStyle w:val="25"/>
      </w:pPr>
      <w:r>
        <w:t>对各乡镇、街道党委宣传委员的任免提出意见。负责有关重要宣传舆论阵地和重要岗位领导干部管理工作。负责组织开展宣传思想文化系统干部教育培训和人才工作。</w:t>
      </w:r>
    </w:p>
    <w:p>
      <w:pPr>
        <w:pStyle w:val="25"/>
      </w:pPr>
      <w:r>
        <w:t>(十七)对区互联网信息办公室互联网宣传和信息内容管理</w:t>
      </w:r>
    </w:p>
    <w:p>
      <w:pPr>
        <w:pStyle w:val="25"/>
      </w:pPr>
      <w:r>
        <w:t>方面的工作进行方针、政策的指导。归口领导区文化广电和旅游局、区广播电视台。受区委委托，代管区文联。领导和管理区思想政治研究工作。</w:t>
      </w:r>
    </w:p>
    <w:p>
      <w:pPr>
        <w:pStyle w:val="25"/>
      </w:pPr>
      <w:r>
        <w:t>(十八)完成区委交办的其他任务。</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中国共产党唐山市丰南区委员会宣传部本级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按照预算管理有关规定，目前部门预算的编制实行综合预算管理，即全部收入和支出都反映在预算中。中国共产党唐山市丰南区委员会宣传部机关及所属事业单位的收支包含在部门预算中。</w:t>
      </w:r>
    </w:p>
    <w:p>
      <w:pPr>
        <w:pStyle w:val="26"/>
      </w:pPr>
      <w:r>
        <w:t>1、收入说明</w:t>
      </w:r>
    </w:p>
    <w:p>
      <w:pPr>
        <w:pStyle w:val="26"/>
      </w:pPr>
      <w:r>
        <w:t>反映本部门当年全部收入。2024年预算收入1437.88万元，其中：一般公共预算收入1417.88万元，基金预算收入20.00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宣传部年度部门预算中支出预算的总体情况。2024年支出预算1437.88万元，其中基本支出747.54万元，包括人员经费699.68万元和日常公用经费47.86万元；项目支出690.34万元，主要为提前下达2024年省级国家电影事业发展专项资金 唐财教[2023]85号项目16万元；提前下达2024年中央补助地方国家电影事业发展专项资金 唐财教[2023]84号项目4万元；2024年省级公共文化服务体系建设补助资金 唐财教[2023]95号项目21.75万元；提前下达2024年中央支持地方公共文化服务体系建设补助资金 唐财教[2023]96号项目212.41万元；业务工作经费项目100万元；正版办公软件场地授权项目19万元；年满60周岁老电影放映员补贴项目34.45万元；业务服务外包经费项目16万元；采购未付—新时代文明实践中心建设经费项目132.92万元；新时代文明实践中心运转经费项目50万元；扫黄打非工作经费项目5万元；劳务派遣人员费用（劳务费）项目28万元；国防教育项目3万元；就业见习补贴项目15.84万元；农村公益电影放映项目31.97万元。</w:t>
      </w:r>
    </w:p>
    <w:p>
      <w:pPr>
        <w:pStyle w:val="26"/>
      </w:pPr>
      <w:r>
        <w:t>3、比上年增减情况</w:t>
      </w:r>
    </w:p>
    <w:p>
      <w:pPr>
        <w:pStyle w:val="26"/>
      </w:pPr>
      <w:r>
        <w:t>2024年预算收支安排1437.88万元，较2023年预算增加119.67万元，其中：基本支出减少7.21万元，主要为人员经费减少7.83万元，日常公用经费增加0.62万元。项目支出增加126.88万元，主要为新增项目采购未付—新时代文明实践中心建设项目。</w:t>
      </w:r>
    </w:p>
    <w:p>
      <w:pPr>
        <w:spacing w:before="10" w:after="10" w:line="360" w:lineRule="auto"/>
        <w:ind w:firstLine="640"/>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47.24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360" w:lineRule="auto"/>
        <w:ind w:firstLine="640"/>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2.80万元，其中因公出国（境）费0.00万元；公务用车购置及运维费2.50万元（其中：公务用车购置费为0.00万元，公务用车运维费2.50万元)；公务接待费0.30万元。与2023年相比增加0.00万元，增减变化的主要原因是没有增减变化。</w:t>
      </w:r>
    </w:p>
    <w:p>
      <w:pPr>
        <w:spacing w:before="10" w:after="10" w:line="360" w:lineRule="auto"/>
        <w:ind w:firstLine="640"/>
        <w:outlineLvl w:val="2"/>
      </w:pPr>
      <w:bookmarkStart w:id="13" w:name="_Toc_3_3_0000000014"/>
      <w:r>
        <w:rPr>
          <w:rFonts w:ascii="黑体" w:eastAsia="黑体" w:cs="黑体" w:hAnsi="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9"/>
      </w:pPr>
      <w:r>
        <w:t>2024年，区委宣传部将重点做好以下工作：以党的二十大和习近平总书记系列重要讲话精神为指导，全面学习贯彻中央、省、市、区委工作精神，凝聚全区上下力量，焕发干事创业激情，唱响实干兴区主旋律，争做干事创业排头兵，以奋发有为的精神状态，推动宣传思想文化各项工作任务的落实，为加快建设经济强区美丽丰南提供强大精神文化力量。</w:t>
      </w:r>
    </w:p>
    <w:p>
      <w:pPr>
        <w:spacing w:line="500" w:lineRule="exact"/>
        <w:ind w:firstLine="560"/>
      </w:pPr>
      <w:r>
        <w:rPr>
          <w:rFonts w:eastAsia="方正仿宋_GBK"/>
          <w:color w:val="000000"/>
          <w:sz w:val="28"/>
        </w:rPr>
        <w:t>（二）分项绩效目标</w:t>
      </w:r>
    </w:p>
    <w:p>
      <w:pPr>
        <w:pStyle w:val="30"/>
      </w:pPr>
      <w:r>
        <w:t>1、牢牢掌握意识形态工作领导权、管理权、话语权，弘扬主旋律，汇聚正能量，为全区经济社会发展提供有力的思想保证、精神动力、舆论支持。</w:t>
      </w:r>
    </w:p>
    <w:p>
      <w:pPr>
        <w:pStyle w:val="30"/>
      </w:pPr>
      <w:r>
        <w:t>（1）绩效目标：提升理论研究水平，增强广大干部群众理论自信、道路自信、制度自信，不断巩固全区人民团结奋斗的共同思想基础。</w:t>
      </w:r>
    </w:p>
    <w:p>
      <w:pPr>
        <w:pStyle w:val="30"/>
      </w:pPr>
      <w:r>
        <w:t>绩效指标：组织开展全区干部培训工作10次以上，二十大精神内容普及率90%以上，组织中心组学习次数10次以上。</w:t>
      </w:r>
    </w:p>
    <w:p>
      <w:pPr>
        <w:pStyle w:val="30"/>
      </w:pPr>
      <w:r>
        <w:t>（2）绩效目标：完成思想政治工作重大任务，推进社会主义核心价值观落地生根。</w:t>
      </w:r>
    </w:p>
    <w:p>
      <w:pPr>
        <w:pStyle w:val="30"/>
      </w:pPr>
      <w:r>
        <w:t>绩效指标：重点党报党刊征订普及率100%，主题宣传教育活动开展情况10次以上，社会主义核心价值观内容的普及程度90%可以上，在中央、省、市各大媒体宣传丰南的报道次数60次以上。</w:t>
      </w:r>
    </w:p>
    <w:p>
      <w:pPr>
        <w:pStyle w:val="30"/>
      </w:pPr>
      <w:r>
        <w:t>（3）绩效目标：全区城乡文明程度显著提升，和谐向善的社会风气逐步形成。</w:t>
      </w:r>
    </w:p>
    <w:p>
      <w:pPr>
        <w:pStyle w:val="30"/>
      </w:pPr>
      <w:r>
        <w:t>绩效指标：开展文明城市创建活动的次数10次以上，全民素质培育的普及率90%以上，开展公民道德教育活动的次数10次以上。</w:t>
      </w:r>
    </w:p>
    <w:p>
      <w:pPr>
        <w:pStyle w:val="30"/>
      </w:pPr>
      <w:r>
        <w:t>2、进一步解放和发展文化生产力，推动全区文化事业和文化产业健康发展。</w:t>
      </w:r>
    </w:p>
    <w:p>
      <w:pPr>
        <w:pStyle w:val="30"/>
      </w:pPr>
      <w:r>
        <w:t>绩效目标：推动文化事业、产业和文化艺术快速发展。</w:t>
      </w:r>
    </w:p>
    <w:p>
      <w:pPr>
        <w:pStyle w:val="30"/>
      </w:pPr>
      <w:r>
        <w:t>绩效指标：全区文化产业增加值年增速30%以上，组织系列文化宣传活动数量10次以上，推广文化产业项目的数量5次以上</w:t>
      </w:r>
    </w:p>
    <w:p>
      <w:pPr>
        <w:pStyle w:val="30"/>
      </w:pPr>
      <w:r>
        <w:t>3、确保各项业务工作谋划到位、顺利开展，保障机关工作正常高效运转。</w:t>
      </w:r>
    </w:p>
    <w:p>
      <w:pPr>
        <w:pStyle w:val="30"/>
      </w:pPr>
      <w:r>
        <w:t>绩效目标：确保各项业务工作谋划到位、顺利开展；保障机关工作正常高效运转。</w:t>
      </w:r>
    </w:p>
    <w:p>
      <w:pPr>
        <w:pStyle w:val="30"/>
      </w:pPr>
      <w:r>
        <w:t>绩效指标：重点工作督察督办率100%；规划、制度完成率100%；综合事务工作完成率100%</w:t>
      </w:r>
    </w:p>
    <w:p>
      <w:pPr>
        <w:pStyle w:val="30"/>
      </w:pPr>
      <w:r>
        <w:t>4、城乡文体设施建设水平显著提高，城乡现公共文化服务水平显著提高</w:t>
      </w:r>
    </w:p>
    <w:p>
      <w:pPr>
        <w:pStyle w:val="30"/>
      </w:pPr>
      <w:r>
        <w:t>绩效目标：城乡文体设施建设水平显著提高，群众文化活动水平显著提高，文化艺术作品创作水平显著提高。城乡现公共文化服务水平显著提高</w:t>
      </w:r>
    </w:p>
    <w:p>
      <w:pPr>
        <w:pStyle w:val="30"/>
      </w:pPr>
      <w:r>
        <w:t>绩效指标：文化设施完备，省级领先；机构、队伍健全率95%以上；送公益流动文化服务进基层数30场次。</w:t>
      </w:r>
    </w:p>
    <w:p>
      <w:pPr>
        <w:pStyle w:val="30"/>
      </w:pPr>
      <w:r>
        <w:t>5、确保实现政府机关办公软件正版化全覆盖</w:t>
      </w:r>
    </w:p>
    <w:p>
      <w:pPr>
        <w:pStyle w:val="30"/>
      </w:pPr>
      <w:r>
        <w:t>（1）绩效目标：全面推动使用正版软件工作，健全版权保护体制和机制，在全社会形成遵纪守法、诚信经营、抵制盗版软件、使用正版软件的氛围，进一步提高我区软件版权保护水平。</w:t>
      </w:r>
    </w:p>
    <w:p>
      <w:pPr>
        <w:pStyle w:val="30"/>
      </w:pPr>
      <w:r>
        <w:t>绩效指标：参加教育培训覆盖率100%，各类制度落实率100%，机关正版软件安督导检查频率100%</w:t>
      </w:r>
    </w:p>
    <w:p>
      <w:pPr>
        <w:pStyle w:val="30"/>
      </w:pPr>
      <w:r>
        <w:t>（2）绩效目标：完成区印刷出版企业的年统、年报、年检工作及文化企业的变更、注销。</w:t>
      </w:r>
    </w:p>
    <w:p>
      <w:pPr>
        <w:pStyle w:val="30"/>
      </w:pPr>
      <w:r>
        <w:t>绩效指标：区印刷出版企业年统、年报、年检的完成率100%，文化企业变更、注销的完结率100%，服务满意度100%。</w:t>
      </w:r>
    </w:p>
    <w:p>
      <w:pPr>
        <w:pStyle w:val="30"/>
      </w:pPr>
      <w:r>
        <w:t>6、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pPr>
        <w:pStyle w:val="30"/>
      </w:pPr>
      <w:r>
        <w:t>（1）绩效目标：通过对全区的出版、印刷发行行业的监管，查处违法违规案件，取缔无证经营，营造健康有序的文化氛围。</w:t>
      </w:r>
    </w:p>
    <w:p>
      <w:pPr>
        <w:pStyle w:val="30"/>
      </w:pPr>
      <w:r>
        <w:t>绩效指标：对出版、印刷、发行行业经营单位的巡查率100%，违法违规案件查处率100%，宣传培训覆盖率100%</w:t>
      </w:r>
    </w:p>
    <w:p>
      <w:pPr>
        <w:pStyle w:val="30"/>
      </w:pPr>
      <w:r>
        <w:t>（2）绩效目标：通过对广播电影、电视行业的监管，查处违法违规案件，取缔无证经营，保证我区广播电视的播出秩序稳定有序。</w:t>
      </w:r>
    </w:p>
    <w:p>
      <w:pPr>
        <w:pStyle w:val="30"/>
      </w:pPr>
      <w:r>
        <w:t>绩效指标：对广播电影、电视行业经营单位的巡查率100%,宣传培训覆盖率100%,违法违规案件查处率100%。</w:t>
      </w:r>
    </w:p>
    <w:p>
      <w:pPr>
        <w:pStyle w:val="30"/>
      </w:pPr>
      <w:r>
        <w:t>（3）绩效目标：净化出版物市场、保证知识产权、规范营业性演出，整治校园周边秩序，完成上级交办的“扫黄打非”任务，协助其他成员单位的“扫黄打非”工作。</w:t>
      </w:r>
    </w:p>
    <w:p>
      <w:pPr>
        <w:pStyle w:val="30"/>
      </w:pPr>
      <w:r>
        <w:t>绩效指标：校园周边非法出版物净化率100%,扫黄打非进基层覆盖率100%,扫黄打非案件查处率100%。</w:t>
      </w:r>
    </w:p>
    <w:p>
      <w:pPr>
        <w:spacing w:line="500" w:lineRule="exact"/>
        <w:ind w:firstLine="560"/>
      </w:pPr>
      <w:r>
        <w:rPr>
          <w:rFonts w:eastAsia="方正仿宋_GBK"/>
          <w:color w:val="000000"/>
          <w:sz w:val="28"/>
        </w:rPr>
        <w:t>（三）工作保障措施</w:t>
      </w:r>
    </w:p>
    <w:p>
      <w:pPr>
        <w:pStyle w:val="31"/>
      </w:pPr>
      <w:r>
        <w:t>1、完善制度建设。定期召开部务会议、周例会、宣传委员月度调度会，及时沟通交流工作进展，协调解决工作推进中的问题。严格落实“五个干”工作机制，明晰责任，明确时间节点，确保工作成效。落实财务管理规定，严格资金管理，为全年预算绩效目标的实现奠定制度基础。</w:t>
      </w:r>
    </w:p>
    <w:p>
      <w:pPr>
        <w:pStyle w:val="31"/>
      </w:pPr>
      <w:r>
        <w:t>2、加强支出管理。通过优化支出结构、编细编实预算、加快履行政府采购手续、尽快启动项目、及时支付资金、6月底前细化代编预算、按规定及时下达资金等多种措施，确保支出进度达标。</w:t>
      </w:r>
    </w:p>
    <w:p>
      <w:pPr>
        <w:pStyle w:val="31"/>
      </w:pPr>
      <w:r>
        <w:t>3、加强绩效运行监控。按年初计划积极开展绩效运行监控，及时发现工作进程及资金支出方面存在的问题，分析原因，执行切实可行的措施，确保绩效目标如期保质实现。</w:t>
      </w:r>
    </w:p>
    <w:p>
      <w:pPr>
        <w:pStyle w:val="31"/>
      </w:pPr>
      <w:r>
        <w:t>4、做好绩效自评。按区财政有关要求，开展半年及全年部门预算绩效自评和重点评价工作，对评价中发现的问题及时整改，调整优化支出结构，提高财政资金使用效益。</w:t>
      </w:r>
    </w:p>
    <w:p>
      <w:pPr>
        <w:pStyle w:val="31"/>
      </w:pPr>
      <w:r>
        <w:t>5、规范财务资产管理。完善财务管理制度，严格审批程序，加强固定资产登记工作、使用和报废处置管理，做到支出合理，物尽其用。</w:t>
      </w:r>
    </w:p>
    <w:p>
      <w:pPr>
        <w:pStyle w:val="31"/>
      </w:pPr>
      <w:r>
        <w:t>6、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7、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left="0" w:firstLineChars="250" w:firstLine="700"/>
        <w:outlineLvl w:val="2"/>
        <w:rPr>
          <w:rFonts w:eastAsia="方正仿宋_GBK"/>
          <w:sz w:val="28"/>
        </w:rPr>
        <w:sectPr>
          <w:pgSz w:w="16840" w:h="11900" w:orient="landscape"/>
          <w:pgMar w:top="1361" w:right="1020" w:bottom="1134" w:left="1020" w:header="720" w:footer="720" w:gutter="0"/>
          <w:docGrid w:linePitch="326" w:charSpace="0"/>
        </w:sectPr>
      </w:pPr>
      <w:r>
        <w:rPr>
          <w:rFonts w:eastAsia="方正仿宋_GBK"/>
          <w:sz w:val="28"/>
        </w:rPr>
        <w:t>无</w:t>
      </w:r>
      <w:bookmarkStart w:id="15" w:name="_GoBack"/>
      <w:bookmarkEnd w:id="15"/>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1、2024年省级公共文化服务体系建设补助资金 唐财教[2023]95号绩效目标表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13020724P00001210003D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2024年省级公共文化服务体系建设补助资金 唐财教[2023]95号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根据唐财教[2023]95号文件精神，为农村电影放映（2131工程项目）和年满60周岁老电影放映员生活补助拨付专款21.7512万元。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1.坚持“尊重历史，保障民生，明确责任，确保落实”的基本原则，妥善解决老放映员的保障和生活困难问题。</w:t>
            </w:r>
          </w:p>
          <w:p>
            <w:pPr>
              <w:pStyle w:val="20"/>
            </w:pPr>
            <w:r>
              <w:t>2.落实“一个村一月放映一场公益电影”目标要求，及时发放补助资金</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公益电影全年放映场次</w:t>
            </w:r>
          </w:p>
        </w:tc>
        <w:tc>
          <w:tcPr>
            <w:tcW w:w="5386" w:type="dxa"/>
            <w:tcBorders>
              <w:left w:val="single" w:sz="6" w:space="0" w:color="000000"/>
              <w:right w:val="single" w:sz="6" w:space="0" w:color="000000"/>
            </w:tcBorders>
            <w:vAlign w:val="center"/>
          </w:tcPr>
          <w:p>
            <w:pPr>
              <w:pStyle w:val="20"/>
            </w:pPr>
            <w:r>
              <w:t>公益电影全年放映场次</w:t>
            </w:r>
          </w:p>
        </w:tc>
        <w:tc>
          <w:tcPr>
            <w:tcW w:w="2268" w:type="dxa"/>
            <w:tcBorders>
              <w:left w:val="single" w:sz="6" w:space="0" w:color="000000"/>
              <w:right w:val="single" w:sz="6" w:space="0" w:color="000000"/>
            </w:tcBorders>
            <w:vAlign w:val="center"/>
          </w:tcPr>
          <w:p>
            <w:pPr>
              <w:pStyle w:val="20"/>
            </w:pPr>
            <w:r>
              <w:t>5328场</w:t>
            </w:r>
          </w:p>
        </w:tc>
        <w:tc>
          <w:tcPr>
            <w:tcW w:w="1276" w:type="dxa"/>
            <w:vAlign w:val="center"/>
          </w:tcPr>
          <w:p>
            <w:pPr>
              <w:pStyle w:val="20"/>
            </w:pPr>
            <w:r>
              <w:t>唐财教【2023】95号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补助资金发放完成率（%）</w:t>
            </w:r>
          </w:p>
        </w:tc>
        <w:tc>
          <w:tcPr>
            <w:tcW w:w="5386" w:type="dxa"/>
            <w:tcBorders>
              <w:left w:val="single" w:sz="6" w:space="0" w:color="000000"/>
              <w:right w:val="single" w:sz="6" w:space="0" w:color="000000"/>
            </w:tcBorders>
            <w:vAlign w:val="center"/>
          </w:tcPr>
          <w:p>
            <w:pPr>
              <w:pStyle w:val="20"/>
            </w:pPr>
            <w:r>
              <w:t>补助资金发放完成率（%）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资金按时拨付</w:t>
            </w:r>
          </w:p>
        </w:tc>
        <w:tc>
          <w:tcPr>
            <w:tcW w:w="5386" w:type="dxa"/>
            <w:tcBorders>
              <w:left w:val="single" w:sz="6" w:space="0" w:color="000000"/>
              <w:right w:val="single" w:sz="6" w:space="0" w:color="000000"/>
            </w:tcBorders>
            <w:vAlign w:val="center"/>
          </w:tcPr>
          <w:p>
            <w:pPr>
              <w:pStyle w:val="20"/>
            </w:pPr>
            <w:r>
              <w:t>资金按时拨付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不超过21.7512万元</w:t>
            </w:r>
          </w:p>
        </w:tc>
        <w:tc>
          <w:tcPr>
            <w:tcW w:w="1276" w:type="dxa"/>
            <w:vAlign w:val="center"/>
          </w:tcPr>
          <w:p>
            <w:pPr>
              <w:pStyle w:val="20"/>
            </w:pPr>
            <w:r>
              <w:t>唐财教【2023】95号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积极改善民生，维护社会和谐稳定</w:t>
            </w:r>
          </w:p>
        </w:tc>
        <w:tc>
          <w:tcPr>
            <w:tcW w:w="1276" w:type="dxa"/>
            <w:vAlign w:val="center"/>
          </w:tcPr>
          <w:p>
            <w:pPr>
              <w:pStyle w:val="20"/>
            </w:pPr>
            <w:r>
              <w:t>唐财教【2023】95号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5386" w:type="dxa"/>
            <w:tcBorders>
              <w:left w:val="single" w:sz="6" w:space="0" w:color="000000"/>
              <w:right w:val="single" w:sz="6" w:space="0" w:color="000000"/>
            </w:tcBorders>
            <w:vAlign w:val="center"/>
          </w:tcPr>
          <w:p>
            <w:pPr>
              <w:pStyle w:val="20"/>
            </w:pPr>
            <w:r>
              <w:t>增强影响力</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唐财教【2023】95号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唐财教【2023】95号</w:t>
            </w:r>
          </w:p>
        </w:tc>
      </w:tr>
    </w:tbl>
    <w:p>
      <w:pPr>
        <w:sectPr>
          <w:type w:val="continuous"/>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2、采购未付—新时代文明实践中心建设经费绩效目标表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13020724P00673610007N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采购未付—新时代文明实践中心建设经费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132.92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132.92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新时代文明实践中心建设项目经区政府批准，2021年完工，审后工程造价为340.910454万元，目前已支付208万元，采购未付金额为132.910454万元。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3543" w:type="dxa"/>
            <w:gridSpan w:val="2"/>
            <w:vAlign w:val="center"/>
          </w:tcPr>
          <w:p>
            <w:pPr>
              <w:pStyle w:val="21"/>
            </w:pPr>
          </w:p>
        </w:tc>
      </w:tr>
      <w:tr>
        <w:trPr>
          <w:trHeight w:val="369"/>
        </w:trPr>
        <w:tc>
          <w:tcPr>
            <w:tcW w:w="1276" w:type="dxa"/>
            <w:vAlign w:val="center"/>
          </w:tcPr>
          <w:p>
            <w:pPr>
              <w:pStyle w:val="18"/>
            </w:pPr>
            <w:r>
              <w:t>绩效目标</w:t>
            </w:r>
          </w:p>
        </w:tc>
        <w:tc>
          <w:tcPr>
            <w:tcW w:w="14031" w:type="dxa"/>
            <w:gridSpan w:val="6"/>
            <w:vAlign w:val="center"/>
          </w:tcPr>
          <w:p>
            <w:pPr>
              <w:pStyle w:val="20"/>
            </w:pPr>
            <w:r>
              <w:t>1.完成本地新时代文明实践中心建设任务，落实县乡村三级设置，打通宣传群众、关心群众、教育群众的最后一公里。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新时代文明实践中心建设数量</w:t>
            </w:r>
          </w:p>
        </w:tc>
        <w:tc>
          <w:tcPr>
            <w:tcW w:w="5386" w:type="dxa"/>
            <w:tcBorders>
              <w:left w:val="single" w:sz="6" w:space="0" w:color="000000"/>
              <w:right w:val="single" w:sz="6" w:space="0" w:color="000000"/>
            </w:tcBorders>
            <w:vAlign w:val="center"/>
          </w:tcPr>
          <w:p>
            <w:pPr>
              <w:pStyle w:val="20"/>
            </w:pPr>
            <w:r>
              <w:t>新时代文明实践中心建设数量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现有阵地平台整合效果</w:t>
            </w:r>
          </w:p>
        </w:tc>
        <w:tc>
          <w:tcPr>
            <w:tcW w:w="5386" w:type="dxa"/>
            <w:tcBorders>
              <w:left w:val="single" w:sz="6" w:space="0" w:color="000000"/>
              <w:right w:val="single" w:sz="6" w:space="0" w:color="000000"/>
            </w:tcBorders>
            <w:vAlign w:val="center"/>
          </w:tcPr>
          <w:p>
            <w:pPr>
              <w:pStyle w:val="20"/>
            </w:pPr>
            <w:r>
              <w:t>现有阵地平台整合效果</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形成地方特色工作经验</w:t>
            </w:r>
          </w:p>
        </w:tc>
        <w:tc>
          <w:tcPr>
            <w:tcW w:w="5386" w:type="dxa"/>
            <w:tcBorders>
              <w:left w:val="single" w:sz="6" w:space="0" w:color="000000"/>
              <w:right w:val="single" w:sz="6" w:space="0" w:color="000000"/>
            </w:tcBorders>
            <w:vAlign w:val="center"/>
          </w:tcPr>
          <w:p>
            <w:pPr>
              <w:pStyle w:val="20"/>
            </w:pPr>
            <w:r>
              <w:t>形成地方特色工作经验</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132.92万元</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人民群众对文明实践工作的满意度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3、国防教育绩效目标表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13020724P0042NF10008T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国防教育</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国防教育划转到宣传部后保留项目支出，每年申请3万元预算用于国防教育日活动宣传、资料印制、条幅制作等。</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1.组织开展国防教育宣传活动，让国防指示入脑入心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5386" w:type="dxa"/>
            <w:tcBorders>
              <w:left w:val="single" w:sz="6" w:space="0" w:color="000000"/>
              <w:right w:val="single" w:sz="6" w:space="0" w:color="000000"/>
            </w:tcBorders>
            <w:vAlign w:val="center"/>
          </w:tcPr>
          <w:p>
            <w:pPr>
              <w:pStyle w:val="20"/>
            </w:pPr>
            <w:r>
              <w:t>组织宣传活动次数</w:t>
            </w:r>
          </w:p>
        </w:tc>
        <w:tc>
          <w:tcPr>
            <w:tcW w:w="2268" w:type="dxa"/>
            <w:tcBorders>
              <w:left w:val="single" w:sz="6" w:space="0" w:color="000000"/>
              <w:right w:val="single" w:sz="6" w:space="0" w:color="000000"/>
            </w:tcBorders>
            <w:vAlign w:val="center"/>
          </w:tcPr>
          <w:p>
            <w:pPr>
              <w:pStyle w:val="20"/>
            </w:pPr>
            <w:r>
              <w:t>≥2次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5386" w:type="dxa"/>
            <w:tcBorders>
              <w:left w:val="single" w:sz="6" w:space="0" w:color="000000"/>
              <w:right w:val="single" w:sz="6" w:space="0" w:color="000000"/>
            </w:tcBorders>
            <w:vAlign w:val="center"/>
          </w:tcPr>
          <w:p>
            <w:pPr>
              <w:pStyle w:val="20"/>
            </w:pPr>
            <w:r>
              <w:t>计划完成率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5386" w:type="dxa"/>
            <w:tcBorders>
              <w:left w:val="single" w:sz="6" w:space="0" w:color="000000"/>
              <w:right w:val="single" w:sz="6" w:space="0" w:color="000000"/>
            </w:tcBorders>
            <w:vAlign w:val="center"/>
          </w:tcPr>
          <w:p>
            <w:pPr>
              <w:pStyle w:val="20"/>
            </w:pPr>
            <w:r>
              <w:t>及时性</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3万元</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提升服务能力</w:t>
            </w:r>
          </w:p>
        </w:tc>
        <w:tc>
          <w:tcPr>
            <w:tcW w:w="5386" w:type="dxa"/>
            <w:tcBorders>
              <w:left w:val="single" w:sz="6" w:space="0" w:color="000000"/>
              <w:right w:val="single" w:sz="6" w:space="0" w:color="000000"/>
            </w:tcBorders>
            <w:vAlign w:val="center"/>
          </w:tcPr>
          <w:p>
            <w:pPr>
              <w:pStyle w:val="20"/>
            </w:pPr>
            <w:r>
              <w:t>提升服务能力</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4、就业见习补贴绩效目标表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13020724P00FXL010006D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用于发放就业见习生活补贴。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1.及时足额发放就业见习生活补贴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5386" w:type="dxa"/>
            <w:tcBorders>
              <w:left w:val="single" w:sz="6" w:space="0" w:color="000000"/>
              <w:right w:val="single" w:sz="6" w:space="0" w:color="000000"/>
            </w:tcBorders>
            <w:vAlign w:val="center"/>
          </w:tcPr>
          <w:p>
            <w:pPr>
              <w:pStyle w:val="20"/>
            </w:pPr>
            <w:r>
              <w:t>安置的见习岗人数</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协议书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5386" w:type="dxa"/>
            <w:tcBorders>
              <w:left w:val="single" w:sz="6" w:space="0" w:color="000000"/>
              <w:right w:val="single" w:sz="6" w:space="0" w:color="000000"/>
            </w:tcBorders>
            <w:vAlign w:val="center"/>
          </w:tcPr>
          <w:p>
            <w:pPr>
              <w:pStyle w:val="20"/>
            </w:pPr>
            <w:r>
              <w:t>见习生补贴发放标准</w:t>
            </w:r>
          </w:p>
        </w:tc>
        <w:tc>
          <w:tcPr>
            <w:tcW w:w="2268" w:type="dxa"/>
            <w:tcBorders>
              <w:left w:val="single" w:sz="6" w:space="0" w:color="000000"/>
              <w:right w:val="single" w:sz="6" w:space="0" w:color="000000"/>
            </w:tcBorders>
            <w:vAlign w:val="center"/>
          </w:tcPr>
          <w:p>
            <w:pPr>
              <w:pStyle w:val="20"/>
            </w:pPr>
            <w:r>
              <w:t>2200元/人/月</w:t>
            </w:r>
          </w:p>
        </w:tc>
        <w:tc>
          <w:tcPr>
            <w:tcW w:w="1276" w:type="dxa"/>
            <w:vAlign w:val="center"/>
          </w:tcPr>
          <w:p>
            <w:pPr>
              <w:pStyle w:val="20"/>
            </w:pPr>
            <w:r>
              <w:t>协议书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补贴发放情况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5386" w:type="dxa"/>
            <w:tcBorders>
              <w:left w:val="single" w:sz="6" w:space="0" w:color="000000"/>
              <w:right w:val="single" w:sz="6" w:space="0" w:color="000000"/>
            </w:tcBorders>
            <w:vAlign w:val="center"/>
          </w:tcPr>
          <w:p>
            <w:pPr>
              <w:pStyle w:val="20"/>
            </w:pPr>
            <w:r>
              <w:t>人均发放水平</w:t>
            </w:r>
          </w:p>
        </w:tc>
        <w:tc>
          <w:tcPr>
            <w:tcW w:w="2268" w:type="dxa"/>
            <w:tcBorders>
              <w:left w:val="single" w:sz="6" w:space="0" w:color="000000"/>
              <w:right w:val="single" w:sz="6" w:space="0" w:color="000000"/>
            </w:tcBorders>
            <w:vAlign w:val="center"/>
          </w:tcPr>
          <w:p>
            <w:pPr>
              <w:pStyle w:val="20"/>
            </w:pPr>
            <w:r>
              <w:t>2200元/人/月</w:t>
            </w:r>
          </w:p>
        </w:tc>
        <w:tc>
          <w:tcPr>
            <w:tcW w:w="1276" w:type="dxa"/>
            <w:vAlign w:val="center"/>
          </w:tcPr>
          <w:p>
            <w:pPr>
              <w:pStyle w:val="20"/>
            </w:pPr>
            <w:r>
              <w:t>工资表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个人消费情况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安排见习人数</w:t>
            </w:r>
          </w:p>
        </w:tc>
        <w:tc>
          <w:tcPr>
            <w:tcW w:w="5386" w:type="dxa"/>
            <w:tcBorders>
              <w:left w:val="single" w:sz="6" w:space="0" w:color="000000"/>
              <w:right w:val="single" w:sz="6" w:space="0" w:color="000000"/>
            </w:tcBorders>
            <w:vAlign w:val="center"/>
          </w:tcPr>
          <w:p>
            <w:pPr>
              <w:pStyle w:val="20"/>
            </w:pPr>
            <w:r>
              <w:t>促进就业机会，缓解就业压力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协议书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发放情况调查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5、就业见习补贴（区级垫付）绩效目标表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13020724P00FXL0100071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就业见习补贴（区级垫付）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12.67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12.67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我部门共招聘6名见习生，工资标准2200元/月,2024年度补贴及保险全年所需经费15.84万元，区级垫付80%，为12.67万元。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1.按时足额发放就业见习基本生活费补贴</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见习岗人员数量</w:t>
            </w:r>
          </w:p>
        </w:tc>
        <w:tc>
          <w:tcPr>
            <w:tcW w:w="5386" w:type="dxa"/>
            <w:tcBorders>
              <w:left w:val="single" w:sz="6" w:space="0" w:color="000000"/>
              <w:right w:val="single" w:sz="6" w:space="0" w:color="000000"/>
            </w:tcBorders>
            <w:vAlign w:val="center"/>
          </w:tcPr>
          <w:p>
            <w:pPr>
              <w:pStyle w:val="20"/>
            </w:pPr>
            <w:r>
              <w:t>见习岗人员数量</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协议书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见习生补贴发放标准</w:t>
            </w:r>
          </w:p>
        </w:tc>
        <w:tc>
          <w:tcPr>
            <w:tcW w:w="5386" w:type="dxa"/>
            <w:tcBorders>
              <w:left w:val="single" w:sz="6" w:space="0" w:color="000000"/>
              <w:right w:val="single" w:sz="6" w:space="0" w:color="000000"/>
            </w:tcBorders>
            <w:vAlign w:val="center"/>
          </w:tcPr>
          <w:p>
            <w:pPr>
              <w:pStyle w:val="20"/>
            </w:pPr>
            <w:r>
              <w:t>见习生补贴发放标准</w:t>
            </w:r>
          </w:p>
        </w:tc>
        <w:tc>
          <w:tcPr>
            <w:tcW w:w="2268" w:type="dxa"/>
            <w:tcBorders>
              <w:left w:val="single" w:sz="6" w:space="0" w:color="000000"/>
              <w:right w:val="single" w:sz="6" w:space="0" w:color="000000"/>
            </w:tcBorders>
            <w:vAlign w:val="center"/>
          </w:tcPr>
          <w:p>
            <w:pPr>
              <w:pStyle w:val="20"/>
            </w:pPr>
            <w:r>
              <w:t>2200元/人/月</w:t>
            </w:r>
          </w:p>
        </w:tc>
        <w:tc>
          <w:tcPr>
            <w:tcW w:w="1276" w:type="dxa"/>
            <w:vAlign w:val="center"/>
          </w:tcPr>
          <w:p>
            <w:pPr>
              <w:pStyle w:val="20"/>
            </w:pPr>
            <w:r>
              <w:t>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补贴发放情况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5386" w:type="dxa"/>
            <w:tcBorders>
              <w:left w:val="single" w:sz="6" w:space="0" w:color="000000"/>
              <w:right w:val="single" w:sz="6" w:space="0" w:color="000000"/>
            </w:tcBorders>
            <w:vAlign w:val="center"/>
          </w:tcPr>
          <w:p>
            <w:pPr>
              <w:pStyle w:val="20"/>
            </w:pPr>
            <w:r>
              <w:t>人均发放水平</w:t>
            </w:r>
          </w:p>
        </w:tc>
        <w:tc>
          <w:tcPr>
            <w:tcW w:w="2268" w:type="dxa"/>
            <w:tcBorders>
              <w:left w:val="single" w:sz="6" w:space="0" w:color="000000"/>
              <w:right w:val="single" w:sz="6" w:space="0" w:color="000000"/>
            </w:tcBorders>
            <w:vAlign w:val="center"/>
          </w:tcPr>
          <w:p>
            <w:pPr>
              <w:pStyle w:val="20"/>
            </w:pPr>
            <w:r>
              <w:t>2200元/人/月</w:t>
            </w:r>
          </w:p>
        </w:tc>
        <w:tc>
          <w:tcPr>
            <w:tcW w:w="1276" w:type="dxa"/>
            <w:vAlign w:val="center"/>
          </w:tcPr>
          <w:p>
            <w:pPr>
              <w:pStyle w:val="20"/>
            </w:pPr>
            <w:r>
              <w:t>工资表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个人消费情况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安排见习人数</w:t>
            </w:r>
          </w:p>
        </w:tc>
        <w:tc>
          <w:tcPr>
            <w:tcW w:w="5386" w:type="dxa"/>
            <w:tcBorders>
              <w:left w:val="single" w:sz="6" w:space="0" w:color="000000"/>
              <w:right w:val="single" w:sz="6" w:space="0" w:color="000000"/>
            </w:tcBorders>
            <w:vAlign w:val="center"/>
          </w:tcPr>
          <w:p>
            <w:pPr>
              <w:pStyle w:val="20"/>
            </w:pPr>
            <w:r>
              <w:t>促进就业机会，缓解就业压力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协议书</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6、劳务派遣人员费用（劳务费）绩效目标表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13020724P00ND0R10005D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劳务派遣人员费用（劳务费）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我单位实有5名劳务派遣人员，按2200元/月计算工资，加上各项保险费用，每年23.79万元，考虑保险调基，2024年度申请28万元。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1.发放劳务派遣人员工资，保障人员基本生活</w:t>
            </w:r>
          </w:p>
          <w:p>
            <w:pPr>
              <w:pStyle w:val="20"/>
            </w:pPr>
            <w:r>
              <w:t>2.维护社会稳定，促进社会健康发展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安排人员数</w:t>
            </w:r>
          </w:p>
        </w:tc>
        <w:tc>
          <w:tcPr>
            <w:tcW w:w="5386" w:type="dxa"/>
            <w:tcBorders>
              <w:left w:val="single" w:sz="6" w:space="0" w:color="000000"/>
              <w:right w:val="single" w:sz="6" w:space="0" w:color="000000"/>
            </w:tcBorders>
            <w:vAlign w:val="center"/>
          </w:tcPr>
          <w:p>
            <w:pPr>
              <w:pStyle w:val="20"/>
            </w:pPr>
            <w:r>
              <w:t>安排的劳务派遣人员数</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劳务派遣合同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工资标准</w:t>
            </w:r>
          </w:p>
        </w:tc>
        <w:tc>
          <w:tcPr>
            <w:tcW w:w="5386" w:type="dxa"/>
            <w:tcBorders>
              <w:left w:val="single" w:sz="6" w:space="0" w:color="000000"/>
              <w:right w:val="single" w:sz="6" w:space="0" w:color="000000"/>
            </w:tcBorders>
            <w:vAlign w:val="center"/>
          </w:tcPr>
          <w:p>
            <w:pPr>
              <w:pStyle w:val="20"/>
            </w:pPr>
            <w:r>
              <w:t>执行工资标准</w:t>
            </w:r>
          </w:p>
        </w:tc>
        <w:tc>
          <w:tcPr>
            <w:tcW w:w="2268" w:type="dxa"/>
            <w:tcBorders>
              <w:left w:val="single" w:sz="6" w:space="0" w:color="000000"/>
              <w:right w:val="single" w:sz="6" w:space="0" w:color="000000"/>
            </w:tcBorders>
            <w:vAlign w:val="center"/>
          </w:tcPr>
          <w:p>
            <w:pPr>
              <w:pStyle w:val="20"/>
            </w:pPr>
            <w:r>
              <w:t>≥2120元/人</w:t>
            </w:r>
          </w:p>
        </w:tc>
        <w:tc>
          <w:tcPr>
            <w:tcW w:w="1276" w:type="dxa"/>
            <w:vAlign w:val="center"/>
          </w:tcPr>
          <w:p>
            <w:pPr>
              <w:pStyle w:val="20"/>
            </w:pPr>
            <w:r>
              <w:t>劳务派遣合同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劳务成本</w:t>
            </w:r>
          </w:p>
        </w:tc>
        <w:tc>
          <w:tcPr>
            <w:tcW w:w="5386" w:type="dxa"/>
            <w:tcBorders>
              <w:left w:val="single" w:sz="6" w:space="0" w:color="000000"/>
              <w:right w:val="single" w:sz="6" w:space="0" w:color="000000"/>
            </w:tcBorders>
            <w:vAlign w:val="center"/>
          </w:tcPr>
          <w:p>
            <w:pPr>
              <w:pStyle w:val="20"/>
            </w:pPr>
            <w:r>
              <w:t>为劳务派遣人员发放的劳务费</w:t>
            </w:r>
          </w:p>
        </w:tc>
        <w:tc>
          <w:tcPr>
            <w:tcW w:w="2268" w:type="dxa"/>
            <w:tcBorders>
              <w:left w:val="single" w:sz="6" w:space="0" w:color="000000"/>
              <w:right w:val="single" w:sz="6" w:space="0" w:color="000000"/>
            </w:tcBorders>
            <w:vAlign w:val="center"/>
          </w:tcPr>
          <w:p>
            <w:pPr>
              <w:pStyle w:val="20"/>
            </w:pPr>
            <w:r>
              <w:t>≥2120元/人</w:t>
            </w:r>
          </w:p>
        </w:tc>
        <w:tc>
          <w:tcPr>
            <w:tcW w:w="1276" w:type="dxa"/>
            <w:vAlign w:val="center"/>
          </w:tcPr>
          <w:p>
            <w:pPr>
              <w:pStyle w:val="20"/>
            </w:pPr>
            <w:r>
              <w:t>工资表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劳务派遣合同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基本生活保障情况</w:t>
            </w:r>
          </w:p>
        </w:tc>
        <w:tc>
          <w:tcPr>
            <w:tcW w:w="5386" w:type="dxa"/>
            <w:tcBorders>
              <w:left w:val="single" w:sz="6" w:space="0" w:color="000000"/>
              <w:right w:val="single" w:sz="6" w:space="0" w:color="000000"/>
            </w:tcBorders>
            <w:vAlign w:val="center"/>
          </w:tcPr>
          <w:p>
            <w:pPr>
              <w:pStyle w:val="20"/>
            </w:pPr>
            <w:r>
              <w:t>为劳务派遣人员提供基本生活保障的情况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工资表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7、年满60周岁老电影放映员补贴绩效目标表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13020724P000DTN10005F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年满60周岁老电影放映员补贴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34.45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34.45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2024年共有99名年满60周岁老电影放映员，按每满一年发放20元/月为标准，2024年共需资金为417120元，其中省配套10%，市配套5%，区级配套85%，区级资金共需配套34.45万元。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1.坚持“尊重历史，保障民生，明确责任，确保落实”的基本原则，妥善解决老放映员的保障和生活困难问题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发放补助人数</w:t>
            </w:r>
          </w:p>
        </w:tc>
        <w:tc>
          <w:tcPr>
            <w:tcW w:w="5386" w:type="dxa"/>
            <w:tcBorders>
              <w:left w:val="single" w:sz="6" w:space="0" w:color="000000"/>
              <w:right w:val="single" w:sz="6" w:space="0" w:color="000000"/>
            </w:tcBorders>
            <w:vAlign w:val="center"/>
          </w:tcPr>
          <w:p>
            <w:pPr>
              <w:pStyle w:val="20"/>
            </w:pPr>
            <w:r>
              <w:t>发放补助人数</w:t>
            </w:r>
          </w:p>
        </w:tc>
        <w:tc>
          <w:tcPr>
            <w:tcW w:w="2268" w:type="dxa"/>
            <w:tcBorders>
              <w:left w:val="single" w:sz="6" w:space="0" w:color="000000"/>
              <w:right w:val="single" w:sz="6" w:space="0" w:color="000000"/>
            </w:tcBorders>
            <w:vAlign w:val="center"/>
          </w:tcPr>
          <w:p>
            <w:pPr>
              <w:pStyle w:val="20"/>
            </w:pPr>
            <w:r>
              <w:t>99人</w:t>
            </w:r>
          </w:p>
        </w:tc>
        <w:tc>
          <w:tcPr>
            <w:tcW w:w="1276" w:type="dxa"/>
            <w:vAlign w:val="center"/>
          </w:tcPr>
          <w:p>
            <w:pPr>
              <w:pStyle w:val="20"/>
            </w:pPr>
            <w:r>
              <w:t>工作计划及核定表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补助资金发放完成率（%）</w:t>
            </w:r>
          </w:p>
        </w:tc>
        <w:tc>
          <w:tcPr>
            <w:tcW w:w="5386" w:type="dxa"/>
            <w:tcBorders>
              <w:left w:val="single" w:sz="6" w:space="0" w:color="000000"/>
              <w:right w:val="single" w:sz="6" w:space="0" w:color="000000"/>
            </w:tcBorders>
            <w:vAlign w:val="center"/>
          </w:tcPr>
          <w:p>
            <w:pPr>
              <w:pStyle w:val="20"/>
            </w:pPr>
            <w:r>
              <w:t>补助资金发放完成率（%）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工作计划及核定表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资金按时拨付</w:t>
            </w:r>
          </w:p>
        </w:tc>
        <w:tc>
          <w:tcPr>
            <w:tcW w:w="5386" w:type="dxa"/>
            <w:tcBorders>
              <w:left w:val="single" w:sz="6" w:space="0" w:color="000000"/>
              <w:right w:val="single" w:sz="6" w:space="0" w:color="000000"/>
            </w:tcBorders>
            <w:vAlign w:val="center"/>
          </w:tcPr>
          <w:p>
            <w:pPr>
              <w:pStyle w:val="20"/>
            </w:pPr>
            <w:r>
              <w:t>资金按时拨付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工作计划及核定表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≤344500元</w:t>
            </w:r>
          </w:p>
        </w:tc>
        <w:tc>
          <w:tcPr>
            <w:tcW w:w="1276" w:type="dxa"/>
            <w:vAlign w:val="center"/>
          </w:tcPr>
          <w:p>
            <w:pPr>
              <w:pStyle w:val="20"/>
            </w:pPr>
            <w:r>
              <w:t>工作计划及核定表</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积极改善民生，维护社会稳定</w:t>
            </w:r>
          </w:p>
        </w:tc>
        <w:tc>
          <w:tcPr>
            <w:tcW w:w="1276" w:type="dxa"/>
            <w:vAlign w:val="center"/>
          </w:tcPr>
          <w:p>
            <w:pPr>
              <w:pStyle w:val="20"/>
            </w:pPr>
            <w:r>
              <w:t>工作计划及核定表</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8、农村公益电影放映绩效目标表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13020724P00XL4E100054</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农村公益电影放映</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31.97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31.97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公益电影放映区级补贴资金，主要用于放映员劳务费、放映员人身意外保险，放映技术服务费、影片片租及其他用于电影放映的环节支出。按全区444个村，每村放映12场，每场区级财政补助60元计算，共计31.97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1.进一步做好农村公益电影放映工作，确保实现一村一月放映一场公益电影的目标，同时做到应补尽补。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公益活动场次</w:t>
            </w:r>
          </w:p>
        </w:tc>
        <w:tc>
          <w:tcPr>
            <w:tcW w:w="5386" w:type="dxa"/>
            <w:tcBorders>
              <w:left w:val="single" w:sz="6" w:space="0" w:color="000000"/>
              <w:right w:val="single" w:sz="6" w:space="0" w:color="000000"/>
            </w:tcBorders>
            <w:vAlign w:val="center"/>
          </w:tcPr>
          <w:p>
            <w:pPr>
              <w:pStyle w:val="20"/>
            </w:pPr>
            <w:r>
              <w:t>平均每村放映公益电影场次</w:t>
            </w:r>
          </w:p>
        </w:tc>
        <w:tc>
          <w:tcPr>
            <w:tcW w:w="2268" w:type="dxa"/>
            <w:tcBorders>
              <w:left w:val="single" w:sz="6" w:space="0" w:color="000000"/>
              <w:right w:val="single" w:sz="6" w:space="0" w:color="000000"/>
            </w:tcBorders>
            <w:vAlign w:val="center"/>
          </w:tcPr>
          <w:p>
            <w:pPr>
              <w:pStyle w:val="20"/>
            </w:pPr>
            <w:r>
              <w:t>12场</w:t>
            </w:r>
          </w:p>
        </w:tc>
        <w:tc>
          <w:tcPr>
            <w:tcW w:w="1276" w:type="dxa"/>
            <w:vAlign w:val="center"/>
          </w:tcPr>
          <w:p>
            <w:pPr>
              <w:pStyle w:val="20"/>
            </w:pPr>
            <w:r>
              <w:t>冀广影字[2011]26号文件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5386" w:type="dxa"/>
            <w:tcBorders>
              <w:left w:val="single" w:sz="6" w:space="0" w:color="000000"/>
              <w:right w:val="single" w:sz="6" w:space="0" w:color="000000"/>
            </w:tcBorders>
            <w:vAlign w:val="center"/>
          </w:tcPr>
          <w:p>
            <w:pPr>
              <w:pStyle w:val="20"/>
            </w:pPr>
            <w:r>
              <w:t>计划完成率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冀广影字[2011]26号文件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tcBorders>
              <w:left w:val="single" w:sz="6" w:space="0" w:color="000000"/>
              <w:right w:val="single" w:sz="6" w:space="0" w:color="000000"/>
            </w:tcBorders>
            <w:vAlign w:val="center"/>
          </w:tcPr>
          <w:p>
            <w:pPr>
              <w:pStyle w:val="20"/>
            </w:pPr>
            <w:r>
              <w:t>按期完成率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冀广影字[2011]26号文件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≤31.97万元</w:t>
            </w:r>
          </w:p>
        </w:tc>
        <w:tc>
          <w:tcPr>
            <w:tcW w:w="1276" w:type="dxa"/>
            <w:vAlign w:val="center"/>
          </w:tcPr>
          <w:p>
            <w:pPr>
              <w:pStyle w:val="20"/>
            </w:pPr>
            <w:r>
              <w:t>冀广影字[2011]26号文件</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5386" w:type="dxa"/>
            <w:tcBorders>
              <w:left w:val="single" w:sz="6" w:space="0" w:color="000000"/>
              <w:right w:val="single" w:sz="6" w:space="0" w:color="000000"/>
            </w:tcBorders>
            <w:vAlign w:val="center"/>
          </w:tcPr>
          <w:p>
            <w:pPr>
              <w:pStyle w:val="20"/>
            </w:pPr>
            <w:r>
              <w:t>保障服务水平</w:t>
            </w:r>
          </w:p>
        </w:tc>
        <w:tc>
          <w:tcPr>
            <w:tcW w:w="2268" w:type="dxa"/>
            <w:tcBorders>
              <w:left w:val="single" w:sz="6" w:space="0" w:color="000000"/>
              <w:right w:val="single" w:sz="6" w:space="0" w:color="000000"/>
            </w:tcBorders>
            <w:vAlign w:val="center"/>
          </w:tcPr>
          <w:p>
            <w:pPr>
              <w:pStyle w:val="20"/>
            </w:pPr>
            <w:r>
              <w:t>稳步提升</w:t>
            </w:r>
          </w:p>
        </w:tc>
        <w:tc>
          <w:tcPr>
            <w:tcW w:w="1276" w:type="dxa"/>
            <w:vAlign w:val="center"/>
          </w:tcPr>
          <w:p>
            <w:pPr>
              <w:pStyle w:val="20"/>
            </w:pPr>
            <w:r>
              <w:t>冀广影字[2011]26号文件</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冀广影字[2011]26号文件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9、扫黄打非工作经费绩效目标表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13020724P00670510003W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扫黄打非工作经费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根据全年工作安排，“扫黄打非”经费主要用于开展市场工作巡查，“清源”“固边”“净网”“护苗”“秋风”五大专项行动宣传等，列支其他商品和服务支出，所需资金5万元。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1.全面贯彻落实中央、省市“扫黄打非”工作部署，开创“扫黄打非”工作新局面</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举办活动场次</w:t>
            </w:r>
          </w:p>
        </w:tc>
        <w:tc>
          <w:tcPr>
            <w:tcW w:w="5386" w:type="dxa"/>
            <w:tcBorders>
              <w:left w:val="single" w:sz="6" w:space="0" w:color="000000"/>
              <w:right w:val="single" w:sz="6" w:space="0" w:color="000000"/>
            </w:tcBorders>
            <w:vAlign w:val="center"/>
          </w:tcPr>
          <w:p>
            <w:pPr>
              <w:pStyle w:val="20"/>
            </w:pPr>
            <w:r>
              <w:t>举办活动场次</w:t>
            </w:r>
          </w:p>
        </w:tc>
        <w:tc>
          <w:tcPr>
            <w:tcW w:w="2268" w:type="dxa"/>
            <w:tcBorders>
              <w:left w:val="single" w:sz="6" w:space="0" w:color="000000"/>
              <w:right w:val="single" w:sz="6" w:space="0" w:color="000000"/>
            </w:tcBorders>
            <w:vAlign w:val="center"/>
          </w:tcPr>
          <w:p>
            <w:pPr>
              <w:pStyle w:val="20"/>
            </w:pPr>
            <w:r>
              <w:t>≥2次</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5386" w:type="dxa"/>
            <w:tcBorders>
              <w:left w:val="single" w:sz="6" w:space="0" w:color="000000"/>
              <w:right w:val="single" w:sz="6" w:space="0" w:color="000000"/>
            </w:tcBorders>
            <w:vAlign w:val="center"/>
          </w:tcPr>
          <w:p>
            <w:pPr>
              <w:pStyle w:val="20"/>
            </w:pPr>
            <w:r>
              <w:t>工作完成情况</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p>
            <w:pPr>
              <w:pStyle w:val="20"/>
            </w:pPr>
          </w:p>
          <w:p>
            <w:pPr>
              <w:pStyle w:val="20"/>
            </w:pPr>
          </w:p>
        </w:tc>
        <w:tc>
          <w:tcPr>
            <w:tcW w:w="5386" w:type="dxa"/>
            <w:tcBorders>
              <w:left w:val="single" w:sz="6" w:space="0" w:color="000000"/>
              <w:right w:val="single" w:sz="6" w:space="0" w:color="000000"/>
            </w:tcBorders>
            <w:vAlign w:val="center"/>
          </w:tcPr>
          <w:p>
            <w:pPr>
              <w:pStyle w:val="20"/>
            </w:pPr>
            <w:r>
              <w:t>工作完成的时效</w:t>
            </w:r>
          </w:p>
          <w:p>
            <w:pPr>
              <w:pStyle w:val="20"/>
            </w:pPr>
          </w:p>
          <w:p>
            <w:pPr>
              <w:pStyle w:val="20"/>
            </w:pP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5万元</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5386" w:type="dxa"/>
            <w:tcBorders>
              <w:left w:val="single" w:sz="6" w:space="0" w:color="000000"/>
              <w:right w:val="single" w:sz="6" w:space="0" w:color="000000"/>
            </w:tcBorders>
            <w:vAlign w:val="center"/>
          </w:tcPr>
          <w:p>
            <w:pPr>
              <w:pStyle w:val="20"/>
            </w:pPr>
            <w:r>
              <w:t>服务的改善与提升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5386" w:type="dxa"/>
            <w:tcBorders>
              <w:left w:val="single" w:sz="6" w:space="0" w:color="000000"/>
              <w:right w:val="single" w:sz="6" w:space="0" w:color="000000"/>
            </w:tcBorders>
            <w:vAlign w:val="center"/>
          </w:tcPr>
          <w:p>
            <w:pPr>
              <w:pStyle w:val="20"/>
            </w:pPr>
            <w:r>
              <w:t>增强影响力</w:t>
            </w:r>
          </w:p>
        </w:tc>
        <w:tc>
          <w:tcPr>
            <w:tcW w:w="2268" w:type="dxa"/>
            <w:tcBorders>
              <w:left w:val="single" w:sz="6" w:space="0" w:color="000000"/>
              <w:right w:val="single" w:sz="6" w:space="0" w:color="000000"/>
            </w:tcBorders>
            <w:vAlign w:val="center"/>
          </w:tcPr>
          <w:p>
            <w:pPr>
              <w:pStyle w:val="20"/>
            </w:pPr>
            <w:r>
              <w:t>营造健康良好文化市场氛围，开创扫黄打非工作新局面</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10、提前下达2024年省级国家电影事业发展专项资金 唐财教[2023]85号绩效目标表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13020724P00693910006K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提前下达2024年省级国家电影事业发展专项资金 唐财教[2023]85号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用于国产影片放映奖励，共计16万元。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1.引导影院放映国产影片，繁荣发展电影市场</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奖励影院数量</w:t>
            </w:r>
          </w:p>
        </w:tc>
        <w:tc>
          <w:tcPr>
            <w:tcW w:w="5386" w:type="dxa"/>
            <w:tcBorders>
              <w:left w:val="single" w:sz="6" w:space="0" w:color="000000"/>
              <w:right w:val="single" w:sz="6" w:space="0" w:color="000000"/>
            </w:tcBorders>
            <w:vAlign w:val="center"/>
          </w:tcPr>
          <w:p>
            <w:pPr>
              <w:pStyle w:val="20"/>
            </w:pPr>
            <w:r>
              <w:t>奖励影院数量</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唐财教【2023】85号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5386" w:type="dxa"/>
            <w:tcBorders>
              <w:left w:val="single" w:sz="6" w:space="0" w:color="000000"/>
              <w:right w:val="single" w:sz="6" w:space="0" w:color="000000"/>
            </w:tcBorders>
            <w:vAlign w:val="center"/>
          </w:tcPr>
          <w:p>
            <w:pPr>
              <w:pStyle w:val="20"/>
            </w:pPr>
            <w:r>
              <w:t>计划完成率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唐财教【2023】85号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项目按时完成率</w:t>
            </w:r>
          </w:p>
        </w:tc>
        <w:tc>
          <w:tcPr>
            <w:tcW w:w="5386" w:type="dxa"/>
            <w:tcBorders>
              <w:left w:val="single" w:sz="6" w:space="0" w:color="000000"/>
              <w:right w:val="single" w:sz="6" w:space="0" w:color="000000"/>
            </w:tcBorders>
            <w:vAlign w:val="center"/>
          </w:tcPr>
          <w:p>
            <w:pPr>
              <w:pStyle w:val="20"/>
            </w:pPr>
            <w:r>
              <w:t>项目按时完成率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唐财教【2023】85号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预算资金控制数</w:t>
            </w:r>
          </w:p>
        </w:tc>
        <w:tc>
          <w:tcPr>
            <w:tcW w:w="5386" w:type="dxa"/>
            <w:tcBorders>
              <w:left w:val="single" w:sz="6" w:space="0" w:color="000000"/>
              <w:right w:val="single" w:sz="6" w:space="0" w:color="000000"/>
            </w:tcBorders>
            <w:vAlign w:val="center"/>
          </w:tcPr>
          <w:p>
            <w:pPr>
              <w:pStyle w:val="20"/>
            </w:pPr>
            <w:r>
              <w:t>预算资金控制数</w:t>
            </w:r>
          </w:p>
        </w:tc>
        <w:tc>
          <w:tcPr>
            <w:tcW w:w="2268" w:type="dxa"/>
            <w:tcBorders>
              <w:left w:val="single" w:sz="6" w:space="0" w:color="000000"/>
              <w:right w:val="single" w:sz="6" w:space="0" w:color="000000"/>
            </w:tcBorders>
            <w:vAlign w:val="center"/>
          </w:tcPr>
          <w:p>
            <w:pPr>
              <w:pStyle w:val="20"/>
            </w:pPr>
            <w:r>
              <w:t>≤16万元</w:t>
            </w:r>
          </w:p>
        </w:tc>
        <w:tc>
          <w:tcPr>
            <w:tcW w:w="1276" w:type="dxa"/>
            <w:vAlign w:val="center"/>
          </w:tcPr>
          <w:p>
            <w:pPr>
              <w:pStyle w:val="20"/>
            </w:pPr>
            <w:r>
              <w:t>唐财教【2023】85号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5386" w:type="dxa"/>
            <w:tcBorders>
              <w:left w:val="single" w:sz="6" w:space="0" w:color="000000"/>
              <w:right w:val="single" w:sz="6" w:space="0" w:color="000000"/>
            </w:tcBorders>
            <w:vAlign w:val="center"/>
          </w:tcPr>
          <w:p>
            <w:pPr>
              <w:pStyle w:val="20"/>
            </w:pPr>
            <w:r>
              <w:t>国产影片票房收入占总票房收入比</w:t>
            </w:r>
          </w:p>
        </w:tc>
        <w:tc>
          <w:tcPr>
            <w:tcW w:w="2268" w:type="dxa"/>
            <w:tcBorders>
              <w:left w:val="single" w:sz="6" w:space="0" w:color="000000"/>
              <w:right w:val="single" w:sz="6" w:space="0" w:color="000000"/>
            </w:tcBorders>
            <w:vAlign w:val="center"/>
          </w:tcPr>
          <w:p>
            <w:pPr>
              <w:pStyle w:val="20"/>
            </w:pPr>
            <w:r>
              <w:t>≥55%</w:t>
            </w:r>
          </w:p>
        </w:tc>
        <w:tc>
          <w:tcPr>
            <w:tcW w:w="1276" w:type="dxa"/>
            <w:vAlign w:val="center"/>
          </w:tcPr>
          <w:p>
            <w:pPr>
              <w:pStyle w:val="20"/>
            </w:pPr>
            <w:r>
              <w:t>唐财教【2023】85号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5386" w:type="dxa"/>
            <w:tcBorders>
              <w:left w:val="single" w:sz="6" w:space="0" w:color="000000"/>
              <w:right w:val="single" w:sz="6" w:space="0" w:color="000000"/>
            </w:tcBorders>
            <w:vAlign w:val="center"/>
          </w:tcPr>
          <w:p>
            <w:pPr>
              <w:pStyle w:val="20"/>
            </w:pPr>
            <w:r>
              <w:t>营造良好观影风气，促进社会和谐进步</w:t>
            </w:r>
          </w:p>
        </w:tc>
        <w:tc>
          <w:tcPr>
            <w:tcW w:w="2268" w:type="dxa"/>
            <w:tcBorders>
              <w:left w:val="single" w:sz="6" w:space="0" w:color="000000"/>
              <w:right w:val="single" w:sz="6" w:space="0" w:color="000000"/>
            </w:tcBorders>
            <w:vAlign w:val="center"/>
          </w:tcPr>
          <w:p>
            <w:pPr>
              <w:pStyle w:val="20"/>
            </w:pPr>
            <w:r>
              <w:t>长期</w:t>
            </w:r>
          </w:p>
        </w:tc>
        <w:tc>
          <w:tcPr>
            <w:tcW w:w="1276" w:type="dxa"/>
            <w:vAlign w:val="center"/>
          </w:tcPr>
          <w:p>
            <w:pPr>
              <w:pStyle w:val="20"/>
            </w:pPr>
            <w:r>
              <w:t>唐财教【2023】85号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5386" w:type="dxa"/>
            <w:tcBorders>
              <w:left w:val="single" w:sz="6" w:space="0" w:color="000000"/>
              <w:right w:val="single" w:sz="6" w:space="0" w:color="000000"/>
            </w:tcBorders>
            <w:vAlign w:val="center"/>
          </w:tcPr>
          <w:p>
            <w:pPr>
              <w:pStyle w:val="20"/>
            </w:pPr>
            <w:r>
              <w:t>观众对国产影片的满意度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唐财教【2023】85号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11、提前下达2024年中央补助地方国家电影事业发展专项资金 唐财教[2023]84号绩效目标表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13020724P006939100050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提前下达2024年中央补助地方国家电影事业发展专项资金 唐财教[2023]84号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用于支持国产影片放映及资助先进技术设备，共计4万元。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1.支持国产影片放映以及资助先进技术设备。</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补助企业个数</w:t>
            </w:r>
          </w:p>
        </w:tc>
        <w:tc>
          <w:tcPr>
            <w:tcW w:w="5386" w:type="dxa"/>
            <w:tcBorders>
              <w:left w:val="single" w:sz="6" w:space="0" w:color="000000"/>
              <w:right w:val="single" w:sz="6" w:space="0" w:color="000000"/>
            </w:tcBorders>
            <w:vAlign w:val="center"/>
          </w:tcPr>
          <w:p>
            <w:pPr>
              <w:pStyle w:val="20"/>
            </w:pPr>
            <w:r>
              <w:t>补助企业个数</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唐财教【2023】84号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影院覆盖率</w:t>
            </w:r>
          </w:p>
        </w:tc>
        <w:tc>
          <w:tcPr>
            <w:tcW w:w="5386" w:type="dxa"/>
            <w:tcBorders>
              <w:left w:val="single" w:sz="6" w:space="0" w:color="000000"/>
              <w:right w:val="single" w:sz="6" w:space="0" w:color="000000"/>
            </w:tcBorders>
            <w:vAlign w:val="center"/>
          </w:tcPr>
          <w:p>
            <w:pPr>
              <w:pStyle w:val="20"/>
            </w:pPr>
            <w:r>
              <w:t>影院覆盖率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唐财教【2023】84号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发放率</w:t>
            </w:r>
          </w:p>
        </w:tc>
        <w:tc>
          <w:tcPr>
            <w:tcW w:w="5386" w:type="dxa"/>
            <w:tcBorders>
              <w:left w:val="single" w:sz="6" w:space="0" w:color="000000"/>
              <w:right w:val="single" w:sz="6" w:space="0" w:color="000000"/>
            </w:tcBorders>
            <w:vAlign w:val="center"/>
          </w:tcPr>
          <w:p>
            <w:pPr>
              <w:pStyle w:val="20"/>
            </w:pPr>
            <w:r>
              <w:t>发放率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唐财教【2023】84号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≤4万元</w:t>
            </w:r>
          </w:p>
        </w:tc>
        <w:tc>
          <w:tcPr>
            <w:tcW w:w="1276" w:type="dxa"/>
            <w:vAlign w:val="center"/>
          </w:tcPr>
          <w:p>
            <w:pPr>
              <w:pStyle w:val="20"/>
            </w:pPr>
            <w:r>
              <w:t>唐财教【2023】84号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国产影片票房收入占总票房收入比</w:t>
            </w:r>
          </w:p>
        </w:tc>
        <w:tc>
          <w:tcPr>
            <w:tcW w:w="5386" w:type="dxa"/>
            <w:tcBorders>
              <w:left w:val="single" w:sz="6" w:space="0" w:color="000000"/>
              <w:right w:val="single" w:sz="6" w:space="0" w:color="000000"/>
            </w:tcBorders>
            <w:vAlign w:val="center"/>
          </w:tcPr>
          <w:p>
            <w:pPr>
              <w:pStyle w:val="20"/>
            </w:pPr>
            <w:r>
              <w:t>国产影片票房收入占总票房收入比</w:t>
            </w:r>
          </w:p>
        </w:tc>
        <w:tc>
          <w:tcPr>
            <w:tcW w:w="2268" w:type="dxa"/>
            <w:tcBorders>
              <w:left w:val="single" w:sz="6" w:space="0" w:color="000000"/>
              <w:right w:val="single" w:sz="6" w:space="0" w:color="000000"/>
            </w:tcBorders>
            <w:vAlign w:val="center"/>
          </w:tcPr>
          <w:p>
            <w:pPr>
              <w:pStyle w:val="20"/>
            </w:pPr>
            <w:r>
              <w:t>≥55%</w:t>
            </w:r>
          </w:p>
        </w:tc>
        <w:tc>
          <w:tcPr>
            <w:tcW w:w="1276" w:type="dxa"/>
            <w:vAlign w:val="center"/>
          </w:tcPr>
          <w:p>
            <w:pPr>
              <w:pStyle w:val="20"/>
            </w:pPr>
            <w:r>
              <w:t>唐财教【2023】84号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营造良好观影风气，促进社会和谐进步</w:t>
            </w:r>
          </w:p>
        </w:tc>
        <w:tc>
          <w:tcPr>
            <w:tcW w:w="5386" w:type="dxa"/>
            <w:tcBorders>
              <w:left w:val="single" w:sz="6" w:space="0" w:color="000000"/>
              <w:right w:val="single" w:sz="6" w:space="0" w:color="000000"/>
            </w:tcBorders>
            <w:vAlign w:val="center"/>
          </w:tcPr>
          <w:p>
            <w:pPr>
              <w:pStyle w:val="20"/>
            </w:pPr>
            <w:r>
              <w:t>营造良好观影风气，促进社会和谐进步</w:t>
            </w:r>
          </w:p>
        </w:tc>
        <w:tc>
          <w:tcPr>
            <w:tcW w:w="2268" w:type="dxa"/>
            <w:tcBorders>
              <w:left w:val="single" w:sz="6" w:space="0" w:color="000000"/>
              <w:right w:val="single" w:sz="6" w:space="0" w:color="000000"/>
            </w:tcBorders>
            <w:vAlign w:val="center"/>
          </w:tcPr>
          <w:p>
            <w:pPr>
              <w:pStyle w:val="20"/>
            </w:pPr>
            <w:r>
              <w:t>长期</w:t>
            </w:r>
          </w:p>
        </w:tc>
        <w:tc>
          <w:tcPr>
            <w:tcW w:w="1276" w:type="dxa"/>
            <w:vAlign w:val="center"/>
          </w:tcPr>
          <w:p>
            <w:pPr>
              <w:pStyle w:val="20"/>
            </w:pPr>
            <w:r>
              <w:t>唐财教【2023】84号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观众对国产影片的满意度</w:t>
            </w:r>
          </w:p>
        </w:tc>
        <w:tc>
          <w:tcPr>
            <w:tcW w:w="5386" w:type="dxa"/>
            <w:tcBorders>
              <w:left w:val="single" w:sz="6" w:space="0" w:color="000000"/>
              <w:right w:val="single" w:sz="6" w:space="0" w:color="000000"/>
            </w:tcBorders>
            <w:vAlign w:val="center"/>
          </w:tcPr>
          <w:p>
            <w:pPr>
              <w:pStyle w:val="20"/>
            </w:pPr>
            <w:r>
              <w:t>观众对国产影片的满意度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唐财教【2023】84号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12、提前下达2024年中央支持地方公共文化服务体系建设补助资金 唐财教[2023]96号绩效目标表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13020724P006942100109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提前下达2024年中央支持地方公共文化服务体系建设补助资金 唐财教[2023]96号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212.41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212.41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依据《关于提前下达2024年中央支持地方公共文化服务体系建设补助资金预算的通知》（唐财教[2023]96号）及其资金使用分配方案，此项目涉及资金212.41万元。全民阅读活动56.8万元，农家书屋88.8万元，2131工程57.01万元，公共文化体育设施设备购置9.8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1.落实“一个村一月放映一场公益电影”目标要求，及时发放补助资金。</w:t>
            </w:r>
          </w:p>
          <w:p>
            <w:pPr>
              <w:pStyle w:val="20"/>
            </w:pPr>
            <w:r>
              <w:t>2.每月组织开展一次全民阅读活动。</w:t>
            </w:r>
          </w:p>
          <w:p>
            <w:pPr>
              <w:pStyle w:val="20"/>
            </w:pPr>
            <w:r>
              <w:t>3.落实农家书屋这一惠民工程，每年每个农家书屋补充更新图书不少于60种，出版物配备资金不少于2000元。</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全民阅读活动</w:t>
            </w:r>
          </w:p>
        </w:tc>
        <w:tc>
          <w:tcPr>
            <w:tcW w:w="5386" w:type="dxa"/>
            <w:tcBorders>
              <w:left w:val="single" w:sz="6" w:space="0" w:color="000000"/>
              <w:right w:val="single" w:sz="6" w:space="0" w:color="000000"/>
            </w:tcBorders>
            <w:vAlign w:val="center"/>
          </w:tcPr>
          <w:p>
            <w:pPr>
              <w:pStyle w:val="20"/>
            </w:pPr>
            <w:r>
              <w:t>组织开展全区性全民阅读活动</w:t>
            </w:r>
          </w:p>
        </w:tc>
        <w:tc>
          <w:tcPr>
            <w:tcW w:w="2268" w:type="dxa"/>
            <w:tcBorders>
              <w:left w:val="single" w:sz="6" w:space="0" w:color="000000"/>
              <w:right w:val="single" w:sz="6" w:space="0" w:color="000000"/>
            </w:tcBorders>
            <w:vAlign w:val="center"/>
          </w:tcPr>
          <w:p>
            <w:pPr>
              <w:pStyle w:val="20"/>
            </w:pPr>
            <w:r>
              <w:t>1每月</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公益电影全年放映场次</w:t>
            </w:r>
          </w:p>
        </w:tc>
        <w:tc>
          <w:tcPr>
            <w:tcW w:w="5386" w:type="dxa"/>
            <w:tcBorders>
              <w:left w:val="single" w:sz="6" w:space="0" w:color="000000"/>
              <w:right w:val="single" w:sz="6" w:space="0" w:color="000000"/>
            </w:tcBorders>
            <w:vAlign w:val="center"/>
          </w:tcPr>
          <w:p>
            <w:pPr>
              <w:pStyle w:val="20"/>
            </w:pPr>
            <w:r>
              <w:t>公益电影全年放映场次</w:t>
            </w:r>
          </w:p>
        </w:tc>
        <w:tc>
          <w:tcPr>
            <w:tcW w:w="2268" w:type="dxa"/>
            <w:tcBorders>
              <w:left w:val="single" w:sz="6" w:space="0" w:color="000000"/>
              <w:right w:val="single" w:sz="6" w:space="0" w:color="000000"/>
            </w:tcBorders>
            <w:vAlign w:val="center"/>
          </w:tcPr>
          <w:p>
            <w:pPr>
              <w:pStyle w:val="20"/>
            </w:pPr>
            <w:r>
              <w:t>5328场</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更新农家书屋数量</w:t>
            </w:r>
          </w:p>
        </w:tc>
        <w:tc>
          <w:tcPr>
            <w:tcW w:w="5386" w:type="dxa"/>
            <w:tcBorders>
              <w:left w:val="single" w:sz="6" w:space="0" w:color="000000"/>
              <w:right w:val="single" w:sz="6" w:space="0" w:color="000000"/>
            </w:tcBorders>
            <w:vAlign w:val="center"/>
          </w:tcPr>
          <w:p>
            <w:pPr>
              <w:pStyle w:val="20"/>
            </w:pPr>
            <w:r>
              <w:t>更新农家书屋数量</w:t>
            </w:r>
          </w:p>
        </w:tc>
        <w:tc>
          <w:tcPr>
            <w:tcW w:w="2268" w:type="dxa"/>
            <w:tcBorders>
              <w:left w:val="single" w:sz="6" w:space="0" w:color="000000"/>
              <w:right w:val="single" w:sz="6" w:space="0" w:color="000000"/>
            </w:tcBorders>
            <w:vAlign w:val="center"/>
          </w:tcPr>
          <w:p>
            <w:pPr>
              <w:pStyle w:val="20"/>
            </w:pPr>
            <w:r>
              <w:t>444个</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5386" w:type="dxa"/>
            <w:tcBorders>
              <w:left w:val="single" w:sz="6" w:space="0" w:color="000000"/>
              <w:right w:val="single" w:sz="6" w:space="0" w:color="000000"/>
            </w:tcBorders>
            <w:vAlign w:val="center"/>
          </w:tcPr>
          <w:p>
            <w:pPr>
              <w:pStyle w:val="20"/>
            </w:pPr>
            <w:r>
              <w:t>计划完成率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5386" w:type="dxa"/>
            <w:tcBorders>
              <w:left w:val="single" w:sz="6" w:space="0" w:color="000000"/>
              <w:right w:val="single" w:sz="6" w:space="0" w:color="000000"/>
            </w:tcBorders>
            <w:vAlign w:val="center"/>
          </w:tcPr>
          <w:p>
            <w:pPr>
              <w:pStyle w:val="20"/>
            </w:pPr>
            <w:r>
              <w:t>工作任务完成及时率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农家书屋图书更新资金</w:t>
            </w:r>
          </w:p>
        </w:tc>
        <w:tc>
          <w:tcPr>
            <w:tcW w:w="5386" w:type="dxa"/>
            <w:tcBorders>
              <w:left w:val="single" w:sz="6" w:space="0" w:color="000000"/>
              <w:right w:val="single" w:sz="6" w:space="0" w:color="000000"/>
            </w:tcBorders>
            <w:vAlign w:val="center"/>
          </w:tcPr>
          <w:p>
            <w:pPr>
              <w:pStyle w:val="20"/>
            </w:pPr>
            <w:r>
              <w:t>农家书屋图书更新资金</w:t>
            </w:r>
          </w:p>
        </w:tc>
        <w:tc>
          <w:tcPr>
            <w:tcW w:w="2268" w:type="dxa"/>
            <w:tcBorders>
              <w:left w:val="single" w:sz="6" w:space="0" w:color="000000"/>
              <w:right w:val="single" w:sz="6" w:space="0" w:color="000000"/>
            </w:tcBorders>
            <w:vAlign w:val="center"/>
          </w:tcPr>
          <w:p>
            <w:pPr>
              <w:pStyle w:val="20"/>
            </w:pPr>
            <w:r>
              <w:t>≥2000元/个</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公益电影放映补助标准</w:t>
            </w:r>
          </w:p>
        </w:tc>
        <w:tc>
          <w:tcPr>
            <w:tcW w:w="5386" w:type="dxa"/>
            <w:tcBorders>
              <w:left w:val="single" w:sz="6" w:space="0" w:color="000000"/>
              <w:right w:val="single" w:sz="6" w:space="0" w:color="000000"/>
            </w:tcBorders>
            <w:vAlign w:val="center"/>
          </w:tcPr>
          <w:p>
            <w:pPr>
              <w:pStyle w:val="20"/>
            </w:pPr>
            <w:r>
              <w:t>公益电影放映补助标准</w:t>
            </w:r>
          </w:p>
        </w:tc>
        <w:tc>
          <w:tcPr>
            <w:tcW w:w="2268" w:type="dxa"/>
            <w:tcBorders>
              <w:left w:val="single" w:sz="6" w:space="0" w:color="000000"/>
              <w:right w:val="single" w:sz="6" w:space="0" w:color="000000"/>
            </w:tcBorders>
            <w:vAlign w:val="center"/>
          </w:tcPr>
          <w:p>
            <w:pPr>
              <w:pStyle w:val="20"/>
            </w:pPr>
            <w:r>
              <w:t>200元/场</w:t>
            </w:r>
          </w:p>
        </w:tc>
        <w:tc>
          <w:tcPr>
            <w:tcW w:w="1276" w:type="dxa"/>
            <w:vAlign w:val="center"/>
          </w:tcPr>
          <w:p>
            <w:pPr>
              <w:pStyle w:val="20"/>
            </w:pPr>
            <w:r>
              <w:t>唐财教【2023】96号</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5386" w:type="dxa"/>
            <w:tcBorders>
              <w:left w:val="single" w:sz="6" w:space="0" w:color="000000"/>
              <w:right w:val="single" w:sz="6" w:space="0" w:color="000000"/>
            </w:tcBorders>
            <w:vAlign w:val="center"/>
          </w:tcPr>
          <w:p>
            <w:pPr>
              <w:pStyle w:val="20"/>
            </w:pPr>
            <w:r>
              <w:t>增强影响力</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唐财教【2023】96号</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成果对社会影响力</w:t>
            </w:r>
          </w:p>
        </w:tc>
        <w:tc>
          <w:tcPr>
            <w:tcW w:w="5386" w:type="dxa"/>
            <w:tcBorders>
              <w:left w:val="single" w:sz="6" w:space="0" w:color="000000"/>
              <w:right w:val="single" w:sz="6" w:space="0" w:color="000000"/>
            </w:tcBorders>
            <w:vAlign w:val="center"/>
          </w:tcPr>
          <w:p>
            <w:pPr>
              <w:pStyle w:val="20"/>
            </w:pPr>
            <w:r>
              <w:t>成果对社会影响力</w:t>
            </w:r>
          </w:p>
        </w:tc>
        <w:tc>
          <w:tcPr>
            <w:tcW w:w="2268" w:type="dxa"/>
            <w:tcBorders>
              <w:left w:val="single" w:sz="6" w:space="0" w:color="000000"/>
              <w:right w:val="single" w:sz="6" w:space="0" w:color="000000"/>
            </w:tcBorders>
            <w:vAlign w:val="center"/>
          </w:tcPr>
          <w:p>
            <w:pPr>
              <w:pStyle w:val="20"/>
            </w:pPr>
            <w:r>
              <w:t>促进社会稳定，推动农家书屋发展</w:t>
            </w:r>
          </w:p>
        </w:tc>
        <w:tc>
          <w:tcPr>
            <w:tcW w:w="1276" w:type="dxa"/>
            <w:vAlign w:val="center"/>
          </w:tcPr>
          <w:p>
            <w:pPr>
              <w:pStyle w:val="20"/>
            </w:pPr>
            <w:r>
              <w:t>唐财教【2023】96号</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满意度</w:t>
            </w:r>
          </w:p>
        </w:tc>
        <w:tc>
          <w:tcPr>
            <w:tcW w:w="5386" w:type="dxa"/>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唐财教【2023】96号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13、新时代文明实践中心运转经费绩效目标表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13020724P00671210004N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新时代文明实践中心运转经费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新时代文明实践中心运转经费主要有以下几部分：1、用于全区文明实践工作骨干培训约5.5万元；2、组织创作融媒体作品、组织全区新时代文明实践活动宣传等其他商品和服务支出约20.5万元；3、用于新时代网络平台运营经费和四合院网费等办公支出预计9.5万元；4、用于资料印刷、兑换奖品等项支出约11.5万元；5.新时代文明实践考察差旅支出预计3万元。共计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1.保障中心正常运转及各类文明实践活动组织实施。</w:t>
            </w:r>
          </w:p>
          <w:p>
            <w:pPr>
              <w:pStyle w:val="20"/>
            </w:pPr>
            <w:r>
              <w:t>2.落实县乡村三级设置，打通宣传群众、关心群众、教育群众的最后一公里。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文明实践志愿服务队伍数量</w:t>
            </w:r>
          </w:p>
        </w:tc>
        <w:tc>
          <w:tcPr>
            <w:tcW w:w="5386" w:type="dxa"/>
            <w:tcBorders>
              <w:left w:val="single" w:sz="6" w:space="0" w:color="000000"/>
              <w:right w:val="single" w:sz="6" w:space="0" w:color="000000"/>
            </w:tcBorders>
            <w:vAlign w:val="center"/>
          </w:tcPr>
          <w:p>
            <w:pPr>
              <w:pStyle w:val="20"/>
            </w:pPr>
            <w:r>
              <w:t>文明实践志愿服务队伍数量</w:t>
            </w:r>
          </w:p>
        </w:tc>
        <w:tc>
          <w:tcPr>
            <w:tcW w:w="2268" w:type="dxa"/>
            <w:tcBorders>
              <w:left w:val="single" w:sz="6" w:space="0" w:color="000000"/>
              <w:right w:val="single" w:sz="6" w:space="0" w:color="000000"/>
            </w:tcBorders>
            <w:vAlign w:val="center"/>
          </w:tcPr>
          <w:p>
            <w:pPr>
              <w:pStyle w:val="20"/>
            </w:pPr>
            <w:r>
              <w:t>≥8支</w:t>
            </w:r>
          </w:p>
        </w:tc>
        <w:tc>
          <w:tcPr>
            <w:tcW w:w="1276" w:type="dxa"/>
            <w:vAlign w:val="center"/>
          </w:tcPr>
          <w:p>
            <w:pPr>
              <w:pStyle w:val="20"/>
            </w:pPr>
            <w:r>
              <w:t>年度工作计划及上级考核指标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全年开展集中性活动数量</w:t>
            </w:r>
          </w:p>
        </w:tc>
        <w:tc>
          <w:tcPr>
            <w:tcW w:w="5386" w:type="dxa"/>
            <w:tcBorders>
              <w:left w:val="single" w:sz="6" w:space="0" w:color="000000"/>
              <w:right w:val="single" w:sz="6" w:space="0" w:color="000000"/>
            </w:tcBorders>
            <w:vAlign w:val="center"/>
          </w:tcPr>
          <w:p>
            <w:pPr>
              <w:pStyle w:val="20"/>
            </w:pPr>
            <w:r>
              <w:t>全年开展集中性活动数量</w:t>
            </w:r>
          </w:p>
        </w:tc>
        <w:tc>
          <w:tcPr>
            <w:tcW w:w="2268" w:type="dxa"/>
            <w:tcBorders>
              <w:left w:val="single" w:sz="6" w:space="0" w:color="000000"/>
              <w:right w:val="single" w:sz="6" w:space="0" w:color="000000"/>
            </w:tcBorders>
            <w:vAlign w:val="center"/>
          </w:tcPr>
          <w:p>
            <w:pPr>
              <w:pStyle w:val="20"/>
            </w:pPr>
            <w:r>
              <w:t>≥10场</w:t>
            </w:r>
          </w:p>
        </w:tc>
        <w:tc>
          <w:tcPr>
            <w:tcW w:w="1276" w:type="dxa"/>
            <w:vAlign w:val="center"/>
          </w:tcPr>
          <w:p>
            <w:pPr>
              <w:pStyle w:val="20"/>
            </w:pPr>
            <w:r>
              <w:t>年度工作计划及上级考核指标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形成有影响力的活动品牌</w:t>
            </w:r>
          </w:p>
        </w:tc>
        <w:tc>
          <w:tcPr>
            <w:tcW w:w="5386" w:type="dxa"/>
            <w:tcBorders>
              <w:left w:val="single" w:sz="6" w:space="0" w:color="000000"/>
              <w:right w:val="single" w:sz="6" w:space="0" w:color="000000"/>
            </w:tcBorders>
            <w:vAlign w:val="center"/>
          </w:tcPr>
          <w:p>
            <w:pPr>
              <w:pStyle w:val="20"/>
            </w:pPr>
            <w:r>
              <w:t>形成有影响力的活动品牌</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年度工作计划及上级考核指标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形成特色工作经验</w:t>
            </w:r>
          </w:p>
        </w:tc>
        <w:tc>
          <w:tcPr>
            <w:tcW w:w="5386" w:type="dxa"/>
            <w:tcBorders>
              <w:left w:val="single" w:sz="6" w:space="0" w:color="000000"/>
              <w:right w:val="single" w:sz="6" w:space="0" w:color="000000"/>
            </w:tcBorders>
            <w:vAlign w:val="center"/>
          </w:tcPr>
          <w:p>
            <w:pPr>
              <w:pStyle w:val="20"/>
            </w:pPr>
            <w:r>
              <w:t>形成特色工作经验</w:t>
            </w:r>
          </w:p>
        </w:tc>
        <w:tc>
          <w:tcPr>
            <w:tcW w:w="2268" w:type="dxa"/>
            <w:tcBorders>
              <w:left w:val="single" w:sz="6" w:space="0" w:color="000000"/>
              <w:right w:val="single" w:sz="6" w:space="0" w:color="000000"/>
            </w:tcBorders>
            <w:vAlign w:val="center"/>
          </w:tcPr>
          <w:p>
            <w:pPr>
              <w:pStyle w:val="20"/>
            </w:pPr>
            <w:r>
              <w:t>2024年12月底前</w:t>
            </w:r>
          </w:p>
        </w:tc>
        <w:tc>
          <w:tcPr>
            <w:tcW w:w="1276" w:type="dxa"/>
            <w:vAlign w:val="center"/>
          </w:tcPr>
          <w:p>
            <w:pPr>
              <w:pStyle w:val="20"/>
            </w:pPr>
            <w:r>
              <w:t>年度工作计划及上级考核指标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50万元</w:t>
            </w:r>
          </w:p>
        </w:tc>
        <w:tc>
          <w:tcPr>
            <w:tcW w:w="1276" w:type="dxa"/>
            <w:vAlign w:val="center"/>
          </w:tcPr>
          <w:p>
            <w:pPr>
              <w:pStyle w:val="20"/>
            </w:pPr>
            <w:r>
              <w:t>年度工作计划及上级考核指标</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5386" w:type="dxa"/>
            <w:tcBorders>
              <w:left w:val="single" w:sz="6" w:space="0" w:color="000000"/>
              <w:right w:val="single" w:sz="6" w:space="0" w:color="000000"/>
            </w:tcBorders>
            <w:vAlign w:val="center"/>
          </w:tcPr>
          <w:p>
            <w:pPr>
              <w:pStyle w:val="20"/>
            </w:pPr>
            <w:r>
              <w:t>每个实践站本年度开展文明实践互动的参与人数占所在村常驻人口比例</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年度工作计划及上级考核指标</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文明实践志愿者骨干培训覆盖率</w:t>
            </w:r>
          </w:p>
        </w:tc>
        <w:tc>
          <w:tcPr>
            <w:tcW w:w="5386" w:type="dxa"/>
            <w:tcBorders>
              <w:left w:val="single" w:sz="6" w:space="0" w:color="000000"/>
              <w:right w:val="single" w:sz="6" w:space="0" w:color="000000"/>
            </w:tcBorders>
            <w:vAlign w:val="center"/>
          </w:tcPr>
          <w:p>
            <w:pPr>
              <w:pStyle w:val="20"/>
            </w:pPr>
            <w:r>
              <w:t>文明实践志愿者骨干培训覆盖率</w:t>
            </w:r>
          </w:p>
        </w:tc>
        <w:tc>
          <w:tcPr>
            <w:tcW w:w="2268" w:type="dxa"/>
            <w:tcBorders>
              <w:left w:val="single" w:sz="6" w:space="0" w:color="000000"/>
              <w:right w:val="single" w:sz="6" w:space="0" w:color="000000"/>
            </w:tcBorders>
            <w:vAlign w:val="center"/>
          </w:tcPr>
          <w:p>
            <w:pPr>
              <w:pStyle w:val="20"/>
            </w:pPr>
            <w:r>
              <w:t>≥91%</w:t>
            </w:r>
          </w:p>
        </w:tc>
        <w:tc>
          <w:tcPr>
            <w:tcW w:w="1276" w:type="dxa"/>
            <w:vAlign w:val="center"/>
          </w:tcPr>
          <w:p>
            <w:pPr>
              <w:pStyle w:val="20"/>
            </w:pPr>
            <w:r>
              <w:t>年度工作计划及上级考核指标</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≥82%</w:t>
            </w:r>
          </w:p>
        </w:tc>
        <w:tc>
          <w:tcPr>
            <w:tcW w:w="1276" w:type="dxa"/>
            <w:vAlign w:val="center"/>
          </w:tcPr>
          <w:p>
            <w:pPr>
              <w:pStyle w:val="20"/>
            </w:pPr>
            <w:r>
              <w:t>年度工作计划及上级考核指标</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14、业务服务外包经费绩效目标表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13020724P000008100038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业务服务外包经费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2024年我单位业务服务外包费用预计年需资金16万元。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1.按时足额发放外包人员工资</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项目数量</w:t>
            </w:r>
          </w:p>
        </w:tc>
        <w:tc>
          <w:tcPr>
            <w:tcW w:w="5386" w:type="dxa"/>
            <w:tcBorders>
              <w:left w:val="single" w:sz="6" w:space="0" w:color="000000"/>
              <w:right w:val="single" w:sz="6" w:space="0" w:color="000000"/>
            </w:tcBorders>
            <w:vAlign w:val="center"/>
          </w:tcPr>
          <w:p>
            <w:pPr>
              <w:pStyle w:val="20"/>
            </w:pPr>
            <w:r>
              <w:t>项目数量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资金按时支付</w:t>
            </w:r>
          </w:p>
        </w:tc>
        <w:tc>
          <w:tcPr>
            <w:tcW w:w="5386" w:type="dxa"/>
            <w:tcBorders>
              <w:left w:val="single" w:sz="6" w:space="0" w:color="000000"/>
              <w:right w:val="single" w:sz="6" w:space="0" w:color="000000"/>
            </w:tcBorders>
            <w:vAlign w:val="center"/>
          </w:tcPr>
          <w:p>
            <w:pPr>
              <w:pStyle w:val="20"/>
            </w:pPr>
            <w:r>
              <w:t>资金按时支付</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5386" w:type="dxa"/>
            <w:tcBorders>
              <w:left w:val="single" w:sz="6" w:space="0" w:color="000000"/>
              <w:right w:val="single" w:sz="6" w:space="0" w:color="000000"/>
            </w:tcBorders>
            <w:vAlign w:val="center"/>
          </w:tcPr>
          <w:p>
            <w:pPr>
              <w:pStyle w:val="20"/>
            </w:pPr>
            <w:r>
              <w:t>工作任务完成及时率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≤16万元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保障服务水平</w:t>
            </w:r>
          </w:p>
        </w:tc>
        <w:tc>
          <w:tcPr>
            <w:tcW w:w="5386" w:type="dxa"/>
            <w:tcBorders>
              <w:left w:val="single" w:sz="6" w:space="0" w:color="000000"/>
              <w:right w:val="single" w:sz="6" w:space="0" w:color="000000"/>
            </w:tcBorders>
            <w:vAlign w:val="center"/>
          </w:tcPr>
          <w:p>
            <w:pPr>
              <w:pStyle w:val="20"/>
            </w:pPr>
            <w:r>
              <w:t>保障服务水平</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5386" w:type="dxa"/>
            <w:tcBorders>
              <w:left w:val="single" w:sz="6" w:space="0" w:color="000000"/>
              <w:right w:val="single" w:sz="6" w:space="0" w:color="000000"/>
            </w:tcBorders>
            <w:vAlign w:val="center"/>
          </w:tcPr>
          <w:p>
            <w:pPr>
              <w:pStyle w:val="20"/>
            </w:pPr>
            <w:r>
              <w:t>可持续性服务</w:t>
            </w:r>
          </w:p>
        </w:tc>
        <w:tc>
          <w:tcPr>
            <w:tcW w:w="2268" w:type="dxa"/>
            <w:tcBorders>
              <w:left w:val="single" w:sz="6" w:space="0" w:color="000000"/>
              <w:right w:val="single" w:sz="6" w:space="0" w:color="000000"/>
            </w:tcBorders>
            <w:vAlign w:val="center"/>
          </w:tcPr>
          <w:p>
            <w:pPr>
              <w:pStyle w:val="20"/>
            </w:pPr>
            <w:r>
              <w:t>加强力量，保障工作正常运转。</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15、业务工作经费绩效目标表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13020724P00690910006X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业务工作经费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业务工作经费主要有以下几部分：1、道德模范评选表彰、文明城市创建宣传制作视频、证书等其他商品和服务支出约26.79万元；2、全民素质培育、干部理论学习等所需各类型印刷品的支出预算25万元；3、社会活动宣传、文化发展宣传资金等业务支出约39.5万元；4、办公支出、购置资产等约6.71万元；5、考察活动所需差旅支出预算2万元，共计100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1.营造良好氛围，推动宣传工作全面开展。</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组织学习培训、研讨交流等次数</w:t>
            </w:r>
          </w:p>
        </w:tc>
        <w:tc>
          <w:tcPr>
            <w:tcW w:w="5386" w:type="dxa"/>
            <w:tcBorders>
              <w:left w:val="single" w:sz="6" w:space="0" w:color="000000"/>
              <w:right w:val="single" w:sz="6" w:space="0" w:color="000000"/>
            </w:tcBorders>
            <w:vAlign w:val="center"/>
          </w:tcPr>
          <w:p>
            <w:pPr>
              <w:pStyle w:val="20"/>
            </w:pPr>
            <w:r>
              <w:t>组织学习培训、研讨交流等次数</w:t>
            </w:r>
          </w:p>
        </w:tc>
        <w:tc>
          <w:tcPr>
            <w:tcW w:w="2268" w:type="dxa"/>
            <w:tcBorders>
              <w:left w:val="single" w:sz="6" w:space="0" w:color="000000"/>
              <w:right w:val="single" w:sz="6" w:space="0" w:color="000000"/>
            </w:tcBorders>
            <w:vAlign w:val="center"/>
          </w:tcPr>
          <w:p>
            <w:pPr>
              <w:pStyle w:val="20"/>
            </w:pPr>
            <w:r>
              <w:t>≥10次</w:t>
            </w:r>
          </w:p>
        </w:tc>
        <w:tc>
          <w:tcPr>
            <w:tcW w:w="1276" w:type="dxa"/>
            <w:vAlign w:val="center"/>
          </w:tcPr>
          <w:p>
            <w:pPr>
              <w:pStyle w:val="20"/>
            </w:pPr>
            <w:r>
              <w:t>年度工作计划及上级考核标准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组织宣传活动次数</w:t>
            </w:r>
          </w:p>
        </w:tc>
        <w:tc>
          <w:tcPr>
            <w:tcW w:w="5386" w:type="dxa"/>
            <w:tcBorders>
              <w:left w:val="single" w:sz="6" w:space="0" w:color="000000"/>
              <w:right w:val="single" w:sz="6" w:space="0" w:color="000000"/>
            </w:tcBorders>
            <w:vAlign w:val="center"/>
          </w:tcPr>
          <w:p>
            <w:pPr>
              <w:pStyle w:val="20"/>
            </w:pPr>
            <w:r>
              <w:t>组织宣传活动次数</w:t>
            </w:r>
          </w:p>
        </w:tc>
        <w:tc>
          <w:tcPr>
            <w:tcW w:w="2268" w:type="dxa"/>
            <w:tcBorders>
              <w:left w:val="single" w:sz="6" w:space="0" w:color="000000"/>
              <w:right w:val="single" w:sz="6" w:space="0" w:color="000000"/>
            </w:tcBorders>
            <w:vAlign w:val="center"/>
          </w:tcPr>
          <w:p>
            <w:pPr>
              <w:pStyle w:val="20"/>
            </w:pPr>
            <w:r>
              <w:t>≥10次</w:t>
            </w:r>
          </w:p>
        </w:tc>
        <w:tc>
          <w:tcPr>
            <w:tcW w:w="1276" w:type="dxa"/>
            <w:vAlign w:val="center"/>
          </w:tcPr>
          <w:p>
            <w:pPr>
              <w:pStyle w:val="20"/>
            </w:pPr>
            <w:r>
              <w:t>年度工作计划及上级考核标准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tc>
        <w:tc>
          <w:tcPr>
            <w:tcW w:w="5386" w:type="dxa"/>
            <w:tcBorders>
              <w:left w:val="single" w:sz="6" w:space="0" w:color="000000"/>
              <w:right w:val="single" w:sz="6" w:space="0" w:color="000000"/>
            </w:tcBorders>
            <w:vAlign w:val="center"/>
          </w:tcPr>
          <w:p>
            <w:pPr>
              <w:pStyle w:val="20"/>
            </w:pPr>
            <w:r>
              <w:t>计划完成率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年度工作计划及上级考核标准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工作任务完成及时率</w:t>
            </w:r>
          </w:p>
        </w:tc>
        <w:tc>
          <w:tcPr>
            <w:tcW w:w="5386" w:type="dxa"/>
            <w:tcBorders>
              <w:left w:val="single" w:sz="6" w:space="0" w:color="000000"/>
              <w:right w:val="single" w:sz="6" w:space="0" w:color="000000"/>
            </w:tcBorders>
            <w:vAlign w:val="center"/>
          </w:tcPr>
          <w:p>
            <w:pPr>
              <w:pStyle w:val="20"/>
            </w:pPr>
            <w:r>
              <w:t>工作任务完成及时率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年度工作计划及上级考核标准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100万元</w:t>
            </w:r>
          </w:p>
        </w:tc>
        <w:tc>
          <w:tcPr>
            <w:tcW w:w="1276" w:type="dxa"/>
            <w:vAlign w:val="center"/>
          </w:tcPr>
          <w:p>
            <w:pPr>
              <w:pStyle w:val="20"/>
            </w:pPr>
            <w:r>
              <w:t>年度工作计划及上级考核标准</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宣传、活动影响力</w:t>
            </w:r>
          </w:p>
        </w:tc>
        <w:tc>
          <w:tcPr>
            <w:tcW w:w="5386" w:type="dxa"/>
            <w:tcBorders>
              <w:left w:val="single" w:sz="6" w:space="0" w:color="000000"/>
              <w:right w:val="single" w:sz="6" w:space="0" w:color="000000"/>
            </w:tcBorders>
            <w:vAlign w:val="center"/>
          </w:tcPr>
          <w:p>
            <w:pPr>
              <w:pStyle w:val="20"/>
            </w:pPr>
            <w:r>
              <w:t>宣传、活动影响力</w:t>
            </w:r>
          </w:p>
        </w:tc>
        <w:tc>
          <w:tcPr>
            <w:tcW w:w="2268" w:type="dxa"/>
            <w:tcBorders>
              <w:left w:val="single" w:sz="6" w:space="0" w:color="000000"/>
              <w:right w:val="single" w:sz="6" w:space="0" w:color="000000"/>
            </w:tcBorders>
            <w:vAlign w:val="center"/>
          </w:tcPr>
          <w:p>
            <w:pPr>
              <w:pStyle w:val="20"/>
            </w:pPr>
            <w:r>
              <w:t>较显著</w:t>
            </w:r>
          </w:p>
        </w:tc>
        <w:tc>
          <w:tcPr>
            <w:tcW w:w="1276" w:type="dxa"/>
            <w:vAlign w:val="center"/>
          </w:tcPr>
          <w:p>
            <w:pPr>
              <w:pStyle w:val="20"/>
            </w:pPr>
            <w:r>
              <w:t>年度工作计划及上级考核标准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5386" w:type="dxa"/>
            <w:tcBorders>
              <w:left w:val="single" w:sz="6" w:space="0" w:color="000000"/>
              <w:right w:val="single" w:sz="6" w:space="0" w:color="000000"/>
            </w:tcBorders>
            <w:vAlign w:val="center"/>
          </w:tcPr>
          <w:p>
            <w:pPr>
              <w:pStyle w:val="20"/>
            </w:pPr>
            <w:r>
              <w:t>增强影响力</w:t>
            </w:r>
          </w:p>
        </w:tc>
        <w:tc>
          <w:tcPr>
            <w:tcW w:w="2268" w:type="dxa"/>
            <w:tcBorders>
              <w:left w:val="single" w:sz="6" w:space="0" w:color="000000"/>
              <w:right w:val="single" w:sz="6" w:space="0" w:color="000000"/>
            </w:tcBorders>
            <w:vAlign w:val="center"/>
          </w:tcPr>
          <w:p>
            <w:pPr>
              <w:pStyle w:val="20"/>
            </w:pPr>
            <w:r>
              <w:t>营造良好氛围，推动工作开展</w:t>
            </w:r>
          </w:p>
        </w:tc>
        <w:tc>
          <w:tcPr>
            <w:tcW w:w="1276" w:type="dxa"/>
            <w:vAlign w:val="center"/>
          </w:tcPr>
          <w:p>
            <w:pPr>
              <w:pStyle w:val="20"/>
            </w:pPr>
            <w:r>
              <w:t>年度工作计划及上级考核标准</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年度工作计划及上级考核标准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color w:val="000000"/>
          <w:sz w:val="28"/>
        </w:rPr>
        <w:t>16、正版办公软件场地授权绩效目标表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13020724P00JJJ6100050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vAlign w:val="center"/>
          </w:tcPr>
          <w:p>
            <w:pPr>
              <w:pStyle w:val="20"/>
            </w:pPr>
            <w:r>
              <w:t>正版办公软件场地授权</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p>
        </w:tc>
      </w:tr>
      <w:tr>
        <w:trPr>
          <w:trHeight w:val="369"/>
        </w:trPr>
        <w:tc>
          <w:tcPr>
            <w:tcW w:w="1276" w:type="dxa"/>
            <w:vMerge/>
          </w:tcPr>
          <w:p/>
        </w:tc>
        <w:tc>
          <w:tcPr>
            <w:tcW w:w="14031" w:type="dxa"/>
            <w:gridSpan w:val="6"/>
            <w:vAlign w:val="center"/>
          </w:tcPr>
          <w:p>
            <w:pPr>
              <w:pStyle w:val="20"/>
            </w:pPr>
            <w:r>
              <w:t>唐宣明电[2020]59号文件，要求实现办公软件正版化，目前使用永中正版软件版权。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3543" w:type="dxa"/>
            <w:gridSpan w:val="2"/>
            <w:vAlign w:val="center"/>
          </w:tcPr>
          <w:p>
            <w:pPr>
              <w:pStyle w:val="21"/>
            </w:pPr>
            <w:r>
              <w:t>100%</w:t>
            </w:r>
          </w:p>
        </w:tc>
      </w:tr>
      <w:tr>
        <w:trPr>
          <w:trHeight w:val="369"/>
        </w:trPr>
        <w:tc>
          <w:tcPr>
            <w:tcW w:w="1276" w:type="dxa"/>
            <w:vAlign w:val="center"/>
          </w:tcPr>
          <w:p>
            <w:pPr>
              <w:pStyle w:val="18"/>
            </w:pPr>
            <w:r>
              <w:t>绩效目标</w:t>
            </w:r>
          </w:p>
        </w:tc>
        <w:tc>
          <w:tcPr>
            <w:tcW w:w="14031" w:type="dxa"/>
            <w:gridSpan w:val="6"/>
            <w:vAlign w:val="center"/>
          </w:tcPr>
          <w:p>
            <w:pPr>
              <w:pStyle w:val="20"/>
            </w:pPr>
            <w:r>
              <w:t>1.满足2024年丰南区全域正版办公软件使用及考核要求</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采购数量</w:t>
            </w:r>
          </w:p>
        </w:tc>
        <w:tc>
          <w:tcPr>
            <w:tcW w:w="5386" w:type="dxa"/>
            <w:tcBorders>
              <w:left w:val="single" w:sz="6" w:space="0" w:color="000000"/>
              <w:right w:val="single" w:sz="6" w:space="0" w:color="000000"/>
            </w:tcBorders>
            <w:vAlign w:val="center"/>
          </w:tcPr>
          <w:p>
            <w:pPr>
              <w:pStyle w:val="20"/>
            </w:pPr>
            <w:r>
              <w:t>采购数量</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系统软件正版率</w:t>
            </w:r>
          </w:p>
        </w:tc>
        <w:tc>
          <w:tcPr>
            <w:tcW w:w="5386" w:type="dxa"/>
            <w:tcBorders>
              <w:left w:val="single" w:sz="6" w:space="0" w:color="000000"/>
              <w:right w:val="single" w:sz="6" w:space="0" w:color="000000"/>
            </w:tcBorders>
            <w:vAlign w:val="center"/>
          </w:tcPr>
          <w:p>
            <w:pPr>
              <w:pStyle w:val="20"/>
            </w:pPr>
            <w:r>
              <w:t>系统软件正版率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工作完成的时效</w:t>
            </w:r>
          </w:p>
        </w:tc>
        <w:tc>
          <w:tcPr>
            <w:tcW w:w="5386" w:type="dxa"/>
            <w:tcBorders>
              <w:left w:val="single" w:sz="6" w:space="0" w:color="000000"/>
              <w:right w:val="single" w:sz="6" w:space="0" w:color="000000"/>
            </w:tcBorders>
            <w:vAlign w:val="center"/>
          </w:tcPr>
          <w:p>
            <w:pPr>
              <w:pStyle w:val="20"/>
            </w:pPr>
            <w:r>
              <w:t>工作完成的时效</w:t>
            </w:r>
          </w:p>
        </w:tc>
        <w:tc>
          <w:tcPr>
            <w:tcW w:w="2268" w:type="dxa"/>
            <w:tcBorders>
              <w:left w:val="single" w:sz="6" w:space="0" w:color="000000"/>
              <w:right w:val="single" w:sz="6" w:space="0" w:color="000000"/>
            </w:tcBorders>
            <w:vAlign w:val="center"/>
          </w:tcPr>
          <w:p>
            <w:pPr>
              <w:pStyle w:val="20"/>
            </w:pPr>
            <w:r>
              <w:t>2023年12月底之前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预算控制数</w:t>
            </w:r>
          </w:p>
        </w:tc>
        <w:tc>
          <w:tcPr>
            <w:tcW w:w="5386" w:type="dxa"/>
            <w:tcBorders>
              <w:left w:val="single" w:sz="6" w:space="0" w:color="000000"/>
              <w:right w:val="single" w:sz="6" w:space="0" w:color="000000"/>
            </w:tcBorders>
            <w:vAlign w:val="center"/>
          </w:tcPr>
          <w:p>
            <w:pPr>
              <w:pStyle w:val="20"/>
            </w:pPr>
            <w:r>
              <w:t>预算控制数</w:t>
            </w:r>
          </w:p>
        </w:tc>
        <w:tc>
          <w:tcPr>
            <w:tcW w:w="2268" w:type="dxa"/>
            <w:tcBorders>
              <w:left w:val="single" w:sz="6" w:space="0" w:color="000000"/>
              <w:right w:val="single" w:sz="6" w:space="0" w:color="000000"/>
            </w:tcBorders>
            <w:vAlign w:val="center"/>
          </w:tcPr>
          <w:p>
            <w:pPr>
              <w:pStyle w:val="20"/>
            </w:pPr>
            <w:r>
              <w:t>19万元</w:t>
            </w:r>
          </w:p>
        </w:tc>
        <w:tc>
          <w:tcPr>
            <w:tcW w:w="1276" w:type="dxa"/>
            <w:vAlign w:val="center"/>
          </w:tcPr>
          <w:p>
            <w:pPr>
              <w:pStyle w:val="20"/>
            </w:pPr>
            <w:r>
              <w:t>年度工作计划</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服务的改善与提升</w:t>
            </w:r>
          </w:p>
        </w:tc>
        <w:tc>
          <w:tcPr>
            <w:tcW w:w="5386" w:type="dxa"/>
            <w:tcBorders>
              <w:left w:val="single" w:sz="6" w:space="0" w:color="000000"/>
              <w:right w:val="single" w:sz="6" w:space="0" w:color="000000"/>
            </w:tcBorders>
            <w:vAlign w:val="center"/>
          </w:tcPr>
          <w:p>
            <w:pPr>
              <w:pStyle w:val="20"/>
            </w:pPr>
            <w:r>
              <w:t>服务的改善与提升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增强影响力</w:t>
            </w:r>
          </w:p>
        </w:tc>
        <w:tc>
          <w:tcPr>
            <w:tcW w:w="5386" w:type="dxa"/>
            <w:tcBorders>
              <w:left w:val="single" w:sz="6" w:space="0" w:color="000000"/>
              <w:right w:val="single" w:sz="6" w:space="0" w:color="000000"/>
            </w:tcBorders>
            <w:vAlign w:val="center"/>
          </w:tcPr>
          <w:p>
            <w:pPr>
              <w:pStyle w:val="20"/>
            </w:pPr>
            <w:r>
              <w:t>增强影响力</w:t>
            </w:r>
          </w:p>
        </w:tc>
        <w:tc>
          <w:tcPr>
            <w:tcW w:w="2268" w:type="dxa"/>
            <w:tcBorders>
              <w:left w:val="single" w:sz="6" w:space="0" w:color="000000"/>
              <w:right w:val="single" w:sz="6" w:space="0" w:color="000000"/>
            </w:tcBorders>
            <w:vAlign w:val="center"/>
          </w:tcPr>
          <w:p>
            <w:pPr>
              <w:pStyle w:val="20"/>
            </w:pPr>
            <w:r>
              <w:t>深入推进软件正版化工作</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中国共产党唐山市丰南区委员会宣传部（含所属单位）上年末固定资产金额为228.19万元（详见下表）。本年度拟购置固定资产总额为11.51万元，已按要求列入政府采购预算，详见政府采购预算表。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321中国共产党唐山市丰南区委员会宣传部</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228.19</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219</w:t>
            </w:r>
          </w:p>
        </w:tc>
        <w:tc>
          <w:tcPr>
            <w:tcW w:w="2835" w:type="dxa"/>
            <w:vAlign w:val="center"/>
          </w:tcPr>
          <w:p>
            <w:pPr>
              <w:pStyle w:val="19"/>
            </w:pPr>
            <w:r>
              <w:t>210.21</w:t>
            </w:r>
          </w:p>
        </w:tc>
      </w:tr>
    </w:tbl>
    <w:p>
      <w:pPr>
        <w:ind w:firstLine="640"/>
      </w:pP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ind w:firstLine="560"/>
    </w:pPr>
    <w:rPr>
      <w:rFonts w:eastAsia="方正仿宋_GBK"/>
      <w:color w:val="000000"/>
      <w:sz w:val="28"/>
    </w:rPr>
  </w:style>
  <w:style w:type="paragraph" w:styleId="36">
    <w:name w:val="header"/>
    <w:basedOn w:val="0"/>
    <w:pPr>
      <w:pBdr>
        <w:bottom w:val="single" w:sz="6" w:space="1" w:color="auto"/>
      </w:pBdr>
      <w:tabs>
        <w:tab w:val="center" w:pos="4153"/>
        <w:tab w:val="right" w:pos="8306"/>
      </w:tabs>
      <w:snapToGrid w:val="0"/>
      <w:jc w:val="center"/>
    </w:pPr>
    <w:rPr>
      <w:sz w:val="18"/>
      <w:szCs w:val="18"/>
    </w:rPr>
  </w:style>
  <w:style w:type="paragraph" w:styleId="37">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C3B4794-235B-42AB-8E34-8DB43431D5A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52</Pages>
  <Words>0</Words>
  <Characters>18903</Characters>
  <Lines>0</Lines>
  <Paragraphs>241</Paragraphs>
  <CharactersWithSpaces>25205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2024-02-19T02:15:00Z</dcterms:created>
  <dcterms:modified xsi:type="dcterms:W3CDTF">2024-02-19T07:23:39Z</dcterms:modified>
</cp:coreProperties>
</file>