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仿宋简体" w:eastAsia="方正仿宋简体" w:cs="方正仿宋简体" w:hint="eastAsia"/>
        </w:rPr>
      </w:pPr>
      <w:r>
        <w:rPr>
          <w:rFonts w:ascii="方正仿宋简体" w:eastAsia="方正仿宋简体" w:cs="方正仿宋简体" w:hAnsi="黑体" w:hint="eastAsia"/>
          <w:b/>
          <w:color w:val="000000"/>
          <w:sz w:val="44"/>
          <w:lang w:val="uk-UA"/>
        </w:rPr>
        <w:t>2016</w:t>
      </w:r>
      <w:r>
        <w:rPr>
          <w:rFonts w:ascii="方正仿宋简体" w:eastAsia="方正仿宋简体" w:cs="方正仿宋简体" w:hAnsi="黑体" w:hint="eastAsia"/>
          <w:b/>
          <w:color w:val="000000"/>
          <w:sz w:val="44"/>
        </w:rPr>
        <w:t>年部门预算信息公开目录</w:t>
      </w:r>
    </w:p>
    <w:p>
      <w:pPr>
        <w:jc w:val="center"/>
        <w:rPr>
          <w:rFonts w:ascii="方正仿宋简体" w:eastAsia="方正仿宋简体" w:cs="方正仿宋简体" w:hint="eastAsia"/>
        </w:rPr>
      </w:pPr>
      <w:r>
        <w:rPr>
          <w:rFonts w:ascii="方正仿宋简体" w:eastAsia="方正仿宋简体" w:cs="方正仿宋简体" w:hAnsi="黑体" w:hint="eastAsia"/>
          <w:b/>
          <w:color w:val="000000"/>
          <w:sz w:val="30"/>
        </w:rPr>
        <w:t xml:space="preserve"> </w:t>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部门预算公开表</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"2-2"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"_Toc_2_2_0000000001"</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"_Toc_2_2_0000000002"</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部门预算收入总表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"_Toc_2_2_0000000003"</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部门预算支出总表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"_Toc_2_2_0000000004"</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"_Toc_2_2_0000000005"</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"_Toc_2_2_0000000006"</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部门预算一般公共预算财政拨款基本支出表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"_Toc_2_2_0000000007"</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部门预算政府性基金预算财政拨款支出表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"_Toc_2_2_0000000008"</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部门预算国有资本经营预算财政拨款支出表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"_Toc_2_2_0000000009"</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部门预算财政拨款“三公”经费支出表</w:t>
      </w: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部门预算信息公开情况说明</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"3-3"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"_Toc_3_3_0000000010"</w:instrText>
      </w:r>
      <w:r>
        <w:rPr>
          <w:rFonts w:ascii="方正仿宋简体" w:eastAsia="方正仿宋简体" w:cs="方正仿宋简体" w:hint="eastAsia"/>
        </w:rPr>
        <w:fldChar w:fldCharType="separate"/>
      </w:r>
      <w:r>
        <w:rPr>
          <w:rFonts w:ascii="方正仿宋简体" w:eastAsia="方正仿宋简体" w:cs="方正仿宋简体" w:hint="eastAsia"/>
        </w:rPr>
        <w:t>一、部门职责及机构设置情况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"_Toc_3_3_0000000011"</w:instrText>
      </w:r>
      <w:r>
        <w:rPr>
          <w:rFonts w:ascii="方正仿宋简体" w:eastAsia="方正仿宋简体" w:cs="方正仿宋简体" w:hint="eastAsia"/>
        </w:rPr>
        <w:fldChar w:fldCharType="separate"/>
      </w:r>
      <w:r>
        <w:rPr>
          <w:rFonts w:ascii="方正仿宋简体" w:eastAsia="方正仿宋简体" w:cs="方正仿宋简体" w:hint="eastAsia"/>
        </w:rPr>
        <w:t>二、部门预算安排的总体情况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"_Toc_3_3_0000000012"</w:instrText>
      </w:r>
      <w:r>
        <w:rPr>
          <w:rFonts w:ascii="方正仿宋简体" w:eastAsia="方正仿宋简体" w:cs="方正仿宋简体" w:hint="eastAsia"/>
        </w:rPr>
        <w:fldChar w:fldCharType="separate"/>
      </w:r>
      <w:r>
        <w:rPr>
          <w:rFonts w:ascii="方正仿宋简体" w:eastAsia="方正仿宋简体" w:cs="方正仿宋简体" w:hint="eastAsia"/>
        </w:rPr>
        <w:t>三、机关运行经费安排情况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"_Toc_3_3_0000000013"</w:instrText>
      </w:r>
      <w:r>
        <w:rPr>
          <w:rFonts w:ascii="方正仿宋简体" w:eastAsia="方正仿宋简体" w:cs="方正仿宋简体" w:hint="eastAsia"/>
        </w:rPr>
        <w:fldChar w:fldCharType="separate"/>
      </w:r>
      <w:r>
        <w:rPr>
          <w:rFonts w:ascii="方正仿宋简体" w:eastAsia="方正仿宋简体" w:cs="方正仿宋简体" w:hint="eastAsia"/>
        </w:rPr>
        <w:t>四、财政拨款“三公”经费预算情况及增减变化原因</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"_Toc_3_3_0000000014"</w:instrText>
      </w:r>
      <w:r>
        <w:rPr>
          <w:rFonts w:ascii="方正仿宋简体" w:eastAsia="方正仿宋简体" w:cs="方正仿宋简体" w:hint="eastAsia"/>
        </w:rPr>
        <w:fldChar w:fldCharType="separate"/>
      </w:r>
      <w:r>
        <w:rPr>
          <w:rFonts w:ascii="方正仿宋简体" w:eastAsia="方正仿宋简体" w:cs="方正仿宋简体" w:hint="eastAsia"/>
        </w:rPr>
        <w:t>五、绩效预算信息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"_Toc_3_3_0000000017"</w:instrText>
      </w:r>
      <w:r>
        <w:rPr>
          <w:rFonts w:ascii="方正仿宋简体" w:eastAsia="方正仿宋简体" w:cs="方正仿宋简体" w:hint="eastAsia"/>
        </w:rPr>
        <w:fldChar w:fldCharType="separate"/>
      </w:r>
      <w:r>
        <w:rPr>
          <w:rFonts w:ascii="方正仿宋简体" w:eastAsia="方正仿宋简体" w:cs="方正仿宋简体" w:hint="eastAsia"/>
        </w:rPr>
        <w:t>六、政府采购预算情况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"_Toc_3_3_0000000018"</w:instrText>
      </w:r>
      <w:r>
        <w:rPr>
          <w:rFonts w:ascii="方正仿宋简体" w:eastAsia="方正仿宋简体" w:cs="方正仿宋简体" w:hint="eastAsia"/>
        </w:rPr>
        <w:fldChar w:fldCharType="separate"/>
      </w:r>
      <w:r>
        <w:rPr>
          <w:rFonts w:ascii="方正仿宋简体" w:eastAsia="方正仿宋简体" w:cs="方正仿宋简体" w:hint="eastAsia"/>
        </w:rPr>
        <w:t>七、国有资产信息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"_Toc_3_3_0000000019"</w:instrText>
      </w:r>
      <w:r>
        <w:rPr>
          <w:rFonts w:ascii="方正仿宋简体" w:eastAsia="方正仿宋简体" w:cs="方正仿宋简体" w:hint="eastAsia"/>
        </w:rPr>
        <w:fldChar w:fldCharType="separate"/>
      </w:r>
      <w:r>
        <w:rPr>
          <w:rFonts w:ascii="方正仿宋简体" w:eastAsia="方正仿宋简体" w:cs="方正仿宋简体" w:hint="eastAsia"/>
        </w:rPr>
        <w:t>八、名词解释</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"_Toc_3_3_0000000020"</w:instrText>
      </w:r>
      <w:r>
        <w:rPr>
          <w:rFonts w:ascii="方正仿宋简体" w:eastAsia="方正仿宋简体" w:cs="方正仿宋简体" w:hint="eastAsia"/>
        </w:rPr>
        <w:fldChar w:fldCharType="separate"/>
      </w:r>
      <w:r>
        <w:rPr>
          <w:rFonts w:ascii="方正仿宋简体" w:eastAsia="方正仿宋简体" w:cs="方正仿宋简体" w:hint="eastAsia"/>
        </w:rPr>
        <w:t>九、其他需要说明的事项</w:t>
      </w:r>
      <w:r>
        <w:rPr>
          <w:rFonts w:ascii="方正仿宋简体" w:eastAsia="方正仿宋简体" w:cs="方正仿宋简体" w:hint="eastAsia"/>
        </w:rPr>
        <w:fldChar w:fldCharType="end"/>
      </w:r>
    </w:p>
    <w:p>
      <w:pPr>
        <w:rPr>
          <w:rFonts w:ascii="方正仿宋简体" w:eastAsia="方正仿宋简体" w:cs="方正仿宋简体" w:hint="eastAsia"/>
        </w:rPr>
        <w:sectPr>
          <w:pgSz w:w="16840" w:h="11900" w:orient="landscape"/>
          <w:pgMar w:top="1587" w:right="1134" w:bottom="1361" w:left="1134" w:header="720" w:footer="720" w:gutter="0"/>
          <w:pgNumType w:start="1"/>
          <w:docGrid w:linePitch="326" w:charSpace="0"/>
        </w:sectPr>
      </w:pPr>
      <w:r>
        <w:rPr>
          <w:rFonts w:ascii="方正仿宋简体" w:eastAsia="方正仿宋简体" w:cs="方正仿宋简体" w:hint="eastAsia"/>
        </w:rPr>
        <w:fldChar w:fldCharType="end"/>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44"/>
        </w:rPr>
        <w:t>唐山市丰南区</w:t>
      </w:r>
      <w:r>
        <w:rPr>
          <w:rFonts w:ascii="方正仿宋简体" w:eastAsia="方正仿宋简体" w:cs="方正仿宋简体" w:hint="eastAsia"/>
          <w:sz w:val="44"/>
        </w:rPr>
        <w:t>委对外宣传局2016</w:t>
      </w:r>
      <w:r>
        <w:rPr>
          <w:rFonts w:ascii="方正仿宋简体" w:eastAsia="方正仿宋简体" w:cs="方正仿宋简体" w:hAnsi="方正小标宋_GBK" w:hint="eastAsia"/>
          <w:color w:val="000000"/>
          <w:sz w:val="44"/>
        </w:rPr>
        <w:t>年部门预算信息公开情况说明</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按照《中华人民共和国预算法》、《地方预决算公开操作规程》和《关于进一步推进预算公开工作的实施意见》规定，现将唐山市丰南区委对外宣传局2016年部门预算公开如下：</w:t>
      </w:r>
    </w:p>
    <w:p>
      <w:pPr>
        <w:spacing w:before="10" w:after="10" w:line="360" w:lineRule="auto"/>
        <w:ind w:firstLine="640"/>
        <w:outlineLvl w:val="2"/>
        <w:rPr>
          <w:rFonts w:ascii="方正仿宋简体" w:eastAsia="方正仿宋简体" w:cs="方正仿宋简体" w:hint="eastAsia"/>
        </w:rPr>
      </w:pPr>
      <w:bookmarkStart w:id="0" w:name="_Toc_3_3_0000000010"/>
      <w:r>
        <w:rPr>
          <w:rFonts w:ascii="方正仿宋简体" w:eastAsia="方正仿宋简体" w:cs="方正仿宋简体" w:hAnsi="黑体" w:hint="eastAsia"/>
          <w:color w:val="000000"/>
          <w:sz w:val="32"/>
        </w:rPr>
        <w:t>一、部门职责及机构设置情况</w:t>
      </w:r>
      <w:bookmarkEnd w:id="0"/>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部门职责：</w:t>
      </w:r>
    </w:p>
    <w:p>
      <w:pPr>
        <w:pStyle w:val="30"/>
        <w:rPr>
          <w:rFonts w:ascii="方正仿宋简体" w:eastAsia="方正仿宋简体" w:cs="方正仿宋简体" w:hint="eastAsia"/>
        </w:rPr>
      </w:pPr>
      <w:r>
        <w:rPr>
          <w:rFonts w:ascii="仿宋" w:eastAsia="仿宋" w:cs="宋体" w:hAnsi="仿宋" w:hint="eastAsia"/>
          <w:kern w:val="0"/>
          <w:sz w:val="32"/>
          <w:szCs w:val="32"/>
        </w:rPr>
        <w:t>按丰机编字[2012]16号、丰机编字[2014]15号文件批复，我单位主要职责职能如下：①贯彻执行党和国家关于新闻对外宣传工作的各项方针政策和法律法规，把握正确的对外宣传舆论导向；②负责研究制定全区新闻外宣事业发展规划，协调、指导全区对外宣传工作；负责新闻外宣目标责任制的管理考核和外宣奖励机制的落实；组织全区重大对外宣传活动；③负责组织协调新闻记者的接待和采访工作；④负责组织政府新闻发布工作，指导政府系统各单位和各乡镇（街道）人民政府建立政府新闻发言人制度。⑤负责新闻外宣事务的处理；负责政府系统新闻发言人的业务指导和培训。⑥负责落实互联网信息传播方针政策，统筹建设和管理互联网信息内容监测指挥系统；⑦组织协调互联网宣传和舆论引导，牵头处置互联网信息内容突发事件，依法查处违法违规网站；⑧建立、健全、管理、培训全区网评员队伍，搜集、分析、研判网上舆情，随时报送《舆情信息专报》；⑨承办区委、区政府交办的其他工作任务。</w:t>
      </w:r>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机构设置：</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单位名称</w:t>
            </w:r>
          </w:p>
        </w:tc>
        <w:tc>
          <w:tcPr>
            <w:tcW w:w="1843"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单位性质</w:t>
            </w:r>
          </w:p>
        </w:tc>
        <w:tc>
          <w:tcPr>
            <w:tcW w:w="2126"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单位规格</w:t>
            </w:r>
          </w:p>
        </w:tc>
        <w:tc>
          <w:tcPr>
            <w:tcW w:w="3827"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经费保障形式</w:t>
            </w:r>
          </w:p>
        </w:tc>
      </w:tr>
      <w:tr>
        <w:trPr>
          <w:trHeight w:val="369"/>
        </w:trPr>
        <w:tc>
          <w:tcPr>
            <w:tcW w:w="5669"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唐山市丰南区委对外宣传局</w:t>
            </w:r>
            <w:r>
              <w:rPr>
                <w:rFonts w:ascii="方正仿宋简体" w:eastAsia="方正仿宋简体" w:cs="方正仿宋简体"/>
              </w:rPr>
              <w:t>本级</w:t>
            </w:r>
          </w:p>
        </w:tc>
        <w:tc>
          <w:tcPr>
            <w:tcW w:w="1843"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事业</w:t>
            </w:r>
          </w:p>
        </w:tc>
        <w:tc>
          <w:tcPr>
            <w:tcW w:w="2126"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hint="eastAsia"/>
              </w:rPr>
              <w:t>正科级</w:t>
            </w:r>
          </w:p>
        </w:tc>
        <w:tc>
          <w:tcPr>
            <w:tcW w:w="3827" w:type="dxa"/>
            <w:vAlign w:val="center"/>
          </w:tcPr>
          <w:p>
            <w:pPr>
              <w:pStyle w:val="26"/>
              <w:rPr>
                <w:rFonts w:ascii="方正仿宋简体" w:eastAsia="方正仿宋简体" w:cs="方正仿宋简体" w:hint="eastAsia"/>
              </w:rPr>
            </w:pPr>
            <w:r>
              <w:rPr>
                <w:rFonts w:ascii="方正仿宋简体" w:eastAsia="方正仿宋简体" w:cs="方正仿宋简体" w:hint="eastAsia"/>
              </w:rPr>
              <w:t>财政拨款</w:t>
            </w:r>
          </w:p>
        </w:tc>
      </w:tr>
    </w:tbl>
    <w:p>
      <w:pPr>
        <w:spacing w:before="10" w:after="10" w:line="360" w:lineRule="auto"/>
        <w:ind w:firstLine="640"/>
        <w:outlineLvl w:val="2"/>
        <w:rPr>
          <w:rFonts w:ascii="方正仿宋简体" w:eastAsia="方正仿宋简体" w:cs="方正仿宋简体" w:hint="eastAsia"/>
        </w:rPr>
      </w:pPr>
      <w:bookmarkStart w:id="1" w:name="_Toc_3_3_0000000011"/>
      <w:r>
        <w:rPr>
          <w:rFonts w:ascii="方正仿宋简体" w:eastAsia="方正仿宋简体" w:cs="方正仿宋简体" w:hAnsi="黑体" w:hint="eastAsia"/>
          <w:color w:val="000000"/>
          <w:sz w:val="32"/>
        </w:rPr>
        <w:t>二、部门预算安排的总体情况</w:t>
      </w:r>
      <w:bookmarkEnd w:id="1"/>
    </w:p>
    <w:p>
      <w:pPr>
        <w:pStyle w:val="31"/>
        <w:rPr>
          <w:rFonts w:ascii="方正仿宋简体" w:eastAsia="方正仿宋简体" w:cs="方正仿宋简体" w:hint="eastAsia"/>
        </w:rPr>
      </w:pPr>
      <w:r>
        <w:rPr>
          <w:rFonts w:ascii="方正仿宋简体" w:eastAsia="方正仿宋简体" w:cs="方正仿宋简体" w:hint="eastAsia"/>
        </w:rPr>
        <w:t>按照预算管理有关规定，目前部门预算的编制实行综合预算管理，即全部收入和支出都反映在预算中。唐山市丰南区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hint="eastAsia"/>
        </w:rPr>
        <w:t>机关及所属事业单位的收支包含在部门预算中。</w:t>
      </w:r>
    </w:p>
    <w:p>
      <w:pPr>
        <w:pStyle w:val="31"/>
        <w:rPr>
          <w:rFonts w:ascii="方正仿宋简体" w:eastAsia="方正仿宋简体" w:cs="方正仿宋简体" w:hint="eastAsia"/>
        </w:rPr>
      </w:pPr>
      <w:r>
        <w:rPr>
          <w:rFonts w:ascii="方正仿宋简体" w:eastAsia="方正仿宋简体" w:cs="方正仿宋简体" w:hint="eastAsia"/>
        </w:rPr>
        <w:t>1、收入说明</w:t>
      </w:r>
    </w:p>
    <w:p>
      <w:pPr>
        <w:pStyle w:val="31"/>
        <w:rPr>
          <w:rFonts w:ascii="方正仿宋简体" w:eastAsia="方正仿宋简体" w:cs="方正仿宋简体" w:hint="eastAsia"/>
        </w:rPr>
      </w:pPr>
      <w:r>
        <w:rPr>
          <w:rFonts w:ascii="方正仿宋简体" w:eastAsia="方正仿宋简体" w:cs="方正仿宋简体" w:hint="eastAsia"/>
        </w:rPr>
        <w:t>反映本部门当年全部收入。</w:t>
      </w:r>
      <w:r>
        <w:rPr>
          <w:rFonts w:ascii="方正仿宋简体" w:eastAsia="方正仿宋简体" w:cs="方正仿宋简体"/>
          <w:lang w:eastAsia="zh-CN"/>
        </w:rPr>
        <w:t>2016</w:t>
      </w:r>
      <w:r>
        <w:rPr>
          <w:rFonts w:ascii="方正仿宋简体" w:eastAsia="方正仿宋简体" w:cs="方正仿宋简体" w:hint="eastAsia"/>
        </w:rPr>
        <w:t>年预算收入</w:t>
      </w:r>
      <w:r>
        <w:rPr>
          <w:rFonts w:ascii="方正仿宋简体" w:eastAsia="方正仿宋简体" w:cs="方正仿宋简体"/>
        </w:rPr>
        <w:t>128.22</w:t>
      </w:r>
      <w:r>
        <w:rPr>
          <w:rFonts w:ascii="方正仿宋简体" w:eastAsia="方正仿宋简体" w:cs="方正仿宋简体" w:hint="eastAsia"/>
        </w:rPr>
        <w:t>万元，其中：一般公共预算收入</w:t>
      </w:r>
      <w:r>
        <w:rPr>
          <w:rFonts w:ascii="方正仿宋简体" w:eastAsia="方正仿宋简体" w:cs="方正仿宋简体"/>
        </w:rPr>
        <w:t>128.22</w:t>
      </w:r>
      <w:r>
        <w:rPr>
          <w:rFonts w:ascii="方正仿宋简体" w:eastAsia="方正仿宋简体" w:cs="方正仿宋简体" w:hint="eastAsia"/>
        </w:rPr>
        <w:t>万元，基金预算收入0万元，国有资本经营预算收入0万元，财政专户核拨收入0万元，单位资金收入0万元，上年结转结余0万元。</w:t>
      </w:r>
    </w:p>
    <w:p>
      <w:pPr>
        <w:pStyle w:val="31"/>
        <w:rPr>
          <w:rFonts w:ascii="方正仿宋简体" w:eastAsia="方正仿宋简体" w:cs="方正仿宋简体" w:hint="eastAsia"/>
        </w:rPr>
      </w:pPr>
      <w:r>
        <w:rPr>
          <w:rFonts w:ascii="方正仿宋简体" w:eastAsia="方正仿宋简体" w:cs="方正仿宋简体" w:hint="eastAsia"/>
        </w:rPr>
        <w:t>2、支出说明</w:t>
      </w:r>
    </w:p>
    <w:p>
      <w:pPr>
        <w:pStyle w:val="31"/>
        <w:rPr>
          <w:rFonts w:ascii="方正仿宋简体" w:eastAsia="方正仿宋简体" w:cs="方正仿宋简体" w:hint="eastAsia"/>
        </w:rPr>
      </w:pPr>
      <w:r>
        <w:rPr>
          <w:rFonts w:ascii="方正仿宋简体" w:eastAsia="方正仿宋简体" w:cs="方正仿宋简体" w:hint="eastAsia"/>
        </w:rPr>
        <w:t>收支预算总表支出栏、基本支出表、项目支出表按经济分类和支出功能分类科目编制，反映唐山市丰南区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color w:val="000000"/>
          <w:sz w:val="28"/>
        </w:rPr>
        <w:t>2016</w:t>
      </w:r>
      <w:r>
        <w:rPr>
          <w:rFonts w:ascii="方正仿宋简体" w:eastAsia="方正仿宋简体" w:cs="方正仿宋简体" w:hint="eastAsia"/>
        </w:rPr>
        <w:t>年度部门预算中支出预算的总体情况。</w:t>
      </w:r>
      <w:r>
        <w:rPr>
          <w:rFonts w:ascii="方正仿宋简体" w:eastAsia="方正仿宋简体" w:cs="方正仿宋简体"/>
          <w:lang w:val="uk-UA"/>
        </w:rPr>
        <w:t>2016</w:t>
      </w:r>
      <w:r>
        <w:rPr>
          <w:rFonts w:ascii="方正仿宋简体" w:eastAsia="方正仿宋简体" w:cs="方正仿宋简体" w:hint="eastAsia"/>
        </w:rPr>
        <w:t>年支出预算</w:t>
      </w:r>
      <w:r>
        <w:rPr>
          <w:rFonts w:ascii="方正仿宋简体" w:eastAsia="方正仿宋简体" w:cs="方正仿宋简体"/>
        </w:rPr>
        <w:t>128.22</w:t>
      </w:r>
      <w:r>
        <w:rPr>
          <w:rFonts w:ascii="方正仿宋简体" w:eastAsia="方正仿宋简体" w:cs="方正仿宋简体" w:hint="eastAsia"/>
        </w:rPr>
        <w:t>万元，其中基本支出</w:t>
      </w:r>
      <w:r>
        <w:rPr>
          <w:rFonts w:ascii="方正仿宋简体" w:eastAsia="方正仿宋简体" w:cs="方正仿宋简体"/>
        </w:rPr>
        <w:t>56.22</w:t>
      </w:r>
      <w:r>
        <w:rPr>
          <w:rFonts w:ascii="方正仿宋简体" w:eastAsia="方正仿宋简体" w:cs="方正仿宋简体" w:hint="eastAsia"/>
        </w:rPr>
        <w:t>万元，包括人员经费</w:t>
      </w:r>
      <w:r>
        <w:rPr>
          <w:rFonts w:ascii="方正仿宋简体" w:eastAsia="方正仿宋简体" w:cs="方正仿宋简体"/>
        </w:rPr>
        <w:t>51.44</w:t>
      </w:r>
      <w:r>
        <w:rPr>
          <w:rFonts w:ascii="方正仿宋简体" w:eastAsia="方正仿宋简体" w:cs="方正仿宋简体" w:hint="eastAsia"/>
        </w:rPr>
        <w:t>万元和日常公用经费</w:t>
      </w:r>
      <w:r>
        <w:rPr>
          <w:rFonts w:ascii="方正仿宋简体" w:eastAsia="方正仿宋简体" w:cs="方正仿宋简体"/>
        </w:rPr>
        <w:t>4.78</w:t>
      </w:r>
      <w:r>
        <w:rPr>
          <w:rFonts w:ascii="方正仿宋简体" w:eastAsia="方正仿宋简体" w:cs="方正仿宋简体" w:hint="eastAsia"/>
        </w:rPr>
        <w:t>万元；项目支出</w:t>
      </w:r>
      <w:r>
        <w:rPr>
          <w:rFonts w:ascii="方正仿宋简体" w:eastAsia="方正仿宋简体" w:cs="方正仿宋简体"/>
        </w:rPr>
        <w:t>72</w:t>
      </w:r>
      <w:r>
        <w:rPr>
          <w:rFonts w:ascii="方正仿宋简体" w:eastAsia="方正仿宋简体" w:cs="方正仿宋简体" w:hint="eastAsia"/>
        </w:rPr>
        <w:t>万元，主要为</w:t>
      </w:r>
      <w:r>
        <w:rPr>
          <w:rFonts w:ascii="方正仿宋简体" w:eastAsia="方正仿宋简体" w:cs="方正仿宋简体" w:hAnsi="宋体" w:hint="eastAsia"/>
          <w:lang w:bidi="ar-SA"/>
        </w:rPr>
        <w:t>对外宣传(含舆论引导）</w:t>
      </w:r>
      <w:r>
        <w:rPr>
          <w:rFonts w:ascii="方正仿宋简体" w:eastAsia="方正仿宋简体" w:cs="方正仿宋简体" w:hAnsi="宋体"/>
          <w:lang w:bidi="ar-SA"/>
        </w:rPr>
        <w:t>、</w:t>
      </w:r>
      <w:r>
        <w:rPr>
          <w:rFonts w:ascii="方正仿宋简体" w:eastAsia="方正仿宋简体" w:cs="方正仿宋简体" w:hAnsi="宋体" w:hint="eastAsia"/>
          <w:lang w:bidi="ar-SA"/>
        </w:rPr>
        <w:t>互联网宣传管理</w:t>
      </w:r>
      <w:r>
        <w:rPr>
          <w:rFonts w:ascii="方正仿宋简体" w:eastAsia="方正仿宋简体" w:cs="方正仿宋简体" w:hint="eastAsia"/>
        </w:rPr>
        <w:t>。</w:t>
      </w:r>
    </w:p>
    <w:p>
      <w:pPr>
        <w:spacing w:before="10" w:after="10" w:line="360" w:lineRule="auto"/>
        <w:ind w:firstLine="640"/>
        <w:outlineLvl w:val="2"/>
        <w:rPr>
          <w:rFonts w:ascii="方正仿宋简体" w:eastAsia="方正仿宋简体" w:cs="方正仿宋简体" w:hint="eastAsia"/>
        </w:rPr>
      </w:pPr>
      <w:bookmarkStart w:id="2" w:name="_Toc_3_3_0000000012"/>
      <w:r>
        <w:rPr>
          <w:rFonts w:ascii="方正仿宋简体" w:eastAsia="方正仿宋简体" w:cs="方正仿宋简体" w:hAnsi="黑体" w:hint="eastAsia"/>
          <w:color w:val="000000"/>
          <w:sz w:val="32"/>
        </w:rPr>
        <w:t>三、机关运行经费安排情况</w:t>
      </w:r>
      <w:bookmarkEnd w:id="2"/>
    </w:p>
    <w:p>
      <w:pPr>
        <w:pStyle w:val="32"/>
        <w:rPr>
          <w:rFonts w:ascii="方正仿宋简体" w:eastAsia="方正仿宋简体" w:cs="方正仿宋简体" w:hint="eastAsia"/>
        </w:rPr>
      </w:pPr>
      <w:r>
        <w:rPr>
          <w:rFonts w:ascii="方正仿宋简体" w:eastAsia="方正仿宋简体" w:cs="方正仿宋简体"/>
          <w:lang w:eastAsia="zh-CN"/>
        </w:rPr>
        <w:t>2016</w:t>
      </w:r>
      <w:r>
        <w:rPr>
          <w:rFonts w:ascii="方正仿宋简体" w:eastAsia="方正仿宋简体" w:cs="方正仿宋简体" w:hint="eastAsia"/>
        </w:rPr>
        <w:t>年，我部门机关运行经费共计安排</w:t>
      </w:r>
      <w:r>
        <w:rPr>
          <w:rFonts w:ascii="方正仿宋简体" w:eastAsia="方正仿宋简体" w:cs="方正仿宋简体"/>
        </w:rPr>
        <w:t>4.78</w:t>
      </w:r>
      <w:r>
        <w:rPr>
          <w:rFonts w:ascii="方正仿宋简体" w:eastAsia="方正仿宋简体" w:cs="方正仿宋简体" w:hint="eastAsia"/>
        </w:rPr>
        <w:t>万元，主要用于日常维修、办公用房水电费、办公用房取暖费、办公用房物业管理费等日常运行支出。</w:t>
      </w:r>
    </w:p>
    <w:p>
      <w:pPr>
        <w:spacing w:before="10" w:after="10" w:line="360" w:lineRule="auto"/>
        <w:ind w:firstLine="640"/>
        <w:outlineLvl w:val="2"/>
        <w:rPr>
          <w:rFonts w:ascii="方正仿宋简体" w:eastAsia="方正仿宋简体" w:cs="方正仿宋简体" w:hint="eastAsia"/>
        </w:rPr>
      </w:pPr>
      <w:bookmarkStart w:id="3" w:name="_Toc_3_3_0000000013"/>
      <w:r>
        <w:rPr>
          <w:rFonts w:ascii="方正仿宋简体" w:eastAsia="方正仿宋简体" w:cs="方正仿宋简体" w:hAnsi="黑体" w:hint="eastAsia"/>
          <w:color w:val="000000"/>
          <w:sz w:val="32"/>
        </w:rPr>
        <w:t>四、财政拨款“三公”经费预算情况及增减变化原因</w:t>
      </w:r>
      <w:bookmarkEnd w:id="3"/>
    </w:p>
    <w:p>
      <w:pPr>
        <w:pStyle w:val="38"/>
        <w:rPr>
          <w:rFonts w:ascii="方正仿宋简体" w:eastAsia="方正仿宋简体" w:cs="方正仿宋简体" w:hint="eastAsia"/>
        </w:rPr>
      </w:pPr>
      <w:bookmarkStart w:id="4" w:name="_Toc_3_3_0000000014"/>
      <w:r>
        <w:rPr>
          <w:rFonts w:ascii="方正仿宋简体" w:eastAsia="方正仿宋简体" w:cs="方正仿宋简体"/>
          <w:lang w:eastAsia="zh-CN"/>
        </w:rPr>
        <w:t>2016</w:t>
      </w:r>
      <w:r>
        <w:rPr>
          <w:rFonts w:ascii="方正仿宋简体" w:eastAsia="方正仿宋简体" w:cs="方正仿宋简体" w:hint="eastAsia"/>
        </w:rPr>
        <w:t>年，我单位财政拨款“三公”经费预算安排</w:t>
      </w:r>
      <w:r>
        <w:rPr>
          <w:rFonts w:ascii="方正仿宋简体" w:eastAsia="方正仿宋简体" w:cs="方正仿宋简体"/>
        </w:rPr>
        <w:t>2.50</w:t>
      </w:r>
      <w:r>
        <w:rPr>
          <w:rFonts w:ascii="方正仿宋简体" w:eastAsia="方正仿宋简体" w:cs="方正仿宋简体" w:hint="eastAsia"/>
        </w:rPr>
        <w:t>万元，其中因公出国（境）费0万元；公务用车购置及运维费</w:t>
      </w:r>
      <w:r>
        <w:rPr>
          <w:rFonts w:ascii="方正仿宋简体" w:eastAsia="方正仿宋简体" w:cs="方正仿宋简体"/>
        </w:rPr>
        <w:t>2.50</w:t>
      </w:r>
      <w:r>
        <w:rPr>
          <w:rFonts w:ascii="方正仿宋简体" w:eastAsia="方正仿宋简体" w:cs="方正仿宋简体" w:hint="eastAsia"/>
        </w:rPr>
        <w:t>万元（其中：公务用车购置费为0万元，公务用车运维费</w:t>
      </w:r>
      <w:r>
        <w:rPr>
          <w:rFonts w:ascii="方正仿宋简体" w:eastAsia="方正仿宋简体" w:cs="方正仿宋简体"/>
        </w:rPr>
        <w:t>2.50</w:t>
      </w:r>
      <w:r>
        <w:rPr>
          <w:rFonts w:ascii="方正仿宋简体" w:eastAsia="方正仿宋简体" w:cs="方正仿宋简体" w:hint="eastAsia"/>
        </w:rPr>
        <w:t>万元)；公务接待费</w:t>
      </w:r>
      <w:r>
        <w:rPr>
          <w:rFonts w:ascii="方正仿宋简体" w:eastAsia="方正仿宋简体" w:cs="方正仿宋简体"/>
        </w:rPr>
        <w:t>0</w:t>
      </w:r>
      <w:r>
        <w:rPr>
          <w:rFonts w:ascii="方正仿宋简体" w:eastAsia="方正仿宋简体" w:cs="方正仿宋简体" w:hint="eastAsia"/>
        </w:rPr>
        <w:t>万元。与</w:t>
      </w:r>
      <w:r>
        <w:rPr>
          <w:rFonts w:ascii="方正仿宋简体" w:eastAsia="方正仿宋简体" w:cs="方正仿宋简体"/>
        </w:rPr>
        <w:t>2015</w:t>
      </w:r>
      <w:r>
        <w:rPr>
          <w:rFonts w:ascii="方正仿宋简体" w:eastAsia="方正仿宋简体" w:cs="方正仿宋简体" w:hint="eastAsia"/>
        </w:rPr>
        <w:t>年持平。</w:t>
      </w:r>
    </w:p>
    <w:p>
      <w:pPr>
        <w:spacing w:line="360" w:lineRule="auto"/>
        <w:ind w:firstLine="630"/>
        <w:rPr>
          <w:rFonts w:ascii="方正仿宋简体" w:eastAsia="方正仿宋简体" w:cs="方正仿宋简体" w:hAnsi="黑体" w:hint="eastAsia"/>
          <w:sz w:val="32"/>
          <w:szCs w:val="32"/>
        </w:rPr>
      </w:pPr>
      <w:bookmarkEnd w:id="4"/>
      <w:r>
        <w:rPr>
          <w:rFonts w:ascii="方正仿宋简体" w:eastAsia="方正仿宋简体" w:cs="方正仿宋简体" w:hAnsi="黑体" w:hint="eastAsia"/>
          <w:sz w:val="32"/>
          <w:szCs w:val="32"/>
        </w:rPr>
        <w:t>五、绩效预算信息</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（一）总体绩效目标</w:t>
      </w:r>
    </w:p>
    <w:p>
      <w:pPr>
        <w:spacing w:line="360" w:lineRule="auto"/>
        <w:ind w:firstLine="630"/>
        <w:rPr>
          <w:rFonts w:ascii="方正仿宋简体" w:eastAsia="方正仿宋简体" w:cs="方正仿宋简体" w:hAnsi="楷体" w:hint="eastAsia"/>
          <w:sz w:val="32"/>
          <w:szCs w:val="32"/>
          <w:lang w:eastAsia="zh-CN"/>
        </w:rPr>
      </w:pPr>
      <w:bookmarkStart w:id="5" w:name="_Toc_3_3_0000000017"/>
      <w:r>
        <w:rPr>
          <w:rFonts w:ascii="方正仿宋简体" w:eastAsia="方正仿宋简体" w:cs="方正仿宋简体" w:hint="eastAsia"/>
          <w:sz w:val="28"/>
        </w:rPr>
        <w:t>贯彻执行党和国家关于新闻对外宣传工作的各项方针政策和法律法规，把握正确的对外宣传舆论导向。贯彻落实中央、省市委对外宣传工作部署，立足和服务丰南全区经济发展大局，强化对外宣传职责，全力做好对外宣传和网络宣传管理，通过扎实推进主题新闻报道、对外宣传活动、舆情舆论引导、“全省一张网”建设等项目标工作，为丰南经济和社会发展营造良好的舆论环境和对外形象。</w:t>
      </w:r>
    </w:p>
    <w:p>
      <w:pPr>
        <w:ind w:firstLineChars="200" w:firstLine="560"/>
        <w:outlineLvl w:val="0"/>
        <w:rPr>
          <w:rFonts w:ascii="方正仿宋简体" w:eastAsia="方正仿宋简体" w:cs="方正仿宋简体" w:hAnsi="仿宋"/>
          <w:bCs/>
          <w:color w:val="000000"/>
          <w:sz w:val="28"/>
          <w:szCs w:val="28"/>
        </w:rPr>
      </w:pPr>
      <w:r>
        <w:rPr>
          <w:rFonts w:ascii="方正仿宋简体" w:eastAsia="方正仿宋简体" w:cs="方正仿宋简体" w:hAnsi="仿宋" w:hint="eastAsia"/>
          <w:bCs/>
          <w:color w:val="000000"/>
          <w:sz w:val="28"/>
          <w:szCs w:val="28"/>
          <w:lang w:eastAsia="zh-CN"/>
        </w:rPr>
        <w:t>（二）</w:t>
      </w:r>
      <w:r>
        <w:rPr>
          <w:rFonts w:ascii="方正仿宋简体" w:eastAsia="方正仿宋简体" w:cs="方正仿宋简体" w:hAnsi="仿宋" w:hint="eastAsia"/>
          <w:bCs/>
          <w:color w:val="000000"/>
          <w:sz w:val="28"/>
          <w:szCs w:val="28"/>
        </w:rPr>
        <w:t>实现年度发展规划目标的保障措施</w:t>
      </w:r>
    </w:p>
    <w:p>
      <w:pPr>
        <w:ind w:firstLine="560"/>
        <w:rPr>
          <w:rFonts w:ascii="方正仿宋简体" w:eastAsia="方正仿宋简体" w:cs="方正仿宋简体" w:hint="eastAsia"/>
          <w:sz w:val="28"/>
        </w:rPr>
      </w:pPr>
      <w:r>
        <w:rPr>
          <w:rFonts w:ascii="方正仿宋简体" w:eastAsia="方正仿宋简体" w:cs="方正仿宋简体" w:hint="eastAsia"/>
          <w:sz w:val="28"/>
        </w:rPr>
        <w:t>2016年度，区委外宣局围绕对外宣传工作发展规划目标任务，充分发挥外宣工作职能，做实做新全区对外宣传，强化新闻外宣、舆论宣传和丰南网上宣传引导，不断凝聚打造丰南新优势、重振丰南雄风、再创新辉煌的强大合力。</w:t>
      </w:r>
    </w:p>
    <w:p>
      <w:pPr>
        <w:ind w:firstLine="560"/>
        <w:rPr>
          <w:rFonts w:ascii="方正仿宋简体" w:eastAsia="方正仿宋简体" w:cs="方正仿宋简体" w:hint="eastAsia"/>
          <w:sz w:val="28"/>
        </w:rPr>
      </w:pPr>
      <w:r>
        <w:rPr>
          <w:rFonts w:ascii="方正仿宋简体" w:eastAsia="方正仿宋简体" w:cs="方正仿宋简体"/>
          <w:sz w:val="28"/>
        </w:rPr>
        <w:t>1、</w:t>
      </w:r>
      <w:r>
        <w:rPr>
          <w:rFonts w:ascii="方正仿宋简体" w:eastAsia="方正仿宋简体" w:cs="方正仿宋简体" w:hint="eastAsia"/>
          <w:sz w:val="28"/>
        </w:rPr>
        <w:t>做大做强新闻外宣。围绕大局、大势、大事，积极开展主题主线新闻外宣。组织和邀请市以上媒体，聚焦区委、区政府中心工作，全方位对丰南开展宣传报道，强力推出了一系列宣传丰南的外宣精品，为推进全区经济社会发展营造了浓厚舆论氛围。</w:t>
      </w:r>
    </w:p>
    <w:p>
      <w:pPr>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做早做好舆论舆情引导。围绕“网聚丰南正能量”，持续加强网络文化建设。加快适应特色新媒体建设发展新形势和新任务，强化全区互联网宣传队伍管理，每季召开网评员专业培训，常态开展主题网络宣传工作，发布贴文、微博力争突破万余条；实行24小时不间断的网络舆情监控机制；开通和强化“丰南发布”政务公众微信、微博平台建设，拓宽丰南对外网络主流舆论新阵地，有力提升丰南对外良好的发展品牌和环境。</w:t>
      </w:r>
    </w:p>
    <w:p>
      <w:pPr>
        <w:ind w:firstLineChars="200" w:firstLine="560"/>
        <w:outlineLvl w:val="0"/>
        <w:rPr>
          <w:rFonts w:ascii="方正仿宋简体" w:eastAsia="方正仿宋简体" w:cs="方正仿宋简体" w:hAnsi="仿宋" w:hint="eastAsia"/>
          <w:bCs/>
          <w:sz w:val="28"/>
        </w:rPr>
      </w:pPr>
      <w:r>
        <w:rPr>
          <w:rFonts w:ascii="方正仿宋简体" w:eastAsia="方正仿宋简体" w:cs="方正仿宋简体"/>
          <w:sz w:val="28"/>
        </w:rPr>
        <w:t>3、</w:t>
      </w:r>
      <w:r>
        <w:rPr>
          <w:rFonts w:ascii="方正仿宋简体" w:eastAsia="方正仿宋简体" w:cs="方正仿宋简体" w:hint="eastAsia"/>
          <w:sz w:val="28"/>
        </w:rPr>
        <w:t>加快加强互联网宣传管理。围绕提升丰南影响力和美誉度，不断加大互联网宣传力度。策划组织开展“十大主题”网络宣传，力争全年在各大网站发稿突破千余篇，对丰南网上舆论进行正面引导。同时，随时做好接待网络媒体记者集中采访活动，有力宣传展示丰南经济社会发展成果。</w:t>
      </w:r>
    </w:p>
    <w:p>
      <w:pPr>
        <w:spacing w:line="360" w:lineRule="auto"/>
        <w:ind w:firstLine="630"/>
        <w:rPr>
          <w:rFonts w:ascii="方正仿宋简体" w:eastAsia="方正仿宋简体" w:cs="方正仿宋简体" w:hAnsi="楷体" w:hint="eastAsia"/>
          <w:sz w:val="28"/>
          <w:szCs w:val="28"/>
        </w:rPr>
      </w:pPr>
      <w:r>
        <w:rPr>
          <w:rFonts w:ascii="方正仿宋简体" w:eastAsia="方正仿宋简体" w:cs="方正仿宋简体" w:hAnsi="楷体" w:hint="eastAsia"/>
          <w:sz w:val="28"/>
          <w:szCs w:val="28"/>
        </w:rPr>
        <w:t>（三）部门职责及工作活动绩效目标指标</w:t>
      </w:r>
    </w:p>
    <w:p>
      <w:pPr>
        <w:jc w:val="center"/>
        <w:outlineLvl w:val="0"/>
        <w:rPr>
          <w:rFonts w:ascii="方正仿宋简体" w:eastAsia="方正仿宋简体" w:cs="方正仿宋简体"/>
          <w:sz w:val="32"/>
        </w:rPr>
      </w:pPr>
      <w:bookmarkStart w:id="6" w:name="_Toc441303271"/>
      <w:r>
        <w:rPr>
          <w:rFonts w:ascii="方正仿宋简体" w:eastAsia="方正仿宋简体" w:cs="方正仿宋简体" w:hint="eastAsia"/>
          <w:sz w:val="32"/>
        </w:rPr>
        <w:t>部门职责-工作活动绩效目标</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3932" w:type="dxa"/>
            <w:gridSpan w:val="9"/>
            <w:tcBorders>
              <w:top w:val="single" w:sz="6" w:space="0" w:color="FFFFFF"/>
              <w:left w:val="single" w:sz="6" w:space="0" w:color="FFFFFF"/>
              <w:bottom w:val="single" w:sz="6" w:space="0" w:color="000000"/>
              <w:right w:val="single" w:sz="6" w:space="0" w:color="FFFFFF"/>
              <w:tl2br w:val="nil"/>
              <w:tr2bl w:val="nil"/>
            </w:tcBorders>
            <w:vAlign w:val="center"/>
          </w:tcPr>
          <w:p>
            <w:pPr>
              <w:spacing w:line="300" w:lineRule="exact"/>
              <w:jc w:val="left"/>
              <w:rPr>
                <w:rFonts w:ascii="方正仿宋简体" w:eastAsia="方正仿宋简体" w:cs="方正仿宋简体" w:hint="eastAsia"/>
                <w:sz w:val="24"/>
              </w:rPr>
            </w:pPr>
            <w:r>
              <w:rPr>
                <w:rFonts w:ascii="方正仿宋简体" w:eastAsia="方正仿宋简体" w:cs="方正仿宋简体" w:hint="eastAsia"/>
                <w:sz w:val="24"/>
              </w:rPr>
              <w:t>435中共唐山市丰南区委对外宣传局</w:t>
            </w:r>
          </w:p>
        </w:tc>
      </w:tr>
      <w:tr>
        <w:trPr>
          <w:trHeight w:val="227"/>
          <w:tblHeader/>
        </w:trPr>
        <w:tc>
          <w:tcPr>
            <w:tcW w:w="2341"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7"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对外宣传、新闻发布、舆论引导、互联网宣传与管理</w:t>
            </w:r>
          </w:p>
        </w:tc>
        <w:tc>
          <w:tcPr>
            <w:tcW w:w="1276"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72.00</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做好全区对外宣传；组织新闻记者接待和采访；做好新闻外宣事务；负责新闻发言人培训。统筹管理互联网工作；引导互联网舆论，处置突发舆情；管理培训网评队伍，研判网上舆情，报送《舆情信息》；做好政务微博、微信</w:t>
            </w:r>
            <w:r>
              <w:rPr>
                <w:rFonts w:ascii="方正仿宋简体" w:eastAsia="方正仿宋简体" w:cs="方正仿宋简体" w:hint="eastAsia"/>
                <w:cs/>
              </w:rPr>
              <w:t>“</w:t>
            </w:r>
            <w:r>
              <w:rPr>
                <w:rFonts w:ascii="方正仿宋简体" w:eastAsia="方正仿宋简体" w:cs="方正仿宋简体" w:hint="eastAsia"/>
              </w:rPr>
              <w:t>丰南发布</w:t>
            </w:r>
            <w:r>
              <w:rPr>
                <w:rFonts w:ascii="方正仿宋简体" w:eastAsia="方正仿宋简体" w:cs="方正仿宋简体" w:hint="eastAsia"/>
                <w:cs/>
              </w:rPr>
              <w:t>”</w:t>
            </w:r>
            <w:r>
              <w:rPr>
                <w:rFonts w:ascii="方正仿宋简体" w:eastAsia="方正仿宋简体" w:cs="方正仿宋简体" w:hint="eastAsia"/>
              </w:rPr>
              <w:t>。</w:t>
            </w:r>
          </w:p>
        </w:tc>
        <w:tc>
          <w:tcPr>
            <w:tcW w:w="2976"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做好对外宣传、网络宣传和管理，唱响主旋律，汇聚正能量，提升丰南对外形象，为全区经济社会发展提供有力的舆论引导和支持。</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p>
        </w:tc>
      </w:tr>
      <w:tr>
        <w:trPr>
          <w:trHeight w:val="227"/>
        </w:trPr>
        <w:tc>
          <w:tcPr>
            <w:tcW w:w="2341"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对外宣传事业</w:t>
            </w:r>
          </w:p>
        </w:tc>
        <w:tc>
          <w:tcPr>
            <w:tcW w:w="12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32.00</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加强和改进对外宣传工作，扩大对外宣传，开展多种形式的对外宣传活动。</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充分展示我区良好形象，不断提高我区知名度、美誉度。</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组织媒体来采访、宣传（次）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10次以上(含10次)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7至9次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3至6次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2次以下（含2次）</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组织召开系列主题新闻发布会（场）</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4</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组织举办区内外新闻媒体大型交流活动（次）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　3次以上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0</w:t>
            </w:r>
          </w:p>
        </w:tc>
      </w:tr>
      <w:tr>
        <w:trPr>
          <w:trHeight w:val="227"/>
        </w:trPr>
        <w:tc>
          <w:tcPr>
            <w:tcW w:w="2341"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舆论舆情引导管理</w:t>
            </w:r>
          </w:p>
        </w:tc>
        <w:tc>
          <w:tcPr>
            <w:tcW w:w="12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组织系列主题新闻外宣，开展外宣业务调研和培训；围绕社会热点敏感问题、突发事件，正确引导社会心态；组织开展舆情信息收集、分析、研判。</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突发事件新闻处置完成率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90%至95%</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70%至89%</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70%以下</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在市及以上媒体播发宣传我区稿件（篇）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2000篇以上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1500至2000篇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1000至1500篇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1000篇以下</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舆情信息收集、分析、上报数量</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第一时间发现，并及时分析、预警、上报。每月上报舆情信息200条以上。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及时发现，并及时分析、预警、上报。每月上报舆情信息100至200条。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发现并及时分析、预警、上报。每月上报舆情信息50至100条。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不能及时发现、收集和上报丰南舆情信息。每月上报舆情信息50条以下。</w:t>
            </w:r>
          </w:p>
        </w:tc>
      </w:tr>
      <w:tr>
        <w:trPr>
          <w:trHeight w:val="227"/>
        </w:trPr>
        <w:tc>
          <w:tcPr>
            <w:tcW w:w="2341"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互联网宣传和信息内容管理</w:t>
            </w:r>
          </w:p>
        </w:tc>
        <w:tc>
          <w:tcPr>
            <w:tcW w:w="12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40.00</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加强网络安全和信息化工作，加强互联网宣传和信息内容管理，启动和加强网络文化建设。</w:t>
            </w:r>
          </w:p>
        </w:tc>
        <w:tc>
          <w:tcPr>
            <w:tcW w:w="2976" w:type="dxa"/>
            <w:vMerge w:val="restart"/>
            <w:tcBorders>
              <w:top w:val="single" w:sz="6" w:space="0" w:color="000000"/>
              <w:left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完善互联网宣传和管理，加强网上舆论引导，营造良好网络舆论氛围，启动和发展健康向上网络文化。</w:t>
            </w: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重大涉及丰南舆情监测覆盖率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80%至90%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70%至79%</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70%以下</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组织开展网络宣传活动（次）</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每年2次以上大型活动</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每年2次大型活动</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每年1次大型活动</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每年无大型活动</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对丰南网上舆论进行正面引导</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每月开展4次网评活动，每月完成微博转发7000条以上。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每月开展3次网评活动，每月完成微博转发5000条以上。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每月开展2次网评活动，每月完成微博转发3000条以上。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每月开展1次网评活动，每月完成微博转发2000条以上。</w:t>
            </w:r>
          </w:p>
        </w:tc>
      </w:tr>
      <w:tr>
        <w:trPr>
          <w:trHeight w:val="227"/>
        </w:trPr>
        <w:tc>
          <w:tcPr>
            <w:tcW w:w="2341"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976"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41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互联网突发事件及重大</w:t>
            </w:r>
            <w:r>
              <w:rPr>
                <w:rFonts w:ascii="方正仿宋简体" w:eastAsia="方正仿宋简体" w:cs="方正仿宋简体" w:hint="eastAsia"/>
                <w:lang w:eastAsia="zh-CN"/>
              </w:rPr>
              <w:t>突发事件</w:t>
            </w:r>
            <w:r>
              <w:rPr>
                <w:rFonts w:ascii="方正仿宋简体" w:eastAsia="方正仿宋简体" w:cs="方正仿宋简体" w:hint="eastAsia"/>
              </w:rPr>
              <w:t>应急处置率</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90%以上</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80%至90%</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70%至79%</w:t>
            </w:r>
          </w:p>
        </w:tc>
        <w:tc>
          <w:tcPr>
            <w:tcW w:w="737"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70%以下</w:t>
            </w:r>
          </w:p>
        </w:tc>
      </w:tr>
    </w:tbl>
    <w:p>
      <w:pPr>
        <w:spacing w:line="300" w:lineRule="exact"/>
        <w:outlineLvl w:val="0"/>
        <w:rPr>
          <w:rFonts w:ascii="方正仿宋简体" w:eastAsia="方正仿宋简体" w:cs="方正仿宋简体" w:hint="eastAsia"/>
        </w:rPr>
        <w:sectPr>
          <w:pgSz w:w="16839" w:h="11907" w:orient="landscape"/>
          <w:pgMar w:top="1020" w:right="1361" w:bottom="1020" w:left="1361" w:header="851" w:footer="992" w:gutter="0"/>
          <w:docGrid w:type="lines" w:linePitch="312" w:charSpace="0"/>
        </w:sectPr>
      </w:pPr>
    </w:p>
    <w:p>
      <w:pPr>
        <w:spacing w:before="10" w:after="10"/>
        <w:ind w:firstLine="640"/>
        <w:outlineLvl w:val="2"/>
        <w:rPr>
          <w:rFonts w:ascii="方正仿宋简体" w:eastAsia="方正仿宋简体" w:cs="方正仿宋简体" w:hint="eastAsia"/>
        </w:rPr>
      </w:pPr>
      <w:r>
        <w:rPr>
          <w:rFonts w:ascii="方正仿宋简体" w:eastAsia="方正仿宋简体" w:cs="方正仿宋简体" w:hAnsi="黑体" w:hint="eastAsia"/>
          <w:color w:val="000000"/>
          <w:sz w:val="32"/>
        </w:rPr>
        <w:t>六、政府采购预算情况</w:t>
      </w:r>
      <w:bookmarkEnd w:id="5"/>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部门政府采购预算</w:t>
      </w:r>
    </w:p>
    <w:tbl>
      <w:tblPr>
        <w:jc w:val="center"/>
        <w:tblW w:w="15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rPr>
            </w:pPr>
            <w:r>
              <w:rPr>
                <w:rFonts w:ascii="方正仿宋简体" w:eastAsia="方正仿宋简体" w:cs="方正仿宋简体" w:hint="eastAsia"/>
                <w:sz w:val="24"/>
              </w:rPr>
              <w:t>435中共唐山市丰南区委对外宣传局</w:t>
            </w:r>
          </w:p>
        </w:tc>
        <w:tc>
          <w:tcPr>
            <w:tcW w:w="7712" w:type="dxa"/>
            <w:gridSpan w:val="8"/>
            <w:tcBorders>
              <w:top w:val="single" w:sz="6" w:space="0" w:color="FFFFFF"/>
              <w:left w:val="single" w:sz="6" w:space="0" w:color="FFFFFF"/>
              <w:right w:val="single" w:sz="6" w:space="0" w:color="FFFFFF"/>
            </w:tcBorders>
            <w:vAlign w:val="center"/>
          </w:tcPr>
          <w:p>
            <w:pPr>
              <w:pStyle w:val="37"/>
              <w:rPr>
                <w:rFonts w:ascii="方正仿宋简体" w:eastAsia="方正仿宋简体" w:cs="方正仿宋简体" w:hint="eastAsia"/>
              </w:rPr>
            </w:pPr>
            <w:r>
              <w:rPr>
                <w:rFonts w:ascii="方正仿宋简体" w:eastAsia="方正仿宋简体" w:cs="方正仿宋简体" w:hint="eastAsia"/>
              </w:rPr>
              <w:t>单位：万元</w:t>
            </w:r>
          </w:p>
        </w:tc>
      </w:tr>
      <w:tr>
        <w:trPr>
          <w:cantSplit/>
          <w:tblHeader/>
        </w:trPr>
        <w:tc>
          <w:tcPr>
            <w:tcW w:w="2665" w:type="dxa"/>
            <w:gridSpan w:val="2"/>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政府采购项目来源</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采购物品名称</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政府采购目录序号</w:t>
            </w:r>
          </w:p>
        </w:tc>
        <w:tc>
          <w:tcPr>
            <w:tcW w:w="709"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计量  单位</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单价</w:t>
            </w:r>
          </w:p>
        </w:tc>
        <w:tc>
          <w:tcPr>
            <w:tcW w:w="6748" w:type="dxa"/>
            <w:gridSpan w:val="7"/>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政府采购金额（当年部门预算安排资金）</w:t>
            </w:r>
          </w:p>
        </w:tc>
        <w:tc>
          <w:tcPr>
            <w:tcW w:w="964" w:type="dxa"/>
            <w:vMerge w:val="restart"/>
            <w:vAlign w:val="center"/>
          </w:tcPr>
          <w:p>
            <w:pPr>
              <w:pStyle w:val="23"/>
              <w:rPr>
                <w:rFonts w:ascii="方正仿宋简体" w:eastAsia="方正仿宋简体" w:cs="方正仿宋简体" w:hint="eastAsia"/>
              </w:rPr>
            </w:pPr>
            <w:r>
              <w:rPr>
                <w:rFonts w:ascii="方正仿宋简体" w:eastAsia="方正仿宋简体" w:cs="方正仿宋简体" w:hint="eastAsia"/>
                <w:lang w:eastAsia="zh-CN"/>
              </w:rPr>
              <w:t>XXXX</w:t>
            </w:r>
            <w:r>
              <w:rPr>
                <w:rFonts w:ascii="方正仿宋简体" w:eastAsia="方正仿宋简体" w:cs="方正仿宋简体" w:hint="eastAsia"/>
              </w:rPr>
              <w:t>年  预留中  小微企  业份额</w:t>
            </w:r>
          </w:p>
        </w:tc>
      </w:tr>
      <w:tr>
        <w:trPr>
          <w:cantSplit/>
          <w:tblHeader/>
        </w:trPr>
        <w:tc>
          <w:tcPr>
            <w:tcW w:w="1701"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项目名称</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合计</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一般公共预算拨款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基金预算拨款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国有资本经营预算拨款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财政专户核拨</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单位    资金</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上年结转结余</w:t>
            </w:r>
          </w:p>
        </w:tc>
        <w:tc>
          <w:tcPr>
            <w:tcW w:w="964" w:type="dxa"/>
            <w:vMerge/>
          </w:tc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合  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唐山市丰南区</w:t>
            </w:r>
            <w:r>
              <w:rPr>
                <w:rFonts w:ascii="方正仿宋简体" w:eastAsia="方正仿宋简体" w:cs="方正仿宋简体" w:hint="eastAsia"/>
                <w:lang w:eastAsia="zh-CN"/>
              </w:rPr>
              <w:t>全称</w:t>
            </w:r>
            <w:r>
              <w:rPr>
                <w:rFonts w:ascii="方正仿宋简体" w:eastAsia="方正仿宋简体" w:cs="方正仿宋简体" w:hint="eastAsia"/>
              </w:rPr>
              <w:t>本级小计</w:t>
            </w:r>
            <w:bookmarkStart w:id="7" w:name="_GoBack"/>
            <w:bookmarkEnd w:id="7"/>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p>
        </w:tc>
      </w:tr>
      <w:tr>
        <w:trPr>
          <w:cantSplit/>
        </w:trPr>
        <w:tc>
          <w:tcPr>
            <w:tcW w:w="1701" w:type="dxa"/>
            <w:vAlign w:val="center"/>
          </w:tcPr>
          <w:p>
            <w:pPr>
              <w:pStyle w:val="25"/>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vAlign w:val="center"/>
          </w:tcPr>
          <w:p>
            <w:pPr>
              <w:pStyle w:val="24"/>
              <w:rPr>
                <w:rFonts w:ascii="方正仿宋简体" w:eastAsia="方正仿宋简体" w:cs="方正仿宋简体" w:hint="eastAsia"/>
              </w:rPr>
            </w:pPr>
          </w:p>
        </w:tc>
      </w:tr>
    </w:tbl>
    <w:p>
      <w:pPr>
        <w:spacing w:line="500" w:lineRule="exact"/>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注：同一采购目录序号的物品，其单价会因配置规格不同而变动，均符合资产配置标准。涉密采购事项按照相关规定执行。</w:t>
      </w:r>
    </w:p>
    <w:p>
      <w:pPr>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注：无政府采购预算，空表列示。</w:t>
      </w:r>
    </w:p>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8" w:name="_Toc_3_3_0000000018"/>
      <w:r>
        <w:rPr>
          <w:rFonts w:ascii="方正仿宋简体" w:eastAsia="方正仿宋简体" w:cs="方正仿宋简体" w:hAnsi="黑体" w:hint="eastAsia"/>
          <w:color w:val="000000"/>
          <w:sz w:val="32"/>
        </w:rPr>
        <w:t>七、国有资产信息</w:t>
      </w:r>
      <w:bookmarkEnd w:id="8"/>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唐山市丰南区委对外宣传局（含所属单位）上年末固定资产金额为</w:t>
      </w:r>
      <w:r>
        <w:rPr>
          <w:rFonts w:ascii="方正仿宋简体" w:eastAsia="方正仿宋简体" w:cs="方正仿宋简体"/>
          <w:sz w:val="28"/>
        </w:rPr>
        <w:t>12.49375</w:t>
      </w:r>
      <w:r>
        <w:rPr>
          <w:rFonts w:ascii="方正仿宋简体" w:eastAsia="方正仿宋简体" w:cs="方正仿宋简体" w:hint="eastAsia"/>
          <w:color w:val="000000"/>
          <w:sz w:val="28"/>
        </w:rPr>
        <w:t>万元（详见下表）。本年度拟购置固定资产总额为0万元，已按要求列入政府采购预算，详见政府采购预算表。</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w:t>
      </w:r>
      <w:r>
        <w:rPr>
          <w:rFonts w:ascii="方正仿宋简体" w:eastAsia="方正仿宋简体" w:cs="方正仿宋简体" w:hAnsi="方正小标宋_GBK" w:hint="eastAsia"/>
          <w:sz w:val="36"/>
        </w:rPr>
        <w:t>固定资产占用情</w:t>
      </w:r>
      <w:r>
        <w:rPr>
          <w:rFonts w:ascii="方正仿宋简体" w:eastAsia="方正仿宋简体" w:cs="方正仿宋简体" w:hAnsi="方正小标宋_GBK" w:hint="eastAsia"/>
          <w:color w:val="000000"/>
          <w:sz w:val="36"/>
        </w:rPr>
        <w:t>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lang w:eastAsia="zh-CN"/>
              </w:rPr>
            </w:pPr>
            <w:r>
              <w:rPr>
                <w:rFonts w:ascii="方正仿宋简体" w:eastAsia="方正仿宋简体" w:cs="方正仿宋简体" w:hint="eastAsia"/>
                <w:sz w:val="24"/>
              </w:rPr>
              <w:t>435中共唐山市丰南区委对外宣传局</w:t>
            </w:r>
          </w:p>
        </w:tc>
        <w:tc>
          <w:tcPr>
            <w:tcW w:w="5669" w:type="dxa"/>
            <w:gridSpan w:val="2"/>
            <w:tcBorders>
              <w:top w:val="single" w:sz="6" w:space="0" w:color="FFFFFF"/>
              <w:left w:val="single" w:sz="6" w:space="0" w:color="FFFFFF"/>
              <w:right w:val="single" w:sz="6" w:space="0" w:color="FFFFFF"/>
            </w:tcBorders>
            <w:vAlign w:val="center"/>
          </w:tcPr>
          <w:p>
            <w:pPr>
              <w:pStyle w:val="20"/>
              <w:rPr>
                <w:rFonts w:ascii="方正仿宋简体" w:eastAsia="方正仿宋简体" w:cs="方正仿宋简体" w:hint="eastAsia"/>
              </w:rPr>
            </w:pPr>
            <w:r>
              <w:rPr>
                <w:rFonts w:ascii="方正仿宋简体" w:eastAsia="方正仿宋简体" w:cs="方正仿宋简体" w:hint="eastAsia"/>
              </w:rPr>
              <w:t>截止时间：XXXX-12-31</w:t>
            </w:r>
          </w:p>
        </w:tc>
      </w:tr>
      <w:tr>
        <w:trPr>
          <w:tblHeader/>
        </w:trPr>
        <w:tc>
          <w:tcPr>
            <w:tcW w:w="7370"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   目</w:t>
            </w:r>
          </w:p>
        </w:tc>
        <w:tc>
          <w:tcPr>
            <w:tcW w:w="2835"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2835"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价值（金额单位：万元）</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资产总额</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12.49375</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1、房屋（平方米）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　　其中：办公用房（平方米）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2、车辆（台、辆）</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8.70</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3、单价在20万元以上的设备</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4、其他固定资产</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8</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3.79375</w:t>
            </w:r>
          </w:p>
        </w:tc>
      </w:tr>
    </w:tbl>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9" w:name="_Toc_3_3_0000000019"/>
      <w:r>
        <w:rPr>
          <w:rFonts w:ascii="方正仿宋简体" w:eastAsia="方正仿宋简体" w:cs="方正仿宋简体" w:hAnsi="黑体" w:hint="eastAsia"/>
          <w:color w:val="000000"/>
          <w:sz w:val="32"/>
        </w:rPr>
        <w:t>八、名词解释</w:t>
      </w:r>
      <w:bookmarkEnd w:id="9"/>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w:t>
      </w:r>
      <w:r>
        <w:rPr>
          <w:rFonts w:ascii="方正仿宋简体" w:eastAsia="方正仿宋简体" w:cs="方正仿宋简体" w:hint="eastAsia"/>
          <w:b/>
          <w:color w:val="000000"/>
          <w:sz w:val="28"/>
        </w:rPr>
        <w:t>财政拨款收入：</w:t>
      </w:r>
      <w:r>
        <w:rPr>
          <w:rFonts w:ascii="方正仿宋简体" w:eastAsia="方正仿宋简体" w:cs="方正仿宋简体" w:hint="eastAsia"/>
          <w:color w:val="000000"/>
          <w:sz w:val="28"/>
        </w:rPr>
        <w:t>指本级财政当年拨付的资金，包括一般公共预算拨款、政府性基金预算拨款、国有资本经营预算拨款。</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2、</w:t>
      </w:r>
      <w:r>
        <w:rPr>
          <w:rFonts w:ascii="方正仿宋简体" w:eastAsia="方正仿宋简体" w:cs="方正仿宋简体" w:hint="eastAsia"/>
          <w:b/>
          <w:color w:val="000000"/>
          <w:sz w:val="28"/>
        </w:rPr>
        <w:t>财政专户管理资金收入：</w:t>
      </w:r>
      <w:r>
        <w:rPr>
          <w:rFonts w:ascii="方正仿宋简体" w:eastAsia="方正仿宋简体" w:cs="方正仿宋简体" w:hint="eastAsia"/>
          <w:color w:val="000000"/>
          <w:sz w:val="28"/>
        </w:rPr>
        <w:t>缴入财政专户、实行专项管理的教育收费收入。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3、</w:t>
      </w:r>
      <w:r>
        <w:rPr>
          <w:rFonts w:ascii="方正仿宋简体" w:eastAsia="方正仿宋简体" w:cs="方正仿宋简体" w:hint="eastAsia"/>
          <w:b/>
          <w:color w:val="000000"/>
          <w:sz w:val="28"/>
        </w:rPr>
        <w:t>单位资金收入：</w:t>
      </w:r>
      <w:r>
        <w:rPr>
          <w:rFonts w:ascii="方正仿宋简体" w:eastAsia="方正仿宋简体" w:cs="方正仿宋简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4、</w:t>
      </w:r>
      <w:r>
        <w:rPr>
          <w:rFonts w:ascii="方正仿宋简体" w:eastAsia="方正仿宋简体" w:cs="方正仿宋简体" w:hint="eastAsia"/>
          <w:b/>
          <w:color w:val="000000"/>
          <w:sz w:val="28"/>
        </w:rPr>
        <w:t>事业收入：</w:t>
      </w:r>
      <w:r>
        <w:rPr>
          <w:rFonts w:ascii="方正仿宋简体" w:eastAsia="方正仿宋简体" w:cs="方正仿宋简体" w:hint="eastAsia"/>
          <w:color w:val="000000"/>
          <w:sz w:val="28"/>
        </w:rPr>
        <w:t>指事业单位开展专业业务活动及辅助活动所取得的收入。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5、</w:t>
      </w:r>
      <w:r>
        <w:rPr>
          <w:rFonts w:ascii="方正仿宋简体" w:eastAsia="方正仿宋简体" w:cs="方正仿宋简体" w:hint="eastAsia"/>
          <w:b/>
          <w:color w:val="000000"/>
          <w:sz w:val="28"/>
        </w:rPr>
        <w:t>事业单位经营收入：</w:t>
      </w:r>
      <w:r>
        <w:rPr>
          <w:rFonts w:ascii="方正仿宋简体" w:eastAsia="方正仿宋简体" w:cs="方正仿宋简体" w:hint="eastAsia"/>
          <w:color w:val="000000"/>
          <w:sz w:val="28"/>
        </w:rPr>
        <w:t>指事业单位在专业业务活动及其辅助活动之外开展非独立核算经营活动取得的收入。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6、</w:t>
      </w:r>
      <w:r>
        <w:rPr>
          <w:rFonts w:ascii="方正仿宋简体" w:eastAsia="方正仿宋简体" w:cs="方正仿宋简体" w:hint="eastAsia"/>
          <w:b/>
          <w:color w:val="000000"/>
          <w:sz w:val="28"/>
        </w:rPr>
        <w:t>上年结转：</w:t>
      </w:r>
      <w:r>
        <w:rPr>
          <w:rFonts w:ascii="方正仿宋简体" w:eastAsia="方正仿宋简体" w:cs="方正仿宋简体" w:hint="eastAsia"/>
          <w:color w:val="000000"/>
          <w:sz w:val="28"/>
        </w:rPr>
        <w:t>指以前年度安排、结转到本年仍按原规定用途继续使用的资金。</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7、</w:t>
      </w:r>
      <w:r>
        <w:rPr>
          <w:rFonts w:ascii="方正仿宋简体" w:eastAsia="方正仿宋简体" w:cs="方正仿宋简体" w:hint="eastAsia"/>
          <w:b/>
          <w:color w:val="000000"/>
          <w:sz w:val="28"/>
        </w:rPr>
        <w:t>部门预算支出：</w:t>
      </w:r>
      <w:r>
        <w:rPr>
          <w:rFonts w:ascii="方正仿宋简体" w:eastAsia="方正仿宋简体" w:cs="方正仿宋简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8、</w:t>
      </w:r>
      <w:r>
        <w:rPr>
          <w:rFonts w:ascii="方正仿宋简体" w:eastAsia="方正仿宋简体" w:cs="方正仿宋简体" w:hint="eastAsia"/>
          <w:b/>
          <w:color w:val="000000"/>
          <w:sz w:val="28"/>
        </w:rPr>
        <w:t>事业单位经营支出：</w:t>
      </w:r>
      <w:r>
        <w:rPr>
          <w:rFonts w:ascii="方正仿宋简体" w:eastAsia="方正仿宋简体" w:cs="方正仿宋简体" w:hint="eastAsia"/>
          <w:color w:val="000000"/>
          <w:sz w:val="28"/>
        </w:rPr>
        <w:t>指事业单位在专业业务活动及其辅助活动之外开展非独立核算经营活动发生的支出。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9、</w:t>
      </w:r>
      <w:r>
        <w:rPr>
          <w:rFonts w:ascii="方正仿宋简体" w:eastAsia="方正仿宋简体" w:cs="方正仿宋简体" w:hint="eastAsia"/>
          <w:b/>
          <w:color w:val="000000"/>
          <w:sz w:val="28"/>
        </w:rPr>
        <w:t>“三公”经费：</w:t>
      </w:r>
      <w:r>
        <w:rPr>
          <w:rFonts w:ascii="方正仿宋简体" w:eastAsia="方正仿宋简体" w:cs="方正仿宋简体" w:hint="eastAsia"/>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10、</w:t>
      </w:r>
      <w:r>
        <w:rPr>
          <w:rFonts w:ascii="方正仿宋简体" w:eastAsia="方正仿宋简体" w:cs="方正仿宋简体" w:hint="eastAsia"/>
          <w:b/>
          <w:color w:val="000000"/>
          <w:sz w:val="28"/>
        </w:rPr>
        <w:t>机关运行经费：</w:t>
      </w:r>
      <w:r>
        <w:rPr>
          <w:rFonts w:ascii="方正仿宋简体" w:eastAsia="方正仿宋简体" w:cs="方正仿宋简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方正仿宋简体" w:eastAsia="方正仿宋简体" w:cs="方正仿宋简体" w:hint="eastAsia"/>
        </w:rPr>
      </w:pPr>
      <w:bookmarkStart w:id="10" w:name="_Toc_3_3_0000000020"/>
      <w:r>
        <w:rPr>
          <w:rFonts w:ascii="方正仿宋简体" w:eastAsia="方正仿宋简体" w:cs="方正仿宋简体" w:hAnsi="黑体" w:hint="eastAsia"/>
          <w:color w:val="000000"/>
          <w:sz w:val="32"/>
        </w:rPr>
        <w:t>九、其他需要说明的事项</w:t>
      </w:r>
      <w:bookmarkEnd w:id="10"/>
    </w:p>
    <w:p>
      <w:pPr>
        <w:spacing w:line="500" w:lineRule="exact"/>
        <w:ind w:firstLine="560"/>
        <w:rPr>
          <w:rFonts w:ascii="方正仿宋简体" w:eastAsia="方正仿宋简体" w:cs="方正仿宋简体" w:hint="eastAsia"/>
          <w:lang w:eastAsia="zh-CN"/>
        </w:rPr>
      </w:pPr>
      <w:r>
        <w:rPr>
          <w:rFonts w:ascii="方正仿宋简体" w:eastAsia="方正仿宋简体" w:cs="方正仿宋简体" w:hint="eastAsia"/>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汉仪中黑 197"/>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书宋_GBK">
    <w:altName w:val="微软雅黑"/>
    <w:panose1 w:val="00000000000000000000"/>
    <w:charset w:val="86"/>
    <w:family w:val="roman"/>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汉仪中黑 197"/>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97DEB5F7-AA6C-4FFC-BBF8-07D02DBAF91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374</TotalTime>
  <Application>Yozo_Office27021597764231179</Application>
  <Pages>12</Pages>
  <Words>0</Words>
  <Characters>4267</Characters>
  <Lines>0</Lines>
  <Paragraphs>78</Paragraphs>
  <CharactersWithSpaces>5690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2024-11-19T07:44:58Z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