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2024年部门预算信息公开目录</w:t>
      </w:r>
    </w:p>
    <w:p>
      <w:pPr>
        <w:jc w:val="center"/>
      </w:pPr>
    </w:p>
    <w:p>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98.77</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98.77</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98.77</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98.77</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98.77</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98.77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98.77</w:t>
            </w:r>
          </w:p>
        </w:tc>
        <w:tc>
          <w:tcPr>
            <w:tcW w:w="1134" w:type="dxa"/>
            <w:tcBorders>
              <w:left w:val="single" w:sz="6" w:space="0" w:color="000000"/>
              <w:right w:val="single" w:sz="6" w:space="0" w:color="000000"/>
            </w:tcBorders>
            <w:vAlign w:val="center"/>
          </w:tcPr>
          <w:p>
            <w:pPr>
              <w:pStyle w:val="23"/>
            </w:pPr>
            <w:r>
              <w:t>98.77</w:t>
            </w:r>
          </w:p>
        </w:tc>
        <w:tc>
          <w:tcPr>
            <w:tcW w:w="1134" w:type="dxa"/>
            <w:tcBorders>
              <w:left w:val="single" w:sz="6" w:space="0" w:color="000000"/>
              <w:right w:val="single" w:sz="6" w:space="0" w:color="000000"/>
            </w:tcBorders>
            <w:vAlign w:val="center"/>
          </w:tcPr>
          <w:p>
            <w:pPr>
              <w:pStyle w:val="23"/>
            </w:pPr>
            <w:r>
              <w:t>98.77</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98.77</w:t>
            </w:r>
          </w:p>
        </w:tc>
        <w:tc>
          <w:tcPr>
            <w:tcW w:w="1134" w:type="dxa"/>
            <w:tcBorders>
              <w:left w:val="single" w:sz="6" w:space="0" w:color="000000"/>
              <w:right w:val="single" w:sz="6" w:space="0" w:color="000000"/>
            </w:tcBorders>
            <w:vAlign w:val="center"/>
          </w:tcPr>
          <w:p>
            <w:pPr>
              <w:pStyle w:val="19"/>
            </w:pPr>
            <w:r>
              <w:t>98.77</w:t>
            </w:r>
          </w:p>
        </w:tc>
        <w:tc>
          <w:tcPr>
            <w:tcW w:w="1134" w:type="dxa"/>
            <w:tcBorders>
              <w:left w:val="single" w:sz="6" w:space="0" w:color="000000"/>
              <w:right w:val="single" w:sz="6" w:space="0" w:color="000000"/>
            </w:tcBorders>
            <w:vAlign w:val="center"/>
          </w:tcPr>
          <w:p>
            <w:pPr>
              <w:pStyle w:val="19"/>
            </w:pPr>
            <w:r>
              <w:t>98.77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1559" w:type="dxa"/>
            <w:tcBorders>
              <w:left w:val="single" w:sz="6" w:space="0" w:color="000000"/>
              <w:right w:val="single" w:sz="6" w:space="0" w:color="000000"/>
            </w:tcBorders>
            <w:vAlign w:val="center"/>
          </w:tcPr>
          <w:p>
            <w:pPr>
              <w:pStyle w:val="20"/>
            </w:pPr>
            <w:r>
              <w:t>宣传事务</w:t>
            </w:r>
          </w:p>
        </w:tc>
        <w:tc>
          <w:tcPr>
            <w:tcW w:w="1134" w:type="dxa"/>
            <w:tcBorders>
              <w:left w:val="single" w:sz="6" w:space="0" w:color="000000"/>
              <w:right w:val="single" w:sz="6" w:space="0" w:color="000000"/>
            </w:tcBorders>
            <w:vAlign w:val="center"/>
          </w:tcPr>
          <w:p>
            <w:pPr>
              <w:pStyle w:val="19"/>
            </w:pPr>
            <w:r>
              <w:t>98.77</w:t>
            </w:r>
          </w:p>
        </w:tc>
        <w:tc>
          <w:tcPr>
            <w:tcW w:w="1134" w:type="dxa"/>
            <w:tcBorders>
              <w:left w:val="single" w:sz="6" w:space="0" w:color="000000"/>
              <w:right w:val="single" w:sz="6" w:space="0" w:color="000000"/>
            </w:tcBorders>
            <w:vAlign w:val="center"/>
          </w:tcPr>
          <w:p>
            <w:pPr>
              <w:pStyle w:val="19"/>
            </w:pPr>
            <w:r>
              <w:t>98.77</w:t>
            </w:r>
          </w:p>
        </w:tc>
        <w:tc>
          <w:tcPr>
            <w:tcW w:w="1134" w:type="dxa"/>
            <w:tcBorders>
              <w:left w:val="single" w:sz="6" w:space="0" w:color="000000"/>
              <w:right w:val="single" w:sz="6" w:space="0" w:color="000000"/>
            </w:tcBorders>
            <w:vAlign w:val="center"/>
          </w:tcPr>
          <w:p>
            <w:pPr>
              <w:pStyle w:val="19"/>
            </w:pPr>
            <w:r>
              <w:t>98.77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63.77</w:t>
            </w:r>
          </w:p>
        </w:tc>
        <w:tc>
          <w:tcPr>
            <w:tcW w:w="1134" w:type="dxa"/>
            <w:tcBorders>
              <w:left w:val="single" w:sz="6" w:space="0" w:color="000000"/>
              <w:right w:val="single" w:sz="6" w:space="0" w:color="000000"/>
            </w:tcBorders>
            <w:vAlign w:val="center"/>
          </w:tcPr>
          <w:p>
            <w:pPr>
              <w:pStyle w:val="19"/>
            </w:pPr>
            <w:r>
              <w:t>63.77</w:t>
            </w:r>
          </w:p>
        </w:tc>
        <w:tc>
          <w:tcPr>
            <w:tcW w:w="1134" w:type="dxa"/>
            <w:tcBorders>
              <w:left w:val="single" w:sz="6" w:space="0" w:color="000000"/>
              <w:right w:val="single" w:sz="6" w:space="0" w:color="000000"/>
            </w:tcBorders>
            <w:vAlign w:val="center"/>
          </w:tcPr>
          <w:p>
            <w:pPr>
              <w:pStyle w:val="19"/>
            </w:pPr>
            <w:r>
              <w:t>63.77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35.00</w:t>
            </w:r>
          </w:p>
        </w:tc>
        <w:tc>
          <w:tcPr>
            <w:tcW w:w="1134" w:type="dxa"/>
            <w:tcBorders>
              <w:left w:val="single" w:sz="6" w:space="0" w:color="000000"/>
              <w:right w:val="single" w:sz="6" w:space="0" w:color="000000"/>
            </w:tcBorders>
            <w:vAlign w:val="center"/>
          </w:tcPr>
          <w:p>
            <w:pPr>
              <w:pStyle w:val="19"/>
            </w:pPr>
            <w:r>
              <w:t>35.00</w:t>
            </w:r>
          </w:p>
        </w:tc>
        <w:tc>
          <w:tcPr>
            <w:tcW w:w="1134" w:type="dxa"/>
            <w:tcBorders>
              <w:left w:val="single" w:sz="6" w:space="0" w:color="000000"/>
              <w:right w:val="single" w:sz="6" w:space="0" w:color="000000"/>
            </w:tcBorders>
            <w:vAlign w:val="center"/>
          </w:tcPr>
          <w:p>
            <w:pPr>
              <w:pStyle w:val="19"/>
            </w:pPr>
            <w:r>
              <w:t>35.00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98.77</w:t>
            </w:r>
          </w:p>
        </w:tc>
        <w:tc>
          <w:tcPr>
            <w:tcW w:w="1361" w:type="dxa"/>
            <w:tcBorders>
              <w:left w:val="single" w:sz="6" w:space="0" w:color="000000"/>
              <w:right w:val="single" w:sz="6" w:space="0" w:color="000000"/>
            </w:tcBorders>
            <w:vAlign w:val="center"/>
          </w:tcPr>
          <w:p>
            <w:pPr>
              <w:pStyle w:val="23"/>
            </w:pPr>
            <w:r>
              <w:t>63.77</w:t>
            </w:r>
          </w:p>
        </w:tc>
        <w:tc>
          <w:tcPr>
            <w:tcW w:w="1361" w:type="dxa"/>
            <w:tcBorders>
              <w:left w:val="single" w:sz="6" w:space="0" w:color="000000"/>
              <w:right w:val="single" w:sz="6" w:space="0" w:color="000000"/>
            </w:tcBorders>
            <w:vAlign w:val="center"/>
          </w:tcPr>
          <w:p>
            <w:pPr>
              <w:pStyle w:val="23"/>
            </w:pPr>
            <w:r>
              <w:t>35.00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98.77</w:t>
            </w:r>
          </w:p>
        </w:tc>
        <w:tc>
          <w:tcPr>
            <w:tcW w:w="1361" w:type="dxa"/>
            <w:tcBorders>
              <w:left w:val="single" w:sz="6" w:space="0" w:color="000000"/>
              <w:right w:val="single" w:sz="6" w:space="0" w:color="000000"/>
            </w:tcBorders>
            <w:vAlign w:val="center"/>
          </w:tcPr>
          <w:p>
            <w:pPr>
              <w:pStyle w:val="19"/>
            </w:pPr>
            <w:r>
              <w:t>63.77</w:t>
            </w:r>
          </w:p>
        </w:tc>
        <w:tc>
          <w:tcPr>
            <w:tcW w:w="1361" w:type="dxa"/>
            <w:tcBorders>
              <w:left w:val="single" w:sz="6" w:space="0" w:color="000000"/>
              <w:right w:val="single" w:sz="6" w:space="0" w:color="000000"/>
            </w:tcBorders>
            <w:vAlign w:val="center"/>
          </w:tcPr>
          <w:p>
            <w:pPr>
              <w:pStyle w:val="19"/>
            </w:pPr>
            <w:r>
              <w:t>35.00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1361" w:type="dxa"/>
            <w:tcBorders>
              <w:left w:val="single" w:sz="6" w:space="0" w:color="000000"/>
              <w:right w:val="single" w:sz="6" w:space="0" w:color="000000"/>
            </w:tcBorders>
            <w:vAlign w:val="center"/>
          </w:tcPr>
          <w:p>
            <w:pPr>
              <w:pStyle w:val="19"/>
            </w:pPr>
            <w:r>
              <w:t>98.77</w:t>
            </w:r>
          </w:p>
        </w:tc>
        <w:tc>
          <w:tcPr>
            <w:tcW w:w="1361" w:type="dxa"/>
            <w:tcBorders>
              <w:left w:val="single" w:sz="6" w:space="0" w:color="000000"/>
              <w:right w:val="single" w:sz="6" w:space="0" w:color="000000"/>
            </w:tcBorders>
            <w:vAlign w:val="center"/>
          </w:tcPr>
          <w:p>
            <w:pPr>
              <w:pStyle w:val="19"/>
            </w:pPr>
            <w:r>
              <w:t>63.77</w:t>
            </w:r>
          </w:p>
        </w:tc>
        <w:tc>
          <w:tcPr>
            <w:tcW w:w="1361" w:type="dxa"/>
            <w:tcBorders>
              <w:left w:val="single" w:sz="6" w:space="0" w:color="000000"/>
              <w:right w:val="single" w:sz="6" w:space="0" w:color="000000"/>
            </w:tcBorders>
            <w:vAlign w:val="center"/>
          </w:tcPr>
          <w:p>
            <w:pPr>
              <w:pStyle w:val="19"/>
            </w:pPr>
            <w:r>
              <w:t>35.00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63.77</w:t>
            </w:r>
          </w:p>
        </w:tc>
        <w:tc>
          <w:tcPr>
            <w:tcW w:w="1361" w:type="dxa"/>
            <w:tcBorders>
              <w:left w:val="single" w:sz="6" w:space="0" w:color="000000"/>
              <w:right w:val="single" w:sz="6" w:space="0" w:color="000000"/>
            </w:tcBorders>
            <w:vAlign w:val="center"/>
          </w:tcPr>
          <w:p>
            <w:pPr>
              <w:pStyle w:val="19"/>
            </w:pPr>
            <w:r>
              <w:t>63.77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35.00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98.77</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98.77</w:t>
            </w:r>
          </w:p>
        </w:tc>
        <w:tc>
          <w:tcPr>
            <w:tcW w:w="1474" w:type="dxa"/>
            <w:tcBorders>
              <w:left w:val="single" w:sz="6" w:space="0" w:color="000000"/>
              <w:right w:val="single" w:sz="6" w:space="0" w:color="000000"/>
            </w:tcBorders>
            <w:vAlign w:val="center"/>
          </w:tcPr>
          <w:p>
            <w:pPr>
              <w:pStyle w:val="19"/>
            </w:pPr>
            <w:r>
              <w:t>98.77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98.77</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98.77</w:t>
            </w:r>
          </w:p>
        </w:tc>
        <w:tc>
          <w:tcPr>
            <w:tcW w:w="1474" w:type="dxa"/>
            <w:tcBorders>
              <w:left w:val="single" w:sz="6" w:space="0" w:color="000000"/>
              <w:right w:val="single" w:sz="6" w:space="0" w:color="000000"/>
            </w:tcBorders>
            <w:vAlign w:val="center"/>
          </w:tcPr>
          <w:p>
            <w:pPr>
              <w:pStyle w:val="23"/>
            </w:pPr>
            <w:r>
              <w:t>98.77</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98.77</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98.77</w:t>
            </w:r>
          </w:p>
        </w:tc>
        <w:tc>
          <w:tcPr>
            <w:tcW w:w="1474" w:type="dxa"/>
            <w:tcBorders>
              <w:left w:val="single" w:sz="6" w:space="0" w:color="000000"/>
              <w:right w:val="single" w:sz="6" w:space="0" w:color="000000"/>
            </w:tcBorders>
            <w:vAlign w:val="center"/>
          </w:tcPr>
          <w:p>
            <w:pPr>
              <w:pStyle w:val="23"/>
            </w:pPr>
            <w:r>
              <w:t>98.77</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98.77</w:t>
            </w:r>
          </w:p>
        </w:tc>
        <w:tc>
          <w:tcPr>
            <w:tcW w:w="2551" w:type="dxa"/>
            <w:tcBorders>
              <w:left w:val="single" w:sz="6" w:space="0" w:color="000000"/>
              <w:right w:val="single" w:sz="6" w:space="0" w:color="000000"/>
            </w:tcBorders>
            <w:vAlign w:val="center"/>
          </w:tcPr>
          <w:p>
            <w:pPr>
              <w:pStyle w:val="23"/>
            </w:pPr>
            <w:r>
              <w:t>63.77</w:t>
            </w:r>
          </w:p>
        </w:tc>
        <w:tc>
          <w:tcPr>
            <w:tcW w:w="2551" w:type="dxa"/>
            <w:vAlign w:val="center"/>
          </w:tcPr>
          <w:p>
            <w:pPr>
              <w:pStyle w:val="23"/>
            </w:pPr>
            <w:r>
              <w:t>35.00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98.77</w:t>
            </w:r>
          </w:p>
        </w:tc>
        <w:tc>
          <w:tcPr>
            <w:tcW w:w="2551" w:type="dxa"/>
            <w:tcBorders>
              <w:left w:val="single" w:sz="6" w:space="0" w:color="000000"/>
              <w:right w:val="single" w:sz="6" w:space="0" w:color="000000"/>
            </w:tcBorders>
            <w:vAlign w:val="center"/>
          </w:tcPr>
          <w:p>
            <w:pPr>
              <w:pStyle w:val="19"/>
            </w:pPr>
            <w:r>
              <w:t>63.77</w:t>
            </w:r>
          </w:p>
        </w:tc>
        <w:tc>
          <w:tcPr>
            <w:tcW w:w="2551" w:type="dxa"/>
            <w:vAlign w:val="center"/>
          </w:tcPr>
          <w:p>
            <w:pPr>
              <w:pStyle w:val="19"/>
            </w:pPr>
            <w:r>
              <w:t>35.00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2551" w:type="dxa"/>
            <w:tcBorders>
              <w:left w:val="single" w:sz="6" w:space="0" w:color="000000"/>
              <w:right w:val="single" w:sz="6" w:space="0" w:color="000000"/>
            </w:tcBorders>
            <w:vAlign w:val="center"/>
          </w:tcPr>
          <w:p>
            <w:pPr>
              <w:pStyle w:val="19"/>
            </w:pPr>
            <w:r>
              <w:t>98.77</w:t>
            </w:r>
          </w:p>
        </w:tc>
        <w:tc>
          <w:tcPr>
            <w:tcW w:w="2551" w:type="dxa"/>
            <w:tcBorders>
              <w:left w:val="single" w:sz="6" w:space="0" w:color="000000"/>
              <w:right w:val="single" w:sz="6" w:space="0" w:color="000000"/>
            </w:tcBorders>
            <w:vAlign w:val="center"/>
          </w:tcPr>
          <w:p>
            <w:pPr>
              <w:pStyle w:val="19"/>
            </w:pPr>
            <w:r>
              <w:t>63.77</w:t>
            </w:r>
          </w:p>
        </w:tc>
        <w:tc>
          <w:tcPr>
            <w:tcW w:w="2551" w:type="dxa"/>
            <w:vAlign w:val="center"/>
          </w:tcPr>
          <w:p>
            <w:pPr>
              <w:pStyle w:val="19"/>
            </w:pPr>
            <w:r>
              <w:t>35.00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63.77</w:t>
            </w:r>
          </w:p>
        </w:tc>
        <w:tc>
          <w:tcPr>
            <w:tcW w:w="2551" w:type="dxa"/>
            <w:tcBorders>
              <w:left w:val="single" w:sz="6" w:space="0" w:color="000000"/>
              <w:right w:val="single" w:sz="6" w:space="0" w:color="000000"/>
            </w:tcBorders>
            <w:vAlign w:val="center"/>
          </w:tcPr>
          <w:p>
            <w:pPr>
              <w:pStyle w:val="19"/>
            </w:pPr>
            <w:r>
              <w:t>63.77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35.00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35.00</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63.77</w:t>
            </w:r>
          </w:p>
        </w:tc>
        <w:tc>
          <w:tcPr>
            <w:tcW w:w="2551" w:type="dxa"/>
            <w:tcBorders>
              <w:left w:val="single" w:sz="6" w:space="0" w:color="000000"/>
              <w:right w:val="single" w:sz="6" w:space="0" w:color="000000"/>
            </w:tcBorders>
            <w:vAlign w:val="center"/>
          </w:tcPr>
          <w:p>
            <w:pPr>
              <w:pStyle w:val="23"/>
            </w:pPr>
            <w:r>
              <w:t>55.56</w:t>
            </w:r>
          </w:p>
        </w:tc>
        <w:tc>
          <w:tcPr>
            <w:tcW w:w="2551" w:type="dxa"/>
            <w:vAlign w:val="center"/>
          </w:tcPr>
          <w:p>
            <w:pPr>
              <w:pStyle w:val="23"/>
            </w:pPr>
            <w:r>
              <w:t>8.21</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55.56</w:t>
            </w:r>
          </w:p>
        </w:tc>
        <w:tc>
          <w:tcPr>
            <w:tcW w:w="2551" w:type="dxa"/>
            <w:tcBorders>
              <w:left w:val="single" w:sz="6" w:space="0" w:color="000000"/>
              <w:right w:val="single" w:sz="6" w:space="0" w:color="000000"/>
            </w:tcBorders>
            <w:vAlign w:val="center"/>
          </w:tcPr>
          <w:p>
            <w:pPr>
              <w:pStyle w:val="19"/>
            </w:pPr>
            <w:r>
              <w:t>55.56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7.05</w:t>
            </w:r>
          </w:p>
        </w:tc>
        <w:tc>
          <w:tcPr>
            <w:tcW w:w="2551" w:type="dxa"/>
            <w:tcBorders>
              <w:left w:val="single" w:sz="6" w:space="0" w:color="000000"/>
              <w:right w:val="single" w:sz="6" w:space="0" w:color="000000"/>
            </w:tcBorders>
            <w:vAlign w:val="center"/>
          </w:tcPr>
          <w:p>
            <w:pPr>
              <w:pStyle w:val="19"/>
            </w:pPr>
            <w:r>
              <w:t>7.05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7.95</w:t>
            </w:r>
          </w:p>
        </w:tc>
        <w:tc>
          <w:tcPr>
            <w:tcW w:w="2551" w:type="dxa"/>
            <w:tcBorders>
              <w:left w:val="single" w:sz="6" w:space="0" w:color="000000"/>
              <w:right w:val="single" w:sz="6" w:space="0" w:color="000000"/>
            </w:tcBorders>
            <w:vAlign w:val="center"/>
          </w:tcPr>
          <w:p>
            <w:pPr>
              <w:pStyle w:val="19"/>
            </w:pPr>
            <w:r>
              <w:t>7.95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3.68</w:t>
            </w:r>
          </w:p>
        </w:tc>
        <w:tc>
          <w:tcPr>
            <w:tcW w:w="2551" w:type="dxa"/>
            <w:tcBorders>
              <w:left w:val="single" w:sz="6" w:space="0" w:color="000000"/>
              <w:right w:val="single" w:sz="6" w:space="0" w:color="000000"/>
            </w:tcBorders>
            <w:vAlign w:val="center"/>
          </w:tcPr>
          <w:p>
            <w:pPr>
              <w:pStyle w:val="19"/>
            </w:pPr>
            <w:r>
              <w:t>3.68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2.74</w:t>
            </w:r>
          </w:p>
        </w:tc>
        <w:tc>
          <w:tcPr>
            <w:tcW w:w="2551" w:type="dxa"/>
            <w:tcBorders>
              <w:left w:val="single" w:sz="6" w:space="0" w:color="000000"/>
              <w:right w:val="single" w:sz="6" w:space="0" w:color="000000"/>
            </w:tcBorders>
            <w:vAlign w:val="center"/>
          </w:tcPr>
          <w:p>
            <w:pPr>
              <w:pStyle w:val="19"/>
            </w:pPr>
            <w:r>
              <w:t>2.74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1.11</w:t>
            </w:r>
          </w:p>
        </w:tc>
        <w:tc>
          <w:tcPr>
            <w:tcW w:w="2551" w:type="dxa"/>
            <w:tcBorders>
              <w:left w:val="single" w:sz="6" w:space="0" w:color="000000"/>
              <w:right w:val="single" w:sz="6" w:space="0" w:color="000000"/>
            </w:tcBorders>
            <w:vAlign w:val="center"/>
          </w:tcPr>
          <w:p>
            <w:pPr>
              <w:pStyle w:val="19"/>
            </w:pPr>
            <w:r>
              <w:t>1.11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1.23</w:t>
            </w:r>
          </w:p>
        </w:tc>
        <w:tc>
          <w:tcPr>
            <w:tcW w:w="2551" w:type="dxa"/>
            <w:tcBorders>
              <w:left w:val="single" w:sz="6" w:space="0" w:color="000000"/>
              <w:right w:val="single" w:sz="6" w:space="0" w:color="000000"/>
            </w:tcBorders>
            <w:vAlign w:val="center"/>
          </w:tcPr>
          <w:p>
            <w:pPr>
              <w:pStyle w:val="19"/>
            </w:pPr>
            <w:r>
              <w:t>1.23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0.08</w:t>
            </w:r>
          </w:p>
        </w:tc>
        <w:tc>
          <w:tcPr>
            <w:tcW w:w="2551" w:type="dxa"/>
            <w:tcBorders>
              <w:left w:val="single" w:sz="6" w:space="0" w:color="000000"/>
              <w:right w:val="single" w:sz="6" w:space="0" w:color="000000"/>
            </w:tcBorders>
            <w:vAlign w:val="center"/>
          </w:tcPr>
          <w:p>
            <w:pPr>
              <w:pStyle w:val="19"/>
            </w:pPr>
            <w:r>
              <w:t>0.08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2.24</w:t>
            </w:r>
          </w:p>
        </w:tc>
        <w:tc>
          <w:tcPr>
            <w:tcW w:w="2551" w:type="dxa"/>
            <w:tcBorders>
              <w:left w:val="single" w:sz="6" w:space="0" w:color="000000"/>
              <w:right w:val="single" w:sz="6" w:space="0" w:color="000000"/>
            </w:tcBorders>
            <w:vAlign w:val="center"/>
          </w:tcPr>
          <w:p>
            <w:pPr>
              <w:pStyle w:val="19"/>
            </w:pPr>
            <w:r>
              <w:t>2.24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29.48</w:t>
            </w:r>
          </w:p>
        </w:tc>
        <w:tc>
          <w:tcPr>
            <w:tcW w:w="2551" w:type="dxa"/>
            <w:tcBorders>
              <w:left w:val="single" w:sz="6" w:space="0" w:color="000000"/>
              <w:right w:val="single" w:sz="6" w:space="0" w:color="000000"/>
            </w:tcBorders>
            <w:vAlign w:val="center"/>
          </w:tcPr>
          <w:p>
            <w:pPr>
              <w:pStyle w:val="19"/>
            </w:pPr>
            <w:r>
              <w:t>29.48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8.21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8.21</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0.42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0.42</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0.60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1.10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0.89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0.89</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0.40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中国共产党唐山市丰南区委员会对外宣传服务中心2024年部门预算信息公开情况说明</w:t>
      </w:r>
    </w:p>
    <w:p>
      <w:pPr>
        <w:jc w:val="center"/>
      </w:pPr>
      <w:r>
        <w:rPr>
          <w:rFonts w:ascii="方正小标宋_GBK" w:eastAsia="方正小标宋_GBK" w:cs="方正小标宋_GBK" w:hAnsi="方正小标宋_GBK"/>
          <w:color w:val="000000"/>
          <w:sz w:val="44"/>
        </w:rPr>
        <w:t>中国共产党唐山市丰南区委员会对外宣传服务中心2024年部门预算信息公开情况说明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按照《中华人民共和国预算法》、《地方预决算公开操作规程》和《关于进一步推进预算公开工作的实施意见》规定，现将中国共产党唐山市丰南区委员会对外宣传服务中心2024年部门预算公开如下：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区以上新闻报道稿件的组织、采写和把关；区以上新闻媒体记者对丰南区采访报道的组织接待工作；全区新闻通讯员队伍建设及业务指导、培训工作等。</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中国共产党唐山市丰南区委员会对外宣传服务中心本级</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副科级</w:t>
            </w:r>
          </w:p>
        </w:tc>
        <w:tc>
          <w:tcPr>
            <w:tcW w:w="3827" w:type="dxa"/>
            <w:vAlign w:val="center"/>
          </w:tcPr>
          <w:p>
            <w:pPr>
              <w:pStyle w:val="21"/>
            </w:pPr>
            <w:r>
              <w:t>财政性资金基本保证</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按照预算管理有关规定，目前部门预算的编制实行综合预算管理，即全部收入和支出都反映在预算中。中国共产党唐山市丰南区委员会对外宣传服务中心机关及所属事业单位的收支包含在部门预算中。</w:t>
      </w:r>
    </w:p>
    <w:p>
      <w:pPr>
        <w:pStyle w:val="26"/>
      </w:pPr>
      <w:r>
        <w:t>1、收入说明</w:t>
      </w:r>
    </w:p>
    <w:p>
      <w:pPr>
        <w:pStyle w:val="26"/>
      </w:pPr>
      <w:r>
        <w:t>反映本部门当年全部收入。2024年预算收入98.77万元，其中：一般公共预算收入98.77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委员会对外宣传服务中心年度部门预算中支出预算的总体情况。2024年支出预算98.77万元，其中基本支出63.77万元，包括人员经费55.56万元和日常公用经费8.21万元；项目支出35.00万元，主要为对外宣传和舆论引导经费30万元，劳务派遣人员费用（劳务费）5万元。</w:t>
      </w:r>
    </w:p>
    <w:p>
      <w:pPr>
        <w:pStyle w:val="26"/>
      </w:pPr>
      <w:r>
        <w:t>3、比上年增减情况</w:t>
      </w:r>
    </w:p>
    <w:p>
      <w:pPr>
        <w:pStyle w:val="26"/>
      </w:pPr>
      <w:r>
        <w:t>2024年预算收支安排98.77万元，较2023年预算增加1.08万元，其中：基本支出增加0.88万元，主要为人员经费增加0.67万元，日常公用经费增加0.21万元。项目支出增加0.20万元，主要为劳务派遣人员费用（劳务费）。</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2024年，我部门机关运行经费共计安排8.21万元，主要用于日常维修、办公用房水电费、办公用房取暖费、办公用房物业管理费等日常运行支出。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2.80万元，其中因公出国（境）费0.00万元；公务用车购置及运维费2.50万元（其中：公务用车购置费为0.00万元，公务用车运维费2.50万元)；公务接待费0.30万元。与2023年相比增加0.00万元，增减变化的主要原因是没有增减变化。</w:t>
      </w:r>
    </w:p>
    <w:p>
      <w:pPr>
        <w:spacing w:before="10" w:after="10" w:line="360" w:lineRule="auto"/>
        <w:ind w:firstLine="640"/>
        <w:outlineLvl w:val="2"/>
      </w:pPr>
      <w:bookmarkStart w:id="13" w:name="_Toc_3_3_0000000014"/>
      <w:r>
        <w:rPr>
          <w:rFonts w:ascii="黑体" w:eastAsia="黑体" w:cs="黑体" w:hAnsi="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9"/>
      </w:pPr>
      <w:r>
        <w:t>“围绕加快建设高质量发展示范区、生态宜居样板区”目标，丰南区委对外宣传服务中心将继续贯彻执行党和国家关于新闻对外宣传工作各项方针政策和法律法规，把握正确对外宣传舆论导向，贯彻落实中央、省市委对外宣传工作部署，立足和服务丰南全区经济发展大局，强化对外宣传职责，全力做好对外宣传工作，扎实推进主题新闻报道、对外宣传活动、舆情舆论引导，力争丰南外宣工作在全市排名保持前三，为“经济强区、美丽丰南”争示范、创唯一尽到应有的职责和力量。</w:t>
      </w:r>
    </w:p>
    <w:p>
      <w:pPr>
        <w:spacing w:line="500" w:lineRule="exact"/>
        <w:ind w:firstLine="560"/>
      </w:pPr>
      <w:r>
        <w:rPr>
          <w:rFonts w:eastAsia="方正仿宋_GBK"/>
          <w:color w:val="000000"/>
          <w:sz w:val="28"/>
        </w:rPr>
        <w:t>（二）分项绩效目标</w:t>
      </w:r>
    </w:p>
    <w:p>
      <w:pPr>
        <w:pStyle w:val="30"/>
      </w:pPr>
      <w:r>
        <w:t>牢牢掌握意识形态工作领导权、管理权、话语权，做好对外宣传、舆论舆情引导，弘扬主旋律，汇聚正能量，提升丰南对外良好形象，为全区经济社会发展提供有力舆论环境。</w:t>
      </w:r>
    </w:p>
    <w:p>
      <w:pPr>
        <w:pStyle w:val="30"/>
      </w:pPr>
      <w:r>
        <w:t>绩效目标：牢牢把握正确导向，充分展示丰南对外良好形象，为全区经济社会发展提供有力舆论支持；提高舆情研判能力和信息服务水平，及时化解、妥善处理有关负面舆情。</w:t>
      </w:r>
    </w:p>
    <w:p>
      <w:pPr>
        <w:pStyle w:val="30"/>
      </w:pPr>
      <w:r>
        <w:t>绩效指标：</w:t>
      </w:r>
    </w:p>
    <w:p>
      <w:pPr>
        <w:pStyle w:val="30"/>
      </w:pPr>
      <w:r>
        <w:t>1、组织开展主题宣传活动比率达到50%；</w:t>
      </w:r>
    </w:p>
    <w:p>
      <w:pPr>
        <w:pStyle w:val="30"/>
      </w:pPr>
      <w:r>
        <w:t>2、新闻通讯员队伍建设情况（每季度组织开展新闻通讯员业务学习活动次数）达到3次以上；</w:t>
      </w:r>
    </w:p>
    <w:p>
      <w:pPr>
        <w:pStyle w:val="30"/>
      </w:pPr>
      <w:r>
        <w:t>3、组织省市媒体采访、宣传的次数（次）达到3次以上；</w:t>
      </w:r>
    </w:p>
    <w:p>
      <w:pPr>
        <w:pStyle w:val="30"/>
      </w:pPr>
      <w:r>
        <w:t>4、在市级以上媒体播发宣传丰南区稿件（篇）达到1000篇以上；</w:t>
      </w:r>
    </w:p>
    <w:p>
      <w:pPr>
        <w:pStyle w:val="30"/>
      </w:pPr>
      <w:r>
        <w:t>5、处置完成突发事件新闻数量占突发事件新闻数量的比例达到100%。</w:t>
      </w:r>
    </w:p>
    <w:p>
      <w:pPr>
        <w:spacing w:line="500" w:lineRule="exact"/>
        <w:ind w:firstLine="560"/>
      </w:pPr>
      <w:r>
        <w:rPr>
          <w:rFonts w:eastAsia="方正仿宋_GBK"/>
          <w:color w:val="000000"/>
          <w:sz w:val="28"/>
        </w:rPr>
        <w:t>（三）工作保障措施</w:t>
      </w:r>
    </w:p>
    <w:p>
      <w:pPr>
        <w:pStyle w:val="31"/>
      </w:pPr>
      <w:r>
        <w:t>1、完善制度建设</w:t>
      </w:r>
    </w:p>
    <w:p>
      <w:pPr>
        <w:pStyle w:val="31"/>
      </w:pPr>
      <w:r>
        <w:t>外宣中心严格制定预算绩效管理制度，针对具体业务环节分别制定了绩效目标、事前绩效评估、绩效运行监控、绩效评价等具体管理办法，夯实管理制度基础。完善预算支出绩效评价办法，健全预算绩效评价指标体系，建立绩效评价结果反馈制度，推进预算绩效管理信息系统建设，为预算绩效管理提供制度和技术支撑。</w:t>
      </w:r>
    </w:p>
    <w:p>
      <w:pPr>
        <w:pStyle w:val="31"/>
      </w:pPr>
      <w:r>
        <w:t>2、加强支出管理</w:t>
      </w:r>
    </w:p>
    <w:p>
      <w:pPr>
        <w:pStyle w:val="31"/>
      </w:pPr>
      <w:r>
        <w:t>2024年，外宣中心将继续全面落实政府过紧日子要求，严格预算管理，强化预算约束，规范编制基本支出和项目支出。财务人员严格执行财务报销制度，规范收支行为；严格执行“收支两条线”的管理规定。</w:t>
      </w:r>
    </w:p>
    <w:p>
      <w:pPr>
        <w:pStyle w:val="31"/>
      </w:pPr>
      <w:r>
        <w:t>3、加强绩效运行监控</w:t>
      </w:r>
    </w:p>
    <w:p>
      <w:pPr>
        <w:pStyle w:val="31"/>
      </w:pPr>
      <w:r>
        <w:t>2024年，外宣中心将继续按照财政局《关于印发&lt;丰南区部门预算绩效运行监控工作规程&gt;的通知》和上级对部门预算效管理工作考核要求，对部门整体预算运行和支出进度进行监控。对绩效目标执行出现偏差的项目将会采取措施加快进度支出。</w:t>
      </w:r>
    </w:p>
    <w:p>
      <w:pPr>
        <w:pStyle w:val="31"/>
      </w:pPr>
      <w:r>
        <w:t>4、做好绩效自评</w:t>
      </w:r>
    </w:p>
    <w:p>
      <w:pPr>
        <w:pStyle w:val="31"/>
      </w:pPr>
      <w:r>
        <w:t>项目绩效评价报告是深化财政管理改革、加强财政支出项目绩效管理、建立公共财政的重要组成部分，也是各预算部门加强资金管理，提高资金绩效的有效途径。我部门高度重视，切实加强组织领导，增强责任意识，树立绩效理念，继续提高自评工作质量。2024年，外宣中心将严格按照区财政局《关于印发&lt;唐山市丰南区部门预算项目绩效自评管理办法&gt;的通知》的文件要求，开展好绩效自评工作。明确职责分工，既要将项目实施中存在的问题如实反映，又要分析所取得的成绩，客观公正地实施评价，为进一步规范预算项目管理、科学合理设置绩效目标提供依据。确保自评结果所反映的资金使用效益和公共服务质量全面、真实、准确、客观。</w:t>
      </w:r>
    </w:p>
    <w:p>
      <w:pPr>
        <w:pStyle w:val="31"/>
      </w:pPr>
      <w:r>
        <w:t>5、规范财务资产管理</w:t>
      </w:r>
    </w:p>
    <w:p>
      <w:pPr>
        <w:pStyle w:val="31"/>
      </w:pPr>
      <w:r>
        <w:t>2024年，外宣中心继续完善财务管理制度，严格审批程序，加强固定资产登记、使用和报废处理管理，做到支出合理，物尽其用。按照规定应当由有关负责人签字或盖章的，应当严格履行签字或盖章手续。资产管理严格入账，对账，及时进行资产清理清查。</w:t>
      </w:r>
    </w:p>
    <w:p>
      <w:pPr>
        <w:pStyle w:val="31"/>
      </w:pPr>
      <w:r>
        <w:t>6、加强内部监督</w:t>
      </w:r>
    </w:p>
    <w:p>
      <w:pPr>
        <w:pStyle w:val="31"/>
      </w:pPr>
      <w:r>
        <w:t>按照丰财会[2016]4号《关于全面推进行政事业单位内部控制建设的实施意见的通知》和丰财会[2016]6号《关于开展行政事业单位内部控制基础性评价工作的通知》的通知要求，制定丰南区委对外宣传服务中心内部控制规范，进一步提高行政事业单位内部管理水平，规范内部控制，加强廉政风险防控机制建设，实现对单位经济活动风险的防范和管控。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7、加强宣传培训调研等</w:t>
      </w:r>
    </w:p>
    <w:p>
      <w:pPr>
        <w:pStyle w:val="31"/>
      </w:pPr>
      <w:r>
        <w:t>加强人员培训，提高本部门职工业务素质，对财务人员的职业道德修养和专业胜任能力进行考核，把好入口关。同时，加强业务培训和强化职业道德教育，通过实际案例进行警示教育。</w:t>
      </w:r>
    </w:p>
    <w:p>
      <w:pPr>
        <w:pStyle w:val="31"/>
        <w:sectPr>
          <w:pgSz w:w="16840" w:h="11900" w:orient="landscape"/>
          <w:pgMar w:top="1361" w:right="1020" w:bottom="1361" w:left="1020" w:header="720" w:footer="720" w:gutter="0"/>
          <w:docGrid w:linePitch="326" w:charSpace="0"/>
        </w:sectPr>
      </w:pPr>
      <w:r>
        <w:t xml:space="preserve">强化预算绩效管理意识，促进预算绩效管理水平进一步提升。业务部门根据2024年度的工作计划，加强调研，提出优化财政资金配置、提高资金使用效率的意见，确认完成各项工作所需的相关基本支出和项目支出，提出本部门或本岗位的支出需求；在同级财政部门下达预算控制数后，对本部门的预算控制数作进一步分解、细化，根据工作计划对具体工作安排进行相应的资源配置。          </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docGrid w:linePitch="326" w:charSpace="0"/>
        </w:sectPr>
      </w:pPr>
      <w:r>
        <w:rPr>
          <w:rFonts w:eastAsia="方正仿宋_GBK" w:cs="黑体" w:hAnsi="黑体"/>
          <w:sz w:val="28"/>
        </w:rPr>
        <w:t>无</w:t>
      </w:r>
      <w:bookmarkStart w:id="15" w:name="_GoBack"/>
      <w:bookmarkEnd w:id="15"/>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1、对外宣传和舆论引导经费绩效目标表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13020724P0020H6100054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对外宣传和舆论引导经费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2024年共需要对外宣传经费30万元，主要包括：1、“美丽丰南”专题片制作、开展丰南专题网络宣传等21万元；2、印制宣传丰南画册9万元。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1.牢牢把握正确导向，充分展示丰南对外良好形象，为全区经济社会发展提供有力舆论支持。</w:t>
            </w:r>
          </w:p>
          <w:p>
            <w:pPr>
              <w:pStyle w:val="20"/>
            </w:pPr>
            <w:r>
              <w:t>2.提高舆情研判能力和信息服务水平，及时化解、妥善处理有关负面舆情。</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各项任务完成及时率（%）</w:t>
            </w:r>
          </w:p>
        </w:tc>
        <w:tc>
          <w:tcPr>
            <w:tcW w:w="5386" w:type="dxa"/>
            <w:tcBorders>
              <w:left w:val="single" w:sz="6" w:space="0" w:color="000000"/>
              <w:right w:val="single" w:sz="6" w:space="0" w:color="000000"/>
            </w:tcBorders>
            <w:vAlign w:val="center"/>
          </w:tcPr>
          <w:p>
            <w:pPr>
              <w:pStyle w:val="20"/>
            </w:pPr>
            <w:r>
              <w:t>各项任务完成及时率（%）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制作宣传品数量</w:t>
            </w:r>
          </w:p>
        </w:tc>
        <w:tc>
          <w:tcPr>
            <w:tcW w:w="5386" w:type="dxa"/>
            <w:tcBorders>
              <w:left w:val="single" w:sz="6" w:space="0" w:color="000000"/>
              <w:right w:val="single" w:sz="6" w:space="0" w:color="000000"/>
            </w:tcBorders>
            <w:vAlign w:val="center"/>
          </w:tcPr>
          <w:p>
            <w:pPr>
              <w:pStyle w:val="20"/>
            </w:pPr>
            <w:r>
              <w:t>制作宣传品数量</w:t>
            </w:r>
          </w:p>
        </w:tc>
        <w:tc>
          <w:tcPr>
            <w:tcW w:w="2268" w:type="dxa"/>
            <w:tcBorders>
              <w:left w:val="single" w:sz="6" w:space="0" w:color="000000"/>
              <w:right w:val="single" w:sz="6" w:space="0" w:color="000000"/>
            </w:tcBorders>
            <w:vAlign w:val="center"/>
          </w:tcPr>
          <w:p>
            <w:pPr>
              <w:pStyle w:val="20"/>
            </w:pPr>
            <w:r>
              <w:t>≥3000本</w:t>
            </w:r>
          </w:p>
        </w:tc>
        <w:tc>
          <w:tcPr>
            <w:tcW w:w="1276" w:type="dxa"/>
            <w:vAlign w:val="center"/>
          </w:tcPr>
          <w:p>
            <w:pPr>
              <w:pStyle w:val="20"/>
            </w:pPr>
            <w:r>
              <w:t>工作安排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信息数量增长率</w:t>
            </w:r>
          </w:p>
        </w:tc>
        <w:tc>
          <w:tcPr>
            <w:tcW w:w="5386" w:type="dxa"/>
            <w:tcBorders>
              <w:left w:val="single" w:sz="6" w:space="0" w:color="000000"/>
              <w:right w:val="single" w:sz="6" w:space="0" w:color="000000"/>
            </w:tcBorders>
            <w:vAlign w:val="center"/>
          </w:tcPr>
          <w:p>
            <w:pPr>
              <w:pStyle w:val="20"/>
            </w:pPr>
            <w:r>
              <w:t>信息数量增长率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项目预算控制数</w:t>
            </w:r>
          </w:p>
        </w:tc>
        <w:tc>
          <w:tcPr>
            <w:tcW w:w="5386" w:type="dxa"/>
            <w:tcBorders>
              <w:left w:val="single" w:sz="6" w:space="0" w:color="000000"/>
              <w:right w:val="single" w:sz="6" w:space="0" w:color="000000"/>
            </w:tcBorders>
            <w:vAlign w:val="center"/>
          </w:tcPr>
          <w:p>
            <w:pPr>
              <w:pStyle w:val="20"/>
            </w:pPr>
            <w:r>
              <w:t>不超过预算项目经费支出额度</w:t>
            </w:r>
          </w:p>
        </w:tc>
        <w:tc>
          <w:tcPr>
            <w:tcW w:w="2268" w:type="dxa"/>
            <w:tcBorders>
              <w:left w:val="single" w:sz="6" w:space="0" w:color="000000"/>
              <w:right w:val="single" w:sz="6" w:space="0" w:color="000000"/>
            </w:tcBorders>
            <w:vAlign w:val="center"/>
          </w:tcPr>
          <w:p>
            <w:pPr>
              <w:pStyle w:val="20"/>
            </w:pPr>
            <w:r>
              <w:t>≤30万</w:t>
            </w:r>
          </w:p>
        </w:tc>
        <w:tc>
          <w:tcPr>
            <w:tcW w:w="1276" w:type="dxa"/>
            <w:vAlign w:val="center"/>
          </w:tcPr>
          <w:p>
            <w:pPr>
              <w:pStyle w:val="20"/>
            </w:pPr>
            <w:r>
              <w:t>工作安排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网络关注度</w:t>
            </w:r>
          </w:p>
        </w:tc>
        <w:tc>
          <w:tcPr>
            <w:tcW w:w="5386" w:type="dxa"/>
            <w:tcBorders>
              <w:left w:val="single" w:sz="6" w:space="0" w:color="000000"/>
              <w:right w:val="single" w:sz="6" w:space="0" w:color="000000"/>
            </w:tcBorders>
            <w:vAlign w:val="center"/>
          </w:tcPr>
          <w:p>
            <w:pPr>
              <w:pStyle w:val="20"/>
            </w:pPr>
            <w:r>
              <w:t>刊发的新闻稿件在各大网站的点击量和评论量</w:t>
            </w:r>
          </w:p>
        </w:tc>
        <w:tc>
          <w:tcPr>
            <w:tcW w:w="2268" w:type="dxa"/>
            <w:tcBorders>
              <w:left w:val="single" w:sz="6" w:space="0" w:color="000000"/>
              <w:right w:val="single" w:sz="6" w:space="0" w:color="000000"/>
            </w:tcBorders>
            <w:vAlign w:val="center"/>
          </w:tcPr>
          <w:p>
            <w:pPr>
              <w:pStyle w:val="20"/>
            </w:pPr>
            <w:r>
              <w:t>充分展示丰南对外良好形象，提升丰南美誉度。</w:t>
            </w:r>
          </w:p>
        </w:tc>
        <w:tc>
          <w:tcPr>
            <w:tcW w:w="1276" w:type="dxa"/>
            <w:vAlign w:val="center"/>
          </w:tcPr>
          <w:p>
            <w:pPr>
              <w:pStyle w:val="20"/>
            </w:pPr>
            <w:r>
              <w:t>工作安排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突发事件处置率</w:t>
            </w:r>
          </w:p>
        </w:tc>
        <w:tc>
          <w:tcPr>
            <w:tcW w:w="5386" w:type="dxa"/>
            <w:tcBorders>
              <w:left w:val="single" w:sz="6" w:space="0" w:color="000000"/>
              <w:right w:val="single" w:sz="6" w:space="0" w:color="000000"/>
            </w:tcBorders>
            <w:vAlign w:val="center"/>
          </w:tcPr>
          <w:p>
            <w:pPr>
              <w:pStyle w:val="20"/>
            </w:pPr>
            <w:r>
              <w:t>处置完成突发事件新闻数量占突发事件新闻数量的比率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对地区的影响</w:t>
            </w:r>
          </w:p>
        </w:tc>
        <w:tc>
          <w:tcPr>
            <w:tcW w:w="5386" w:type="dxa"/>
            <w:tcBorders>
              <w:left w:val="single" w:sz="6" w:space="0" w:color="000000"/>
              <w:right w:val="single" w:sz="6" w:space="0" w:color="000000"/>
            </w:tcBorders>
            <w:vAlign w:val="center"/>
          </w:tcPr>
          <w:p>
            <w:pPr>
              <w:pStyle w:val="20"/>
            </w:pPr>
            <w:r>
              <w:t>对地区的影响</w:t>
            </w:r>
          </w:p>
        </w:tc>
        <w:tc>
          <w:tcPr>
            <w:tcW w:w="2268" w:type="dxa"/>
            <w:tcBorders>
              <w:left w:val="single" w:sz="6" w:space="0" w:color="000000"/>
              <w:right w:val="single" w:sz="6" w:space="0" w:color="000000"/>
            </w:tcBorders>
            <w:vAlign w:val="center"/>
          </w:tcPr>
          <w:p>
            <w:pPr>
              <w:pStyle w:val="20"/>
            </w:pPr>
            <w:r>
              <w:t>扩大丰南知名度</w:t>
            </w:r>
          </w:p>
        </w:tc>
        <w:tc>
          <w:tcPr>
            <w:tcW w:w="1276" w:type="dxa"/>
            <w:vAlign w:val="center"/>
          </w:tcPr>
          <w:p>
            <w:pPr>
              <w:pStyle w:val="20"/>
            </w:pPr>
            <w:r>
              <w:t>工作安排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tcBorders>
              <w:left w:val="single" w:sz="6" w:space="0" w:color="000000"/>
              <w:right w:val="single" w:sz="6" w:space="0" w:color="000000"/>
            </w:tcBorders>
            <w:vAlign w:val="center"/>
          </w:tcPr>
          <w:p>
            <w:pPr>
              <w:pStyle w:val="20"/>
            </w:pPr>
            <w:r>
              <w:t>群众满意数量占总数的比例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type w:val="continuous"/>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13020724P00BJ0L10004P</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我单位共1名劳务派遣人员，工资最低标准2200元/月，2024年工资及保险需要5万元。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1.工资发放及时、足额。</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发放数量</w:t>
            </w:r>
          </w:p>
        </w:tc>
        <w:tc>
          <w:tcPr>
            <w:tcW w:w="5386" w:type="dxa"/>
            <w:tcBorders>
              <w:left w:val="single" w:sz="6" w:space="0" w:color="000000"/>
              <w:right w:val="single" w:sz="6" w:space="0" w:color="000000"/>
            </w:tcBorders>
            <w:vAlign w:val="center"/>
          </w:tcPr>
          <w:p>
            <w:pPr>
              <w:pStyle w:val="20"/>
            </w:pPr>
            <w:r>
              <w:t>反映工资发放数量</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劳务派遣合同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tcBorders>
              <w:left w:val="single" w:sz="6" w:space="0" w:color="000000"/>
              <w:right w:val="single" w:sz="6" w:space="0" w:color="000000"/>
            </w:tcBorders>
            <w:vAlign w:val="center"/>
          </w:tcPr>
          <w:p>
            <w:pPr>
              <w:pStyle w:val="20"/>
            </w:pPr>
            <w:r>
              <w:t>工资发放准确率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5386" w:type="dxa"/>
            <w:tcBorders>
              <w:left w:val="single" w:sz="6" w:space="0" w:color="000000"/>
              <w:right w:val="single" w:sz="6" w:space="0" w:color="000000"/>
            </w:tcBorders>
            <w:vAlign w:val="center"/>
          </w:tcPr>
          <w:p>
            <w:pPr>
              <w:pStyle w:val="20"/>
            </w:pPr>
            <w:r>
              <w:t>执行的劳务派遣人员月工资标准</w:t>
            </w:r>
          </w:p>
        </w:tc>
        <w:tc>
          <w:tcPr>
            <w:tcW w:w="2268" w:type="dxa"/>
            <w:tcBorders>
              <w:left w:val="single" w:sz="6" w:space="0" w:color="000000"/>
              <w:right w:val="single" w:sz="6" w:space="0" w:color="000000"/>
            </w:tcBorders>
            <w:vAlign w:val="center"/>
          </w:tcPr>
          <w:p>
            <w:pPr>
              <w:pStyle w:val="20"/>
            </w:pPr>
            <w:r>
              <w:t>≥2120元</w:t>
            </w:r>
          </w:p>
        </w:tc>
        <w:tc>
          <w:tcPr>
            <w:tcW w:w="1276" w:type="dxa"/>
            <w:vAlign w:val="center"/>
          </w:tcPr>
          <w:p>
            <w:pPr>
              <w:pStyle w:val="20"/>
            </w:pPr>
            <w:r>
              <w:t>劳务派遣合同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长期使用性</w:t>
            </w:r>
          </w:p>
        </w:tc>
        <w:tc>
          <w:tcPr>
            <w:tcW w:w="5386" w:type="dxa"/>
            <w:tcBorders>
              <w:left w:val="single" w:sz="6" w:space="0" w:color="000000"/>
              <w:right w:val="single" w:sz="6" w:space="0" w:color="000000"/>
            </w:tcBorders>
            <w:vAlign w:val="center"/>
          </w:tcPr>
          <w:p>
            <w:pPr>
              <w:pStyle w:val="20"/>
            </w:pPr>
            <w:r>
              <w:t>工资发放及时率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维护外宣工作稳定</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中国共产党唐山市丰南区委员会对外宣传服务中心（含所属单位）上年末固定资产金额为21.39万元（详见下表）。本年度拟购置固定资产总额为0.00万元，已按要求列入政府采购预算，详见政府采购预算表。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435中国共产党唐山市丰南区委员会对外宣传服务中心</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21.39</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8.70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19</w:t>
            </w:r>
          </w:p>
        </w:tc>
        <w:tc>
          <w:tcPr>
            <w:tcW w:w="2835" w:type="dxa"/>
            <w:vAlign w:val="center"/>
          </w:tcPr>
          <w:p>
            <w:pPr>
              <w:pStyle w:val="19"/>
            </w:pPr>
            <w:r>
              <w:t>12.69</w:t>
            </w:r>
          </w:p>
        </w:tc>
      </w:tr>
    </w:tbl>
    <w:p>
      <w:pPr>
        <w:ind w:firstLine="640"/>
      </w:pP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ind w:firstLine="560"/>
    </w:pPr>
    <w:rPr>
      <w:rFonts w:eastAsia="方正仿宋_GBK"/>
      <w:color w:val="000000"/>
      <w:sz w:val="28"/>
    </w:rPr>
  </w:style>
  <w:style w:type="paragraph" w:styleId="36">
    <w:name w:val="header"/>
    <w:basedOn w:val="0"/>
    <w:pPr>
      <w:pBdr>
        <w:bottom w:val="single" w:sz="6" w:space="1" w:color="auto"/>
      </w:pBdr>
      <w:tabs>
        <w:tab w:val="center" w:pos="4153"/>
        <w:tab w:val="right" w:pos="8306"/>
      </w:tabs>
      <w:snapToGrid w:val="0"/>
      <w:jc w:val="center"/>
    </w:pPr>
    <w:rPr>
      <w:sz w:val="18"/>
      <w:szCs w:val="18"/>
    </w:rPr>
  </w:style>
  <w:style w:type="paragraph" w:styleId="37">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FCBC3BF-ADCA-41D7-8D5D-F02AB64F757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27</Pages>
  <Words>0</Words>
  <Characters>8775</Characters>
  <Lines>0</Lines>
  <Paragraphs>138</Paragraphs>
  <CharactersWithSpaces>11701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2024-02-19T02:46:00Z</dcterms:created>
  <dcterms:modified xsi:type="dcterms:W3CDTF">2024-02-19T07:24:50Z</dcterms:modified>
</cp:coreProperties>
</file>