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323唐山市丰南区工商业联合会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104.51</w:t>
            </w:r>
          </w:p>
        </w:tc>
        <w:tc>
          <w:tcPr>
            <w:tcW w:w="4535" w:type="dxa"/>
            <w:vAlign w:val="center"/>
          </w:tcPr>
          <w:p>
            <w:pPr>
              <w:pStyle w:val="10"/>
            </w:pPr>
            <w:r>
              <w:t>一、一般公共服务支出</w:t>
            </w:r>
          </w:p>
        </w:tc>
        <w:tc>
          <w:tcPr>
            <w:tcW w:w="2126" w:type="dxa"/>
            <w:vAlign w:val="center"/>
          </w:tcPr>
          <w:p>
            <w:pPr>
              <w:pStyle w:val="9"/>
            </w:pPr>
            <w:r>
              <w:t>78.98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104.51</w:t>
            </w:r>
          </w:p>
        </w:tc>
        <w:tc>
          <w:tcPr>
            <w:tcW w:w="4535" w:type="dxa"/>
            <w:vAlign w:val="center"/>
          </w:tcPr>
          <w:p>
            <w:pPr>
              <w:pStyle w:val="12"/>
            </w:pPr>
            <w:r>
              <w:t>本年支出合计</w:t>
            </w:r>
          </w:p>
        </w:tc>
        <w:tc>
          <w:tcPr>
            <w:tcW w:w="2126" w:type="dxa"/>
            <w:vAlign w:val="center"/>
          </w:tcPr>
          <w:p>
            <w:pPr>
              <w:pStyle w:val="13"/>
            </w:pPr>
            <w:r>
              <w:t>104.51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104.51</w:t>
            </w:r>
          </w:p>
        </w:tc>
        <w:tc>
          <w:tcPr>
            <w:tcW w:w="4535" w:type="dxa"/>
            <w:vAlign w:val="center"/>
          </w:tcPr>
          <w:p>
            <w:pPr>
              <w:pStyle w:val="12"/>
            </w:pPr>
            <w:r>
              <w:t>支出总计</w:t>
            </w:r>
          </w:p>
        </w:tc>
        <w:tc>
          <w:tcPr>
            <w:tcW w:w="2126" w:type="dxa"/>
            <w:vAlign w:val="center"/>
          </w:tcPr>
          <w:p>
            <w:pPr>
              <w:pStyle w:val="13"/>
            </w:pPr>
            <w:r>
              <w:t>104.51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323唐山市丰南区工商业联合会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104.51</w:t>
            </w:r>
          </w:p>
        </w:tc>
        <w:tc>
          <w:tcPr>
            <w:tcW w:w="1134" w:type="dxa"/>
            <w:vAlign w:val="center"/>
          </w:tcPr>
          <w:p>
            <w:pPr>
              <w:pStyle w:val="13"/>
            </w:pPr>
            <w:r>
              <w:t>104.51</w:t>
            </w:r>
          </w:p>
        </w:tc>
        <w:tc>
          <w:tcPr>
            <w:tcW w:w="1134" w:type="dxa"/>
            <w:vAlign w:val="center"/>
          </w:tcPr>
          <w:p>
            <w:pPr>
              <w:pStyle w:val="13"/>
            </w:pPr>
            <w:r>
              <w:t>104.51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78.98</w:t>
            </w:r>
          </w:p>
        </w:tc>
        <w:tc>
          <w:tcPr>
            <w:tcW w:w="1134" w:type="dxa"/>
            <w:vAlign w:val="center"/>
          </w:tcPr>
          <w:p>
            <w:pPr>
              <w:pStyle w:val="9"/>
            </w:pPr>
            <w:r>
              <w:t>78.98</w:t>
            </w:r>
          </w:p>
        </w:tc>
        <w:tc>
          <w:tcPr>
            <w:tcW w:w="1134" w:type="dxa"/>
            <w:vAlign w:val="center"/>
          </w:tcPr>
          <w:p>
            <w:pPr>
              <w:pStyle w:val="9"/>
            </w:pPr>
            <w:r>
              <w:t>78.98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20128</w:t>
            </w:r>
          </w:p>
        </w:tc>
        <w:tc>
          <w:tcPr>
            <w:tcW w:w="1559" w:type="dxa"/>
            <w:vAlign w:val="center"/>
          </w:tcPr>
          <w:p>
            <w:pPr>
              <w:pStyle w:val="10"/>
            </w:pPr>
            <w:r>
              <w:t>民主党派及工商联事务</w:t>
            </w:r>
          </w:p>
        </w:tc>
        <w:tc>
          <w:tcPr>
            <w:tcW w:w="1134" w:type="dxa"/>
            <w:vAlign w:val="center"/>
          </w:tcPr>
          <w:p>
            <w:pPr>
              <w:pStyle w:val="9"/>
            </w:pPr>
            <w:r>
              <w:t>78.98</w:t>
            </w:r>
          </w:p>
        </w:tc>
        <w:tc>
          <w:tcPr>
            <w:tcW w:w="1134" w:type="dxa"/>
            <w:vAlign w:val="center"/>
          </w:tcPr>
          <w:p>
            <w:pPr>
              <w:pStyle w:val="9"/>
            </w:pPr>
            <w:r>
              <w:t>78.98</w:t>
            </w:r>
          </w:p>
        </w:tc>
        <w:tc>
          <w:tcPr>
            <w:tcW w:w="1134" w:type="dxa"/>
            <w:vAlign w:val="center"/>
          </w:tcPr>
          <w:p>
            <w:pPr>
              <w:pStyle w:val="9"/>
            </w:pPr>
            <w:r>
              <w:t>78.98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2012801</w:t>
            </w:r>
          </w:p>
        </w:tc>
        <w:tc>
          <w:tcPr>
            <w:tcW w:w="1559" w:type="dxa"/>
            <w:vAlign w:val="center"/>
          </w:tcPr>
          <w:p>
            <w:pPr>
              <w:pStyle w:val="10"/>
            </w:pPr>
            <w:r>
              <w:t>行政运行</w:t>
            </w:r>
          </w:p>
        </w:tc>
        <w:tc>
          <w:tcPr>
            <w:tcW w:w="1134" w:type="dxa"/>
            <w:vAlign w:val="center"/>
          </w:tcPr>
          <w:p>
            <w:pPr>
              <w:pStyle w:val="9"/>
            </w:pPr>
            <w:r>
              <w:t>51.48</w:t>
            </w:r>
          </w:p>
        </w:tc>
        <w:tc>
          <w:tcPr>
            <w:tcW w:w="1134" w:type="dxa"/>
            <w:vAlign w:val="center"/>
          </w:tcPr>
          <w:p>
            <w:pPr>
              <w:pStyle w:val="9"/>
            </w:pPr>
            <w:r>
              <w:t>51.48</w:t>
            </w:r>
          </w:p>
        </w:tc>
        <w:tc>
          <w:tcPr>
            <w:tcW w:w="1134" w:type="dxa"/>
            <w:vAlign w:val="center"/>
          </w:tcPr>
          <w:p>
            <w:pPr>
              <w:pStyle w:val="9"/>
            </w:pPr>
            <w:r>
              <w:t>51.48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2012802</w:t>
            </w:r>
          </w:p>
        </w:tc>
        <w:tc>
          <w:tcPr>
            <w:tcW w:w="1559" w:type="dxa"/>
            <w:vAlign w:val="center"/>
          </w:tcPr>
          <w:p>
            <w:pPr>
              <w:pStyle w:val="10"/>
            </w:pPr>
            <w:r>
              <w:t>一般行政管理事务</w:t>
            </w:r>
          </w:p>
        </w:tc>
        <w:tc>
          <w:tcPr>
            <w:tcW w:w="1134" w:type="dxa"/>
            <w:vAlign w:val="center"/>
          </w:tcPr>
          <w:p>
            <w:pPr>
              <w:pStyle w:val="9"/>
            </w:pPr>
            <w:r>
              <w:t>27.50</w:t>
            </w:r>
          </w:p>
        </w:tc>
        <w:tc>
          <w:tcPr>
            <w:tcW w:w="1134" w:type="dxa"/>
            <w:vAlign w:val="center"/>
          </w:tcPr>
          <w:p>
            <w:pPr>
              <w:pStyle w:val="9"/>
            </w:pPr>
            <w:r>
              <w:t>27.50</w:t>
            </w:r>
          </w:p>
        </w:tc>
        <w:tc>
          <w:tcPr>
            <w:tcW w:w="1134" w:type="dxa"/>
            <w:vAlign w:val="center"/>
          </w:tcPr>
          <w:p>
            <w:pPr>
              <w:pStyle w:val="9"/>
            </w:pPr>
            <w:r>
              <w:t>27.50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15.11</w:t>
            </w:r>
          </w:p>
        </w:tc>
        <w:tc>
          <w:tcPr>
            <w:tcW w:w="1134" w:type="dxa"/>
            <w:vAlign w:val="center"/>
          </w:tcPr>
          <w:p>
            <w:pPr>
              <w:pStyle w:val="9"/>
            </w:pPr>
            <w:r>
              <w:t>15.11</w:t>
            </w:r>
          </w:p>
        </w:tc>
        <w:tc>
          <w:tcPr>
            <w:tcW w:w="1134" w:type="dxa"/>
            <w:vAlign w:val="center"/>
          </w:tcPr>
          <w:p>
            <w:pPr>
              <w:pStyle w:val="9"/>
            </w:pPr>
            <w:r>
              <w:t>15.11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15.11</w:t>
            </w:r>
          </w:p>
        </w:tc>
        <w:tc>
          <w:tcPr>
            <w:tcW w:w="1134" w:type="dxa"/>
            <w:vAlign w:val="center"/>
          </w:tcPr>
          <w:p>
            <w:pPr>
              <w:pStyle w:val="9"/>
            </w:pPr>
            <w:r>
              <w:t>15.11</w:t>
            </w:r>
          </w:p>
        </w:tc>
        <w:tc>
          <w:tcPr>
            <w:tcW w:w="1134" w:type="dxa"/>
            <w:vAlign w:val="center"/>
          </w:tcPr>
          <w:p>
            <w:pPr>
              <w:pStyle w:val="9"/>
            </w:pPr>
            <w:r>
              <w:t>15.11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6.11</w:t>
            </w:r>
          </w:p>
        </w:tc>
        <w:tc>
          <w:tcPr>
            <w:tcW w:w="1134" w:type="dxa"/>
            <w:vAlign w:val="center"/>
          </w:tcPr>
          <w:p>
            <w:pPr>
              <w:pStyle w:val="9"/>
            </w:pPr>
            <w:r>
              <w:t>6.11</w:t>
            </w:r>
          </w:p>
        </w:tc>
        <w:tc>
          <w:tcPr>
            <w:tcW w:w="1134" w:type="dxa"/>
            <w:vAlign w:val="center"/>
          </w:tcPr>
          <w:p>
            <w:pPr>
              <w:pStyle w:val="9"/>
            </w:pPr>
            <w:r>
              <w:t>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5.82</w:t>
            </w:r>
          </w:p>
        </w:tc>
        <w:tc>
          <w:tcPr>
            <w:tcW w:w="1134" w:type="dxa"/>
            <w:vAlign w:val="center"/>
          </w:tcPr>
          <w:p>
            <w:pPr>
              <w:pStyle w:val="9"/>
            </w:pPr>
            <w:r>
              <w:t>5.82</w:t>
            </w:r>
          </w:p>
        </w:tc>
        <w:tc>
          <w:tcPr>
            <w:tcW w:w="1134" w:type="dxa"/>
            <w:vAlign w:val="center"/>
          </w:tcPr>
          <w:p>
            <w:pPr>
              <w:pStyle w:val="9"/>
            </w:pPr>
            <w:r>
              <w:t>5.82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5.82</w:t>
            </w:r>
          </w:p>
        </w:tc>
        <w:tc>
          <w:tcPr>
            <w:tcW w:w="1134" w:type="dxa"/>
            <w:vAlign w:val="center"/>
          </w:tcPr>
          <w:p>
            <w:pPr>
              <w:pStyle w:val="9"/>
            </w:pPr>
            <w:r>
              <w:t>5.82</w:t>
            </w:r>
          </w:p>
        </w:tc>
        <w:tc>
          <w:tcPr>
            <w:tcW w:w="1134" w:type="dxa"/>
            <w:vAlign w:val="center"/>
          </w:tcPr>
          <w:p>
            <w:pPr>
              <w:pStyle w:val="9"/>
            </w:pPr>
            <w:r>
              <w:t>5.82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2.77</w:t>
            </w:r>
          </w:p>
        </w:tc>
        <w:tc>
          <w:tcPr>
            <w:tcW w:w="1134" w:type="dxa"/>
            <w:vAlign w:val="center"/>
          </w:tcPr>
          <w:p>
            <w:pPr>
              <w:pStyle w:val="9"/>
            </w:pPr>
            <w:r>
              <w:t>2.77</w:t>
            </w:r>
          </w:p>
        </w:tc>
        <w:tc>
          <w:tcPr>
            <w:tcW w:w="1134" w:type="dxa"/>
            <w:vAlign w:val="center"/>
          </w:tcPr>
          <w:p>
            <w:pPr>
              <w:pStyle w:val="9"/>
            </w:pPr>
            <w:r>
              <w:t>2.77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3.05</w:t>
            </w:r>
          </w:p>
        </w:tc>
        <w:tc>
          <w:tcPr>
            <w:tcW w:w="1134" w:type="dxa"/>
            <w:vAlign w:val="center"/>
          </w:tcPr>
          <w:p>
            <w:pPr>
              <w:pStyle w:val="9"/>
            </w:pPr>
            <w:r>
              <w:t>3.05</w:t>
            </w:r>
          </w:p>
        </w:tc>
        <w:tc>
          <w:tcPr>
            <w:tcW w:w="1134" w:type="dxa"/>
            <w:vAlign w:val="center"/>
          </w:tcPr>
          <w:p>
            <w:pPr>
              <w:pStyle w:val="9"/>
            </w:pPr>
            <w:r>
              <w:t>3.05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r>
              <w:t>4.60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323唐山市丰南区工商业联合会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104.51</w:t>
            </w:r>
          </w:p>
        </w:tc>
        <w:tc>
          <w:tcPr>
            <w:tcW w:w="1361" w:type="dxa"/>
            <w:vAlign w:val="center"/>
          </w:tcPr>
          <w:p>
            <w:pPr>
              <w:pStyle w:val="13"/>
            </w:pPr>
            <w:r>
              <w:t>77.01</w:t>
            </w:r>
          </w:p>
        </w:tc>
        <w:tc>
          <w:tcPr>
            <w:tcW w:w="1361" w:type="dxa"/>
            <w:vAlign w:val="center"/>
          </w:tcPr>
          <w:p>
            <w:pPr>
              <w:pStyle w:val="13"/>
            </w:pPr>
            <w:r>
              <w:t>27.50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78.98</w:t>
            </w:r>
          </w:p>
        </w:tc>
        <w:tc>
          <w:tcPr>
            <w:tcW w:w="1361" w:type="dxa"/>
            <w:vAlign w:val="center"/>
          </w:tcPr>
          <w:p>
            <w:pPr>
              <w:pStyle w:val="9"/>
            </w:pPr>
            <w:r>
              <w:t>51.48</w:t>
            </w:r>
          </w:p>
        </w:tc>
        <w:tc>
          <w:tcPr>
            <w:tcW w:w="1361" w:type="dxa"/>
            <w:vAlign w:val="center"/>
          </w:tcPr>
          <w:p>
            <w:pPr>
              <w:pStyle w:val="9"/>
            </w:pPr>
            <w:r>
              <w:t>27.50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20128</w:t>
            </w:r>
          </w:p>
        </w:tc>
        <w:tc>
          <w:tcPr>
            <w:tcW w:w="4535" w:type="dxa"/>
            <w:vAlign w:val="center"/>
          </w:tcPr>
          <w:p>
            <w:pPr>
              <w:pStyle w:val="10"/>
            </w:pPr>
            <w:r>
              <w:t>民主党派及工商联事务</w:t>
            </w:r>
          </w:p>
        </w:tc>
        <w:tc>
          <w:tcPr>
            <w:tcW w:w="1361" w:type="dxa"/>
            <w:vAlign w:val="center"/>
          </w:tcPr>
          <w:p>
            <w:pPr>
              <w:pStyle w:val="9"/>
            </w:pPr>
            <w:r>
              <w:t>78.98</w:t>
            </w:r>
          </w:p>
        </w:tc>
        <w:tc>
          <w:tcPr>
            <w:tcW w:w="1361" w:type="dxa"/>
            <w:vAlign w:val="center"/>
          </w:tcPr>
          <w:p>
            <w:pPr>
              <w:pStyle w:val="9"/>
            </w:pPr>
            <w:r>
              <w:t>51.48</w:t>
            </w:r>
          </w:p>
        </w:tc>
        <w:tc>
          <w:tcPr>
            <w:tcW w:w="1361" w:type="dxa"/>
            <w:vAlign w:val="center"/>
          </w:tcPr>
          <w:p>
            <w:pPr>
              <w:pStyle w:val="9"/>
            </w:pPr>
            <w:r>
              <w:t>27.50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2012801</w:t>
            </w:r>
          </w:p>
        </w:tc>
        <w:tc>
          <w:tcPr>
            <w:tcW w:w="4535" w:type="dxa"/>
            <w:vAlign w:val="center"/>
          </w:tcPr>
          <w:p>
            <w:pPr>
              <w:pStyle w:val="10"/>
            </w:pPr>
            <w:r>
              <w:t>行政运行</w:t>
            </w:r>
          </w:p>
        </w:tc>
        <w:tc>
          <w:tcPr>
            <w:tcW w:w="1361" w:type="dxa"/>
            <w:vAlign w:val="center"/>
          </w:tcPr>
          <w:p>
            <w:pPr>
              <w:pStyle w:val="9"/>
            </w:pPr>
            <w:r>
              <w:t>51.48</w:t>
            </w:r>
          </w:p>
        </w:tc>
        <w:tc>
          <w:tcPr>
            <w:tcW w:w="1361" w:type="dxa"/>
            <w:vAlign w:val="center"/>
          </w:tcPr>
          <w:p>
            <w:pPr>
              <w:pStyle w:val="9"/>
            </w:pPr>
            <w:r>
              <w:t>51.48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2012802</w:t>
            </w:r>
          </w:p>
        </w:tc>
        <w:tc>
          <w:tcPr>
            <w:tcW w:w="4535" w:type="dxa"/>
            <w:vAlign w:val="center"/>
          </w:tcPr>
          <w:p>
            <w:pPr>
              <w:pStyle w:val="10"/>
            </w:pPr>
            <w:r>
              <w:t>一般行政管理事务</w:t>
            </w:r>
          </w:p>
        </w:tc>
        <w:tc>
          <w:tcPr>
            <w:tcW w:w="1361" w:type="dxa"/>
            <w:vAlign w:val="center"/>
          </w:tcPr>
          <w:p>
            <w:pPr>
              <w:pStyle w:val="9"/>
            </w:pPr>
            <w:r>
              <w:t>27.50</w:t>
            </w:r>
          </w:p>
        </w:tc>
        <w:tc>
          <w:tcPr>
            <w:tcW w:w="1361" w:type="dxa"/>
            <w:vAlign w:val="center"/>
          </w:tcPr>
          <w:p>
            <w:pPr>
              <w:pStyle w:val="9"/>
            </w:pPr>
          </w:p>
        </w:tc>
        <w:tc>
          <w:tcPr>
            <w:tcW w:w="1361" w:type="dxa"/>
            <w:vAlign w:val="center"/>
          </w:tcPr>
          <w:p>
            <w:pPr>
              <w:pStyle w:val="9"/>
            </w:pPr>
            <w:r>
              <w:t>27.50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15.11</w:t>
            </w:r>
          </w:p>
        </w:tc>
        <w:tc>
          <w:tcPr>
            <w:tcW w:w="1361" w:type="dxa"/>
            <w:vAlign w:val="center"/>
          </w:tcPr>
          <w:p>
            <w:pPr>
              <w:pStyle w:val="9"/>
            </w:pPr>
            <w:r>
              <w:t>15.11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15.11</w:t>
            </w:r>
          </w:p>
        </w:tc>
        <w:tc>
          <w:tcPr>
            <w:tcW w:w="1361" w:type="dxa"/>
            <w:vAlign w:val="center"/>
          </w:tcPr>
          <w:p>
            <w:pPr>
              <w:pStyle w:val="9"/>
            </w:pPr>
            <w:r>
              <w:t>15.11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9.00</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6.11</w:t>
            </w:r>
          </w:p>
        </w:tc>
        <w:tc>
          <w:tcPr>
            <w:tcW w:w="1361" w:type="dxa"/>
            <w:vAlign w:val="center"/>
          </w:tcPr>
          <w:p>
            <w:pPr>
              <w:pStyle w:val="9"/>
            </w:pPr>
            <w:r>
              <w:t>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5.82</w:t>
            </w:r>
          </w:p>
        </w:tc>
        <w:tc>
          <w:tcPr>
            <w:tcW w:w="1361" w:type="dxa"/>
            <w:vAlign w:val="center"/>
          </w:tcPr>
          <w:p>
            <w:pPr>
              <w:pStyle w:val="9"/>
            </w:pPr>
            <w:r>
              <w:t>5.82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5.82</w:t>
            </w:r>
          </w:p>
        </w:tc>
        <w:tc>
          <w:tcPr>
            <w:tcW w:w="1361" w:type="dxa"/>
            <w:vAlign w:val="center"/>
          </w:tcPr>
          <w:p>
            <w:pPr>
              <w:pStyle w:val="9"/>
            </w:pPr>
            <w:r>
              <w:t>5.82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2.77</w:t>
            </w:r>
          </w:p>
        </w:tc>
        <w:tc>
          <w:tcPr>
            <w:tcW w:w="1361" w:type="dxa"/>
            <w:vAlign w:val="center"/>
          </w:tcPr>
          <w:p>
            <w:pPr>
              <w:pStyle w:val="9"/>
            </w:pPr>
            <w:r>
              <w:t>2.77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3.05</w:t>
            </w:r>
          </w:p>
        </w:tc>
        <w:tc>
          <w:tcPr>
            <w:tcW w:w="1361" w:type="dxa"/>
            <w:vAlign w:val="center"/>
          </w:tcPr>
          <w:p>
            <w:pPr>
              <w:pStyle w:val="9"/>
            </w:pPr>
            <w:r>
              <w:t>3.05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4.60</w:t>
            </w:r>
          </w:p>
        </w:tc>
        <w:tc>
          <w:tcPr>
            <w:tcW w:w="1361" w:type="dxa"/>
            <w:vAlign w:val="center"/>
          </w:tcPr>
          <w:p>
            <w:pPr>
              <w:pStyle w:val="9"/>
            </w:pPr>
            <w:r>
              <w:t>4.60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4.60</w:t>
            </w:r>
          </w:p>
        </w:tc>
        <w:tc>
          <w:tcPr>
            <w:tcW w:w="1361" w:type="dxa"/>
            <w:vAlign w:val="center"/>
          </w:tcPr>
          <w:p>
            <w:pPr>
              <w:pStyle w:val="9"/>
            </w:pPr>
            <w:r>
              <w:t>4.60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4.60</w:t>
            </w:r>
          </w:p>
        </w:tc>
        <w:tc>
          <w:tcPr>
            <w:tcW w:w="1361" w:type="dxa"/>
            <w:vAlign w:val="center"/>
          </w:tcPr>
          <w:p>
            <w:pPr>
              <w:pStyle w:val="9"/>
            </w:pPr>
            <w:r>
              <w:t>4.60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323唐山市丰南区工商业联合会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104.51</w:t>
            </w:r>
          </w:p>
        </w:tc>
        <w:tc>
          <w:tcPr>
            <w:tcW w:w="3402" w:type="dxa"/>
            <w:vAlign w:val="center"/>
          </w:tcPr>
          <w:p>
            <w:pPr>
              <w:pStyle w:val="10"/>
            </w:pPr>
            <w:r>
              <w:t>一、一般公共服务支出</w:t>
            </w:r>
          </w:p>
        </w:tc>
        <w:tc>
          <w:tcPr>
            <w:tcW w:w="1474" w:type="dxa"/>
            <w:vAlign w:val="center"/>
          </w:tcPr>
          <w:p>
            <w:pPr>
              <w:pStyle w:val="9"/>
            </w:pPr>
            <w:r>
              <w:t>78.98</w:t>
            </w:r>
          </w:p>
        </w:tc>
        <w:tc>
          <w:tcPr>
            <w:tcW w:w="1474" w:type="dxa"/>
            <w:vAlign w:val="center"/>
          </w:tcPr>
          <w:p>
            <w:pPr>
              <w:pStyle w:val="9"/>
            </w:pPr>
            <w:r>
              <w:t>78.98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15.11</w:t>
            </w:r>
          </w:p>
        </w:tc>
        <w:tc>
          <w:tcPr>
            <w:tcW w:w="1474" w:type="dxa"/>
            <w:vAlign w:val="center"/>
          </w:tcPr>
          <w:p>
            <w:pPr>
              <w:pStyle w:val="9"/>
            </w:pPr>
            <w:r>
              <w:t>15.11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5.82</w:t>
            </w:r>
          </w:p>
        </w:tc>
        <w:tc>
          <w:tcPr>
            <w:tcW w:w="1474" w:type="dxa"/>
            <w:vAlign w:val="center"/>
          </w:tcPr>
          <w:p>
            <w:pPr>
              <w:pStyle w:val="9"/>
            </w:pPr>
            <w:r>
              <w:t>5.82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4.60</w:t>
            </w:r>
          </w:p>
        </w:tc>
        <w:tc>
          <w:tcPr>
            <w:tcW w:w="1474" w:type="dxa"/>
            <w:vAlign w:val="center"/>
          </w:tcPr>
          <w:p>
            <w:pPr>
              <w:pStyle w:val="9"/>
            </w:pPr>
            <w:r>
              <w:t>4.60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104.51</w:t>
            </w:r>
          </w:p>
        </w:tc>
        <w:tc>
          <w:tcPr>
            <w:tcW w:w="3402" w:type="dxa"/>
            <w:vAlign w:val="center"/>
          </w:tcPr>
          <w:p>
            <w:pPr>
              <w:pStyle w:val="12"/>
            </w:pPr>
            <w:r>
              <w:t>本年支出合计</w:t>
            </w:r>
          </w:p>
        </w:tc>
        <w:tc>
          <w:tcPr>
            <w:tcW w:w="1474" w:type="dxa"/>
            <w:vAlign w:val="center"/>
          </w:tcPr>
          <w:p>
            <w:pPr>
              <w:pStyle w:val="13"/>
            </w:pPr>
            <w:r>
              <w:t>104.51</w:t>
            </w:r>
          </w:p>
        </w:tc>
        <w:tc>
          <w:tcPr>
            <w:tcW w:w="1474" w:type="dxa"/>
            <w:vAlign w:val="center"/>
          </w:tcPr>
          <w:p>
            <w:pPr>
              <w:pStyle w:val="13"/>
            </w:pPr>
            <w:r>
              <w:t>104.51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104.51</w:t>
            </w:r>
          </w:p>
        </w:tc>
        <w:tc>
          <w:tcPr>
            <w:tcW w:w="3402" w:type="dxa"/>
            <w:vAlign w:val="center"/>
          </w:tcPr>
          <w:p>
            <w:pPr>
              <w:pStyle w:val="12"/>
            </w:pPr>
            <w:r>
              <w:t>支出总计</w:t>
            </w:r>
          </w:p>
        </w:tc>
        <w:tc>
          <w:tcPr>
            <w:tcW w:w="1474" w:type="dxa"/>
            <w:vAlign w:val="center"/>
          </w:tcPr>
          <w:p>
            <w:pPr>
              <w:pStyle w:val="13"/>
            </w:pPr>
            <w:r>
              <w:t>104.51</w:t>
            </w:r>
          </w:p>
        </w:tc>
        <w:tc>
          <w:tcPr>
            <w:tcW w:w="1474" w:type="dxa"/>
            <w:vAlign w:val="center"/>
          </w:tcPr>
          <w:p>
            <w:pPr>
              <w:pStyle w:val="13"/>
            </w:pPr>
            <w:r>
              <w:t>104.51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104.51</w:t>
            </w:r>
          </w:p>
        </w:tc>
        <w:tc>
          <w:tcPr>
            <w:tcW w:w="2551" w:type="dxa"/>
            <w:vAlign w:val="center"/>
          </w:tcPr>
          <w:p>
            <w:pPr>
              <w:pStyle w:val="13"/>
            </w:pPr>
            <w:r>
              <w:t>77.01</w:t>
            </w:r>
          </w:p>
        </w:tc>
        <w:tc>
          <w:tcPr>
            <w:tcW w:w="2551" w:type="dxa"/>
            <w:vAlign w:val="center"/>
          </w:tcPr>
          <w:p>
            <w:pPr>
              <w:pStyle w:val="13"/>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78.98</w:t>
            </w:r>
          </w:p>
        </w:tc>
        <w:tc>
          <w:tcPr>
            <w:tcW w:w="2551" w:type="dxa"/>
            <w:vAlign w:val="center"/>
          </w:tcPr>
          <w:p>
            <w:pPr>
              <w:pStyle w:val="9"/>
            </w:pPr>
            <w:r>
              <w:t>51.48</w:t>
            </w:r>
          </w:p>
        </w:tc>
        <w:tc>
          <w:tcPr>
            <w:tcW w:w="2551" w:type="dxa"/>
            <w:vAlign w:val="center"/>
          </w:tcPr>
          <w:p>
            <w:pPr>
              <w:pStyle w:val="9"/>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20128</w:t>
            </w:r>
          </w:p>
        </w:tc>
        <w:tc>
          <w:tcPr>
            <w:tcW w:w="4535" w:type="dxa"/>
            <w:vAlign w:val="center"/>
          </w:tcPr>
          <w:p>
            <w:pPr>
              <w:pStyle w:val="10"/>
            </w:pPr>
            <w:r>
              <w:t>民主党派及工商联事务</w:t>
            </w:r>
          </w:p>
        </w:tc>
        <w:tc>
          <w:tcPr>
            <w:tcW w:w="2551" w:type="dxa"/>
            <w:vAlign w:val="center"/>
          </w:tcPr>
          <w:p>
            <w:pPr>
              <w:pStyle w:val="9"/>
            </w:pPr>
            <w:r>
              <w:t>78.98</w:t>
            </w:r>
          </w:p>
        </w:tc>
        <w:tc>
          <w:tcPr>
            <w:tcW w:w="2551" w:type="dxa"/>
            <w:vAlign w:val="center"/>
          </w:tcPr>
          <w:p>
            <w:pPr>
              <w:pStyle w:val="9"/>
            </w:pPr>
            <w:r>
              <w:t>51.48</w:t>
            </w:r>
          </w:p>
        </w:tc>
        <w:tc>
          <w:tcPr>
            <w:tcW w:w="2551" w:type="dxa"/>
            <w:vAlign w:val="center"/>
          </w:tcPr>
          <w:p>
            <w:pPr>
              <w:pStyle w:val="9"/>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2012801</w:t>
            </w:r>
          </w:p>
        </w:tc>
        <w:tc>
          <w:tcPr>
            <w:tcW w:w="4535" w:type="dxa"/>
            <w:vAlign w:val="center"/>
          </w:tcPr>
          <w:p>
            <w:pPr>
              <w:pStyle w:val="10"/>
            </w:pPr>
            <w:r>
              <w:t>行政运行</w:t>
            </w:r>
          </w:p>
        </w:tc>
        <w:tc>
          <w:tcPr>
            <w:tcW w:w="2551" w:type="dxa"/>
            <w:vAlign w:val="center"/>
          </w:tcPr>
          <w:p>
            <w:pPr>
              <w:pStyle w:val="9"/>
            </w:pPr>
            <w:r>
              <w:t>51.48</w:t>
            </w:r>
          </w:p>
        </w:tc>
        <w:tc>
          <w:tcPr>
            <w:tcW w:w="2551" w:type="dxa"/>
            <w:vAlign w:val="center"/>
          </w:tcPr>
          <w:p>
            <w:pPr>
              <w:pStyle w:val="9"/>
            </w:pPr>
            <w:r>
              <w:t>51.48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2012802</w:t>
            </w:r>
          </w:p>
        </w:tc>
        <w:tc>
          <w:tcPr>
            <w:tcW w:w="4535" w:type="dxa"/>
            <w:vAlign w:val="center"/>
          </w:tcPr>
          <w:p>
            <w:pPr>
              <w:pStyle w:val="10"/>
            </w:pPr>
            <w:r>
              <w:t>一般行政管理事务</w:t>
            </w:r>
          </w:p>
        </w:tc>
        <w:tc>
          <w:tcPr>
            <w:tcW w:w="2551" w:type="dxa"/>
            <w:vAlign w:val="center"/>
          </w:tcPr>
          <w:p>
            <w:pPr>
              <w:pStyle w:val="9"/>
            </w:pPr>
            <w:r>
              <w:t>27.50</w:t>
            </w:r>
          </w:p>
        </w:tc>
        <w:tc>
          <w:tcPr>
            <w:tcW w:w="2551" w:type="dxa"/>
            <w:vAlign w:val="center"/>
          </w:tcPr>
          <w:p>
            <w:pPr>
              <w:pStyle w:val="9"/>
            </w:pPr>
          </w:p>
        </w:tc>
        <w:tc>
          <w:tcPr>
            <w:tcW w:w="2551" w:type="dxa"/>
            <w:vAlign w:val="center"/>
          </w:tcPr>
          <w:p>
            <w:pPr>
              <w:pStyle w:val="9"/>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15.11</w:t>
            </w:r>
          </w:p>
        </w:tc>
        <w:tc>
          <w:tcPr>
            <w:tcW w:w="2551" w:type="dxa"/>
            <w:vAlign w:val="center"/>
          </w:tcPr>
          <w:p>
            <w:pPr>
              <w:pStyle w:val="9"/>
            </w:pPr>
            <w:r>
              <w:t>15.11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15.11</w:t>
            </w:r>
          </w:p>
        </w:tc>
        <w:tc>
          <w:tcPr>
            <w:tcW w:w="2551" w:type="dxa"/>
            <w:vAlign w:val="center"/>
          </w:tcPr>
          <w:p>
            <w:pPr>
              <w:pStyle w:val="9"/>
            </w:pPr>
            <w:r>
              <w:t>15.11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6.11</w:t>
            </w:r>
          </w:p>
        </w:tc>
        <w:tc>
          <w:tcPr>
            <w:tcW w:w="2551" w:type="dxa"/>
            <w:vAlign w:val="center"/>
          </w:tcPr>
          <w:p>
            <w:pPr>
              <w:pStyle w:val="9"/>
            </w:pPr>
            <w:r>
              <w:t>6.11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5.82</w:t>
            </w:r>
          </w:p>
        </w:tc>
        <w:tc>
          <w:tcPr>
            <w:tcW w:w="2551" w:type="dxa"/>
            <w:vAlign w:val="center"/>
          </w:tcPr>
          <w:p>
            <w:pPr>
              <w:pStyle w:val="9"/>
            </w:pPr>
            <w:r>
              <w:t>5.82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5.82</w:t>
            </w:r>
          </w:p>
        </w:tc>
        <w:tc>
          <w:tcPr>
            <w:tcW w:w="2551" w:type="dxa"/>
            <w:vAlign w:val="center"/>
          </w:tcPr>
          <w:p>
            <w:pPr>
              <w:pStyle w:val="9"/>
            </w:pPr>
            <w:r>
              <w:t>5.82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2.77</w:t>
            </w:r>
          </w:p>
        </w:tc>
        <w:tc>
          <w:tcPr>
            <w:tcW w:w="2551" w:type="dxa"/>
            <w:vAlign w:val="center"/>
          </w:tcPr>
          <w:p>
            <w:pPr>
              <w:pStyle w:val="9"/>
            </w:pPr>
            <w:r>
              <w:t>2.77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3.05</w:t>
            </w:r>
          </w:p>
        </w:tc>
        <w:tc>
          <w:tcPr>
            <w:tcW w:w="2551" w:type="dxa"/>
            <w:vAlign w:val="center"/>
          </w:tcPr>
          <w:p>
            <w:pPr>
              <w:pStyle w:val="9"/>
            </w:pPr>
            <w:r>
              <w:t>3.05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77.01</w:t>
            </w:r>
          </w:p>
        </w:tc>
        <w:tc>
          <w:tcPr>
            <w:tcW w:w="2551" w:type="dxa"/>
            <w:vAlign w:val="center"/>
          </w:tcPr>
          <w:p>
            <w:pPr>
              <w:pStyle w:val="13"/>
            </w:pPr>
            <w:r>
              <w:t>66.51</w:t>
            </w: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57.51</w:t>
            </w:r>
          </w:p>
        </w:tc>
        <w:tc>
          <w:tcPr>
            <w:tcW w:w="2551" w:type="dxa"/>
            <w:vAlign w:val="center"/>
          </w:tcPr>
          <w:p>
            <w:pPr>
              <w:pStyle w:val="9"/>
            </w:pPr>
            <w:r>
              <w:t>57.51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20.56</w:t>
            </w:r>
          </w:p>
        </w:tc>
        <w:tc>
          <w:tcPr>
            <w:tcW w:w="2551" w:type="dxa"/>
            <w:vAlign w:val="center"/>
          </w:tcPr>
          <w:p>
            <w:pPr>
              <w:pStyle w:val="9"/>
            </w:pPr>
            <w:r>
              <w:t>20.56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18.32</w:t>
            </w:r>
          </w:p>
        </w:tc>
        <w:tc>
          <w:tcPr>
            <w:tcW w:w="2551" w:type="dxa"/>
            <w:vAlign w:val="center"/>
          </w:tcPr>
          <w:p>
            <w:pPr>
              <w:pStyle w:val="9"/>
            </w:pPr>
            <w:r>
              <w:t>18.32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1.56</w:t>
            </w:r>
          </w:p>
        </w:tc>
        <w:tc>
          <w:tcPr>
            <w:tcW w:w="2551" w:type="dxa"/>
            <w:vAlign w:val="center"/>
          </w:tcPr>
          <w:p>
            <w:pPr>
              <w:pStyle w:val="9"/>
            </w:pPr>
            <w:r>
              <w:t>1.56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6.11</w:t>
            </w:r>
          </w:p>
        </w:tc>
        <w:tc>
          <w:tcPr>
            <w:tcW w:w="2551" w:type="dxa"/>
            <w:vAlign w:val="center"/>
          </w:tcPr>
          <w:p>
            <w:pPr>
              <w:pStyle w:val="9"/>
            </w:pPr>
            <w:r>
              <w:t>6.11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2.77</w:t>
            </w:r>
          </w:p>
        </w:tc>
        <w:tc>
          <w:tcPr>
            <w:tcW w:w="2551" w:type="dxa"/>
            <w:vAlign w:val="center"/>
          </w:tcPr>
          <w:p>
            <w:pPr>
              <w:pStyle w:val="9"/>
            </w:pPr>
            <w:r>
              <w:t>2.77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3.05</w:t>
            </w:r>
          </w:p>
        </w:tc>
        <w:tc>
          <w:tcPr>
            <w:tcW w:w="2551" w:type="dxa"/>
            <w:vAlign w:val="center"/>
          </w:tcPr>
          <w:p>
            <w:pPr>
              <w:pStyle w:val="9"/>
            </w:pPr>
            <w:r>
              <w:t>3.05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0.54</w:t>
            </w:r>
          </w:p>
        </w:tc>
        <w:tc>
          <w:tcPr>
            <w:tcW w:w="2551" w:type="dxa"/>
            <w:vAlign w:val="center"/>
          </w:tcPr>
          <w:p>
            <w:pPr>
              <w:pStyle w:val="9"/>
            </w:pPr>
            <w:r>
              <w:t>0.54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4.60</w:t>
            </w:r>
          </w:p>
        </w:tc>
        <w:tc>
          <w:tcPr>
            <w:tcW w:w="2551" w:type="dxa"/>
            <w:vAlign w:val="center"/>
          </w:tcPr>
          <w:p>
            <w:pPr>
              <w:pStyle w:val="9"/>
            </w:pPr>
            <w:r>
              <w:t>4.60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10.50</w:t>
            </w:r>
          </w:p>
        </w:tc>
        <w:tc>
          <w:tcPr>
            <w:tcW w:w="2551" w:type="dxa"/>
            <w:vAlign w:val="center"/>
          </w:tcPr>
          <w:p>
            <w:pPr>
              <w:pStyle w:val="9"/>
            </w:pPr>
          </w:p>
        </w:tc>
        <w:tc>
          <w:tcPr>
            <w:tcW w:w="2551" w:type="dxa"/>
            <w:vAlign w:val="center"/>
          </w:tcPr>
          <w:p>
            <w:pPr>
              <w:pStyle w:val="9"/>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1.12</w:t>
            </w:r>
          </w:p>
        </w:tc>
        <w:tc>
          <w:tcPr>
            <w:tcW w:w="2551" w:type="dxa"/>
            <w:vAlign w:val="center"/>
          </w:tcPr>
          <w:p>
            <w:pPr>
              <w:pStyle w:val="9"/>
            </w:pPr>
          </w:p>
        </w:tc>
        <w:tc>
          <w:tcPr>
            <w:tcW w:w="2551" w:type="dxa"/>
            <w:vAlign w:val="center"/>
          </w:tcPr>
          <w:p>
            <w:pPr>
              <w:pStyle w:val="9"/>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0.30</w:t>
            </w:r>
          </w:p>
        </w:tc>
        <w:tc>
          <w:tcPr>
            <w:tcW w:w="2551" w:type="dxa"/>
            <w:vAlign w:val="center"/>
          </w:tcPr>
          <w:p>
            <w:pPr>
              <w:pStyle w:val="9"/>
            </w:pPr>
          </w:p>
        </w:tc>
        <w:tc>
          <w:tcPr>
            <w:tcW w:w="2551"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0.78</w:t>
            </w:r>
          </w:p>
        </w:tc>
        <w:tc>
          <w:tcPr>
            <w:tcW w:w="2551" w:type="dxa"/>
            <w:vAlign w:val="center"/>
          </w:tcPr>
          <w:p>
            <w:pPr>
              <w:pStyle w:val="9"/>
            </w:pPr>
          </w:p>
        </w:tc>
        <w:tc>
          <w:tcPr>
            <w:tcW w:w="2551" w:type="dxa"/>
            <w:vAlign w:val="center"/>
          </w:tcPr>
          <w:p>
            <w:pPr>
              <w:pStyle w:val="9"/>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0.48</w:t>
            </w:r>
          </w:p>
        </w:tc>
        <w:tc>
          <w:tcPr>
            <w:tcW w:w="2551" w:type="dxa"/>
            <w:vAlign w:val="center"/>
          </w:tcPr>
          <w:p>
            <w:pPr>
              <w:pStyle w:val="9"/>
            </w:pPr>
          </w:p>
        </w:tc>
        <w:tc>
          <w:tcPr>
            <w:tcW w:w="2551" w:type="dxa"/>
            <w:vAlign w:val="center"/>
          </w:tcPr>
          <w:p>
            <w:pPr>
              <w:pStyle w:val="9"/>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2.50</w:t>
            </w:r>
          </w:p>
        </w:tc>
        <w:tc>
          <w:tcPr>
            <w:tcW w:w="2551" w:type="dxa"/>
            <w:vAlign w:val="center"/>
          </w:tcPr>
          <w:p>
            <w:pPr>
              <w:pStyle w:val="9"/>
            </w:pPr>
          </w:p>
        </w:tc>
        <w:tc>
          <w:tcPr>
            <w:tcW w:w="2551" w:type="dxa"/>
            <w:vAlign w:val="center"/>
          </w:tcPr>
          <w:p>
            <w:pPr>
              <w:pStyle w:val="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2.76</w:t>
            </w:r>
          </w:p>
        </w:tc>
        <w:tc>
          <w:tcPr>
            <w:tcW w:w="2551" w:type="dxa"/>
            <w:vAlign w:val="center"/>
          </w:tcPr>
          <w:p>
            <w:pPr>
              <w:pStyle w:val="9"/>
            </w:pPr>
          </w:p>
        </w:tc>
        <w:tc>
          <w:tcPr>
            <w:tcW w:w="2551" w:type="dxa"/>
            <w:vAlign w:val="center"/>
          </w:tcPr>
          <w:p>
            <w:pPr>
              <w:pStyle w:val="9"/>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0.56</w:t>
            </w:r>
          </w:p>
        </w:tc>
        <w:tc>
          <w:tcPr>
            <w:tcW w:w="2551" w:type="dxa"/>
            <w:vAlign w:val="center"/>
          </w:tcPr>
          <w:p>
            <w:pPr>
              <w:pStyle w:val="9"/>
            </w:pPr>
          </w:p>
        </w:tc>
        <w:tc>
          <w:tcPr>
            <w:tcW w:w="2551" w:type="dxa"/>
            <w:vAlign w:val="center"/>
          </w:tcPr>
          <w:p>
            <w:pPr>
              <w:pStyle w:val="9"/>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323唐山市丰南区工商业联合会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323唐山市丰南区工商业联合会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2.80</w:t>
            </w:r>
          </w:p>
        </w:tc>
        <w:tc>
          <w:tcPr>
            <w:tcW w:w="2381" w:type="dxa"/>
            <w:vAlign w:val="center"/>
          </w:tcPr>
          <w:p>
            <w:pPr>
              <w:pStyle w:val="13"/>
            </w:pPr>
            <w:r>
              <w:t>2.80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2.80</w:t>
            </w:r>
          </w:p>
        </w:tc>
        <w:tc>
          <w:tcPr>
            <w:tcW w:w="2381" w:type="dxa"/>
            <w:vAlign w:val="center"/>
          </w:tcPr>
          <w:p>
            <w:pPr>
              <w:pStyle w:val="9"/>
            </w:pPr>
            <w:r>
              <w:t>2.80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其中：教学科研人员因公出国（境）</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二、公务用车购置及维护费</w:t>
            </w:r>
          </w:p>
        </w:tc>
        <w:tc>
          <w:tcPr>
            <w:tcW w:w="2381" w:type="dxa"/>
            <w:vAlign w:val="center"/>
          </w:tcPr>
          <w:p>
            <w:pPr>
              <w:pStyle w:val="9"/>
            </w:pPr>
            <w:r>
              <w:t>2.50</w:t>
            </w:r>
          </w:p>
        </w:tc>
        <w:tc>
          <w:tcPr>
            <w:tcW w:w="2381" w:type="dxa"/>
            <w:vAlign w:val="center"/>
          </w:tcPr>
          <w:p>
            <w:pPr>
              <w:pStyle w:val="9"/>
            </w:pPr>
            <w:r>
              <w:t>2.50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2.50</w:t>
            </w:r>
          </w:p>
        </w:tc>
        <w:tc>
          <w:tcPr>
            <w:tcW w:w="2381" w:type="dxa"/>
            <w:vAlign w:val="center"/>
          </w:tcPr>
          <w:p>
            <w:pPr>
              <w:pStyle w:val="9"/>
            </w:pPr>
            <w:r>
              <w:t>2.50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0.30</w:t>
            </w:r>
          </w:p>
        </w:tc>
        <w:tc>
          <w:tcPr>
            <w:tcW w:w="2381" w:type="dxa"/>
            <w:vAlign w:val="center"/>
          </w:tcPr>
          <w:p>
            <w:pPr>
              <w:pStyle w:val="9"/>
            </w:pPr>
            <w:r>
              <w:t>0.30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唐山市丰南区工商业联合会2022年部门预算信息公开情况说明</w:t>
      </w:r>
    </w:p>
    <w:p>
      <w:pPr>
        <w:jc w:val="center"/>
      </w:pPr>
      <w:r>
        <w:rPr>
          <w:rFonts w:ascii="方正小标宋_GBK" w:hAnsi="方正小标宋_GBK" w:eastAsia="方正小标宋_GBK" w:cs="方正小标宋_GBK"/>
          <w:color w:val="000000"/>
          <w:sz w:val="44"/>
        </w:rPr>
        <w:t>唐山市丰南区工商业联合会2022年部门预算信息公开情况说明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按照《预算法》、《地方预决算公开操作规程》和《关于进一步推进预算公开工作的实施意见》规定，现将唐山市丰南区工商业联合会2022年部门预算公开如下：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根据《唐山市丰南区工商业联合会职能配置、内设机构和人员编制规定》，唐山市丰南区工商业联合会的主要职责是：</w:t>
      </w:r>
    </w:p>
    <w:p>
      <w:pPr>
        <w:pStyle w:val="15"/>
      </w:pPr>
      <w:r>
        <w:t>参政议政。深入基层调研，反映社情民意，积极向区政协提交大会发言、提案，为我区经济社会发展建言献策。</w:t>
      </w:r>
    </w:p>
    <w:p>
      <w:pPr>
        <w:pStyle w:val="15"/>
      </w:pPr>
      <w:r>
        <w:t>组织建设。指导工商联基层商会做好领导班子、思想政治、服务会员等工作，加强商会组织建设。举办系列培训班，提高民营企业家综合化素质。</w:t>
      </w:r>
    </w:p>
    <w:p>
      <w:pPr>
        <w:pStyle w:val="15"/>
      </w:pPr>
      <w:r>
        <w:t>工商联综合事务管理。做好机关机要、保密、档案、会议、信息、安全保卫、固定资产管理、公务用车管理和后勤保障工作，保障机关日常工作正常运转。</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唐山市丰南区工商业联合会本级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jc w:val="left"/>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部门预算的编制实行综合预算管理，即全部收入和支出都反映在预算中。唐山市丰南区工商业联合会机关及所属事业单位的收支包含在部门预算中。</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（一）收入说明</w:t>
      </w:r>
    </w:p>
    <w:p>
      <w:pPr>
        <w:spacing w:line="360" w:lineRule="auto"/>
        <w:ind w:firstLine="560" w:firstLineChars="200"/>
        <w:jc w:val="left"/>
        <w:rPr>
          <w:rFonts w:hint="eastAsia" w:ascii="Times New Roman" w:eastAsia="方正仿宋_GBK"/>
          <w:color w:val="000000" w:themeColor="text1"/>
          <w:sz w:val="28"/>
          <w:lang w:eastAsia="zh-CN"/>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104.5</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104.5</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104.5</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66.51</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10.5</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27.5</w:t>
      </w:r>
      <w:r>
        <w:rPr>
          <w:rFonts w:hint="eastAsia" w:ascii="Times New Roman" w:eastAsia="方正仿宋_GBK"/>
          <w:color w:val="000000" w:themeColor="text1"/>
          <w:sz w:val="28"/>
        </w:rPr>
        <w:t>万元。</w:t>
      </w:r>
    </w:p>
    <w:p>
      <w:pPr>
        <w:spacing w:line="500" w:lineRule="exact"/>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（三）比上年增减情况</w:t>
      </w:r>
    </w:p>
    <w:p>
      <w:pPr>
        <w:spacing w:line="360" w:lineRule="auto"/>
        <w:ind w:firstLine="560" w:firstLineChars="200"/>
        <w:jc w:val="left"/>
      </w:pPr>
      <w:r>
        <w:rPr>
          <w:rFonts w:hint="eastAsia" w:ascii="Times New Roman" w:eastAsia="方正仿宋_GBK"/>
          <w:color w:val="000000" w:themeColor="text1"/>
          <w:sz w:val="28"/>
        </w:rPr>
        <w:t>2022年部门预算较2021年增加</w:t>
      </w:r>
      <w:r>
        <w:rPr>
          <w:rFonts w:hint="eastAsia" w:ascii="Times New Roman" w:eastAsia="方正仿宋_GBK"/>
          <w:color w:val="000000" w:themeColor="text1"/>
          <w:sz w:val="28"/>
          <w:lang w:val="en-US" w:eastAsia="zh-CN"/>
        </w:rPr>
        <w:t>3.3</w:t>
      </w:r>
      <w:r>
        <w:rPr>
          <w:rFonts w:hint="eastAsia" w:ascii="Times New Roman" w:eastAsia="方正仿宋_GBK"/>
          <w:color w:val="000000" w:themeColor="text1"/>
          <w:sz w:val="28"/>
        </w:rPr>
        <w:t>万元，其中：人员经费增加</w:t>
      </w:r>
      <w:r>
        <w:rPr>
          <w:rFonts w:hint="eastAsia" w:ascii="Times New Roman" w:eastAsia="方正仿宋_GBK"/>
          <w:color w:val="000000" w:themeColor="text1"/>
          <w:sz w:val="28"/>
          <w:lang w:val="en-US" w:eastAsia="zh-CN"/>
        </w:rPr>
        <w:t>0.13</w:t>
      </w:r>
      <w:r>
        <w:rPr>
          <w:rFonts w:hint="eastAsia" w:ascii="Times New Roman" w:eastAsia="方正仿宋_GBK"/>
          <w:color w:val="000000" w:themeColor="text1"/>
          <w:sz w:val="28"/>
        </w:rPr>
        <w:t>万元，日常公用经费增加</w:t>
      </w:r>
      <w:r>
        <w:rPr>
          <w:rFonts w:hint="eastAsia" w:ascii="Times New Roman" w:eastAsia="方正仿宋_GBK"/>
          <w:color w:val="000000" w:themeColor="text1"/>
          <w:sz w:val="28"/>
          <w:lang w:val="en-US" w:eastAsia="zh-CN"/>
        </w:rPr>
        <w:t>0.18</w:t>
      </w:r>
      <w:r>
        <w:rPr>
          <w:rFonts w:hint="eastAsia" w:ascii="Times New Roman" w:eastAsia="方正仿宋_GBK"/>
          <w:color w:val="000000" w:themeColor="text1"/>
          <w:sz w:val="28"/>
        </w:rPr>
        <w:t>万元，项目经费增加</w:t>
      </w:r>
      <w:r>
        <w:rPr>
          <w:rFonts w:hint="eastAsia" w:ascii="Times New Roman" w:eastAsia="方正仿宋_GBK"/>
          <w:color w:val="000000" w:themeColor="text1"/>
          <w:sz w:val="28"/>
          <w:lang w:val="en-US" w:eastAsia="zh-CN"/>
        </w:rPr>
        <w:t>3</w:t>
      </w:r>
      <w:r>
        <w:rPr>
          <w:rFonts w:hint="eastAsia" w:ascii="Times New Roman" w:eastAsia="方正仿宋_GBK"/>
          <w:color w:val="000000" w:themeColor="text1"/>
          <w:sz w:val="28"/>
        </w:rPr>
        <w:t>万元。</w:t>
      </w:r>
    </w:p>
    <w:p>
      <w:pPr>
        <w:spacing w:beforeLines="50" w:afterLines="50"/>
        <w:ind w:firstLine="640" w:firstLineChars="200"/>
        <w:jc w:val="left"/>
        <w:outlineLvl w:val="2"/>
        <w:rPr>
          <w:rFonts w:hint="eastAsia" w:ascii="黑体" w:hAnsi="黑体" w:eastAsia="黑体"/>
          <w:color w:val="000000" w:themeColor="text1"/>
          <w:sz w:val="32"/>
        </w:rPr>
      </w:pPr>
      <w:bookmarkStart w:id="11" w:name="_Toc66435807"/>
      <w:bookmarkStart w:id="12" w:name="_Toc_3_3_0000000012"/>
      <w:r>
        <w:rPr>
          <w:rFonts w:hint="eastAsia" w:ascii="黑体" w:hAnsi="黑体" w:eastAsia="黑体"/>
          <w:color w:val="000000" w:themeColor="text1"/>
          <w:sz w:val="32"/>
        </w:rPr>
        <w:t>三、机关运行经费安排情况</w:t>
      </w:r>
      <w:bookmarkEnd w:id="11"/>
    </w:p>
    <w:p>
      <w:pPr>
        <w:spacing w:line="360" w:lineRule="auto"/>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10.5</w:t>
      </w:r>
      <w:r>
        <w:rPr>
          <w:rFonts w:hint="eastAsia" w:ascii="Times New Roman" w:eastAsia="方正仿宋_GBK"/>
          <w:color w:val="000000" w:themeColor="text1"/>
          <w:sz w:val="28"/>
        </w:rPr>
        <w:t>万元，主要包括用于保证机关正常运转的办公费、邮电费、差旅费、会议费、日常维修费、专用材料及一般设备购置费、公务用车运行维护费、工会费、福利费、移动通讯补贴、交通补贴、劳务费及其他费用支出。</w:t>
      </w:r>
    </w:p>
    <w:p>
      <w:pPr>
        <w:spacing w:beforeLines="50" w:afterLines="50"/>
        <w:ind w:firstLine="640" w:firstLineChars="200"/>
        <w:jc w:val="left"/>
        <w:outlineLvl w:val="2"/>
        <w:rPr>
          <w:rFonts w:ascii="Times New Roman" w:hAnsi="宋体"/>
          <w:color w:val="FF0000"/>
          <w:sz w:val="32"/>
        </w:rPr>
      </w:pPr>
      <w:bookmarkStart w:id="13" w:name="_Toc66435808"/>
      <w:r>
        <w:rPr>
          <w:rFonts w:hint="eastAsia" w:ascii="黑体" w:hAnsi="黑体" w:eastAsia="黑体"/>
          <w:color w:val="000000" w:themeColor="text1"/>
          <w:sz w:val="32"/>
        </w:rPr>
        <w:t>四、财政拨款</w:t>
      </w:r>
      <w:r>
        <w:rPr>
          <w:rFonts w:hint="cs" w:ascii="黑体" w:hAnsi="黑体" w:eastAsia="黑体"/>
          <w:color w:val="000000" w:themeColor="text1"/>
          <w:sz w:val="32"/>
        </w:rPr>
        <w:t>“</w:t>
      </w:r>
      <w:r>
        <w:rPr>
          <w:rFonts w:hint="eastAsia" w:ascii="黑体" w:hAnsi="黑体" w:eastAsia="黑体"/>
          <w:color w:val="000000" w:themeColor="text1"/>
          <w:sz w:val="32"/>
        </w:rPr>
        <w:t>三公</w:t>
      </w:r>
      <w:r>
        <w:rPr>
          <w:rFonts w:hint="cs" w:ascii="黑体" w:hAnsi="黑体" w:eastAsia="黑体"/>
          <w:color w:val="000000" w:themeColor="text1"/>
          <w:sz w:val="32"/>
        </w:rPr>
        <w:t>”</w:t>
      </w:r>
      <w:r>
        <w:rPr>
          <w:rFonts w:hint="eastAsia" w:ascii="黑体" w:hAnsi="黑体" w:eastAsia="黑体"/>
          <w:color w:val="000000" w:themeColor="text1"/>
          <w:sz w:val="32"/>
        </w:rPr>
        <w:t>经费预算情况及增减变化原因</w:t>
      </w:r>
      <w:bookmarkEnd w:id="13"/>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2.8</w:t>
      </w:r>
      <w:r>
        <w:rPr>
          <w:rFonts w:hint="eastAsia" w:ascii="Times New Roman" w:eastAsia="方正仿宋_GBK"/>
          <w:color w:val="000000" w:themeColor="text1"/>
          <w:sz w:val="28"/>
        </w:rPr>
        <w:t>万元，比2021年减少</w:t>
      </w:r>
      <w:r>
        <w:rPr>
          <w:rFonts w:hint="eastAsia" w:ascii="Times New Roman" w:eastAsia="方正仿宋_GBK"/>
          <w:color w:val="000000" w:themeColor="text1"/>
          <w:sz w:val="28"/>
          <w:lang w:val="en-US" w:eastAsia="zh-CN"/>
        </w:rPr>
        <w:t>0.85</w:t>
      </w:r>
      <w:r>
        <w:rPr>
          <w:rFonts w:hint="eastAsia" w:ascii="Times New Roman" w:eastAsia="方正仿宋_GBK"/>
          <w:color w:val="000000" w:themeColor="text1"/>
          <w:sz w:val="28"/>
        </w:rPr>
        <w:t>万元。具体增减情况为：</w:t>
      </w:r>
    </w:p>
    <w:p>
      <w:pPr>
        <w:spacing w:line="360" w:lineRule="auto"/>
        <w:ind w:firstLine="560" w:firstLineChars="200"/>
        <w:jc w:val="left"/>
        <w:rPr>
          <w:rFonts w:hint="eastAsia" w:ascii="Times New Roman" w:eastAsia="方正仿宋_GBK"/>
          <w:color w:val="000000" w:themeColor="text1"/>
          <w:sz w:val="28"/>
          <w:lang w:val="en-US" w:eastAsia="zh-CN"/>
        </w:rPr>
      </w:pPr>
      <w:bookmarkStart w:id="14" w:name="OLE_LINK1"/>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万元，比2021年</w:t>
      </w:r>
      <w:r>
        <w:rPr>
          <w:rFonts w:hint="eastAsia" w:ascii="Times New Roman" w:eastAsia="方正仿宋_GBK"/>
          <w:color w:val="000000" w:themeColor="text1"/>
          <w:sz w:val="28"/>
          <w:lang w:val="en-US" w:eastAsia="zh-CN"/>
        </w:rPr>
        <w:t>无增减变化。</w:t>
      </w:r>
    </w:p>
    <w:p>
      <w:pPr>
        <w:spacing w:line="360" w:lineRule="auto"/>
        <w:ind w:firstLine="560" w:firstLineChars="200"/>
        <w:jc w:val="left"/>
        <w:rPr>
          <w:rFonts w:hint="eastAsia" w:ascii="Times New Roman" w:eastAsia="方正仿宋_GBK"/>
          <w:color w:val="000000" w:themeColor="text1"/>
          <w:sz w:val="28"/>
          <w:lang w:val="en-US" w:eastAsia="zh-CN"/>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0.3</w:t>
      </w:r>
      <w:r>
        <w:rPr>
          <w:rFonts w:hint="eastAsia" w:ascii="Times New Roman" w:eastAsia="方正仿宋_GBK"/>
          <w:color w:val="000000" w:themeColor="text1"/>
          <w:sz w:val="28"/>
        </w:rPr>
        <w:t>万元，</w:t>
      </w:r>
      <w:bookmarkEnd w:id="14"/>
      <w:r>
        <w:rPr>
          <w:rFonts w:hint="eastAsia" w:ascii="Times New Roman" w:eastAsia="方正仿宋_GBK"/>
          <w:color w:val="000000" w:themeColor="text1"/>
          <w:sz w:val="28"/>
        </w:rPr>
        <w:t>比2021年</w:t>
      </w:r>
      <w:r>
        <w:rPr>
          <w:rFonts w:hint="eastAsia" w:ascii="Times New Roman" w:eastAsia="方正仿宋_GBK"/>
          <w:color w:val="000000" w:themeColor="text1"/>
          <w:sz w:val="28"/>
          <w:lang w:val="en-US" w:eastAsia="zh-CN"/>
        </w:rPr>
        <w:t>减少0.15万</w:t>
      </w:r>
      <w:r>
        <w:rPr>
          <w:rFonts w:hint="eastAsia" w:ascii="Times New Roman" w:eastAsia="方正仿宋_GBK"/>
          <w:color w:val="000000" w:themeColor="text1"/>
          <w:sz w:val="28"/>
        </w:rPr>
        <w:t>元，原因是</w:t>
      </w:r>
      <w:r>
        <w:rPr>
          <w:rFonts w:hint="eastAsia" w:ascii="Times New Roman" w:eastAsia="方正仿宋_GBK"/>
          <w:color w:val="000000" w:themeColor="text1"/>
          <w:sz w:val="28"/>
          <w:lang w:val="en-US" w:eastAsia="zh-CN"/>
        </w:rPr>
        <w:t>2021年有一次接待活动。</w:t>
      </w:r>
    </w:p>
    <w:p>
      <w:pPr>
        <w:spacing w:line="360" w:lineRule="auto"/>
        <w:ind w:firstLine="560" w:firstLineChars="200"/>
        <w:jc w:val="left"/>
        <w:rPr>
          <w:rFonts w:hint="eastAsia" w:ascii="Times New Roman" w:eastAsia="方正仿宋_GBK"/>
          <w:color w:val="000000" w:themeColor="text1"/>
          <w:sz w:val="28"/>
          <w:lang w:eastAsia="zh-CN"/>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万元，比2021无增减变化</w:t>
      </w:r>
      <w:r>
        <w:rPr>
          <w:rFonts w:hint="eastAsia" w:ascii="Times New Roman" w:eastAsia="方正仿宋_GBK"/>
          <w:color w:val="000000" w:themeColor="text1"/>
          <w:sz w:val="28"/>
          <w:lang w:eastAsia="zh-CN"/>
        </w:rPr>
        <w:t>。</w:t>
      </w:r>
    </w:p>
    <w:p>
      <w:pPr>
        <w:spacing w:beforeLines="50" w:afterLines="50"/>
        <w:ind w:firstLine="640" w:firstLineChars="200"/>
        <w:jc w:val="left"/>
        <w:outlineLvl w:val="2"/>
        <w:rPr>
          <w:rFonts w:ascii="黑体" w:hAnsi="黑体" w:eastAsia="黑体"/>
          <w:color w:val="000000" w:themeColor="text1"/>
          <w:sz w:val="32"/>
        </w:rPr>
      </w:pPr>
      <w:bookmarkStart w:id="15" w:name="_Toc66435809"/>
      <w:r>
        <w:rPr>
          <w:rFonts w:hint="eastAsia" w:ascii="黑体" w:hAnsi="黑体" w:eastAsia="黑体"/>
          <w:color w:val="000000" w:themeColor="text1"/>
          <w:sz w:val="32"/>
        </w:rPr>
        <w:t>五、预算绩效信息</w:t>
      </w:r>
      <w:bookmarkEnd w:id="15"/>
    </w:p>
    <w:bookmarkEnd w:id="12"/>
    <w:p>
      <w:pPr>
        <w:ind w:firstLine="640"/>
      </w:pPr>
      <w:bookmarkStart w:id="20" w:name="_GoBack"/>
      <w:bookmarkEnd w:id="20"/>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参政议政。深入基层调研，反映社情民意，积极向区政协提交大会发言、提案，为我区经济社会发展建言献策。</w:t>
      </w:r>
    </w:p>
    <w:p>
      <w:pPr>
        <w:pStyle w:val="19"/>
      </w:pPr>
      <w:r>
        <w:t>组织建设。指导工商联基层商会做好领导班子、思想政治、服务会员等工作，加强商会组织建设。举办系列培训班，提高民营企业家综合化素质。</w:t>
      </w:r>
    </w:p>
    <w:p>
      <w:pPr>
        <w:pStyle w:val="19"/>
      </w:pPr>
      <w:r>
        <w:t>工商联综合事务管理。做好机关机要、保密、档案、会议、信息、安全保卫、固定资产管理、公务用车管理和后勤保障工作，保障机关日常工作正常运转。</w:t>
      </w:r>
    </w:p>
    <w:p>
      <w:pPr>
        <w:spacing w:line="500" w:lineRule="exact"/>
        <w:ind w:firstLine="560"/>
      </w:pPr>
      <w:r>
        <w:rPr>
          <w:rFonts w:eastAsia="方正仿宋_GBK"/>
          <w:color w:val="000000"/>
          <w:sz w:val="28"/>
        </w:rPr>
        <w:t>（二）分项绩效目标</w:t>
      </w:r>
    </w:p>
    <w:p>
      <w:pPr>
        <w:pStyle w:val="20"/>
      </w:pPr>
      <w:r>
        <w:t>（一）增强组织凝聚力和社会影响力，提升参政议政水平。组织经贸洽谈、招商引资等经济活动，助力区域经济发展。</w:t>
      </w:r>
    </w:p>
    <w:p>
      <w:pPr>
        <w:pStyle w:val="20"/>
      </w:pPr>
      <w:r>
        <w:t>绩效目标：提升参政议政水平，为国家治理和社会发展建言献策</w:t>
      </w:r>
    </w:p>
    <w:p>
      <w:pPr>
        <w:pStyle w:val="20"/>
      </w:pPr>
      <w:r>
        <w:t>绩效指标：招商签约金额、组织招商引资活动次数不少于2次、提案采纳率、提交调研报告数量等。</w:t>
      </w:r>
    </w:p>
    <w:p>
      <w:pPr>
        <w:pStyle w:val="20"/>
      </w:pPr>
      <w:r>
        <w:t>（二）发展工商联会员、指导基层工商联组织建设；组织培训、思想政治教育，对非公有制经济优秀事迹进行宣传等事项。</w:t>
      </w:r>
    </w:p>
    <w:p>
      <w:pPr>
        <w:pStyle w:val="20"/>
      </w:pPr>
      <w:r>
        <w:t>绩效目标：指导全区各级组织建设。提升民营企业家素质，推进民营企业文化建设，提升工商联工作影响力。</w:t>
      </w:r>
    </w:p>
    <w:p>
      <w:pPr>
        <w:pStyle w:val="20"/>
      </w:pPr>
      <w:r>
        <w:t>绩效指标：全年培训不少于3次，反映培训质量、全年举办培训的人次、新会员参与培训的合格人数占总人数的比率、反映培训价值、参与基层组织活动人员的满意度情况等。</w:t>
      </w:r>
    </w:p>
    <w:p>
      <w:pPr>
        <w:pStyle w:val="20"/>
      </w:pPr>
      <w:r>
        <w:t>（三）保障工商联各项工作顺利开展</w:t>
      </w:r>
    </w:p>
    <w:p>
      <w:pPr>
        <w:pStyle w:val="20"/>
      </w:pPr>
      <w:r>
        <w:t>绩效目标：保障工商联各项工作顺利开展</w:t>
      </w:r>
    </w:p>
    <w:p>
      <w:pPr>
        <w:pStyle w:val="20"/>
      </w:pPr>
      <w:r>
        <w:t>绩效指标：党建等各项日常工作会议召开次数、各项档案信息完善率固定资产、车辆等各项后勤保障合格率、各类组织建设规范化程度。</w:t>
      </w:r>
    </w:p>
    <w:p>
      <w:pPr>
        <w:spacing w:line="500" w:lineRule="exact"/>
        <w:ind w:firstLine="560"/>
      </w:pPr>
      <w:r>
        <w:rPr>
          <w:rFonts w:eastAsia="方正仿宋_GBK"/>
          <w:color w:val="000000"/>
          <w:sz w:val="28"/>
        </w:rPr>
        <w:t>（三）工作保障措施</w:t>
      </w:r>
    </w:p>
    <w:p>
      <w:pPr>
        <w:pStyle w:val="21"/>
      </w:pPr>
      <w:r>
        <w:t>1、我们将在财务工作上完善制度建设，加强支出管理按要求开展绩效运行监控并做好绩效自评。</w:t>
      </w:r>
    </w:p>
    <w:p>
      <w:pPr>
        <w:pStyle w:val="21"/>
      </w:pPr>
      <w:r>
        <w:t>2、按年初预算安排，专款专用，事前事中事后做好绩效评估，规范财务资产管理，加强内部监督，加强宣传培训调研等。</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1、工商联劳务派遣工资（劳务费）绩效目标表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1.发挥劳务派遣人员在机关工作中的力量。</w:t>
            </w:r>
          </w:p>
          <w:p>
            <w:pPr>
              <w:pStyle w:val="10"/>
            </w:pPr>
            <w:r>
              <w:t>2.发放劳动报酬。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实际发放人数</w:t>
            </w:r>
          </w:p>
        </w:tc>
        <w:tc>
          <w:tcPr>
            <w:tcW w:w="2835" w:type="dxa"/>
            <w:vAlign w:val="center"/>
          </w:tcPr>
          <w:p>
            <w:pPr>
              <w:pStyle w:val="10"/>
            </w:pPr>
            <w:r>
              <w:t>工资实际发放人数</w:t>
            </w:r>
          </w:p>
        </w:tc>
        <w:tc>
          <w:tcPr>
            <w:tcW w:w="2551" w:type="dxa"/>
            <w:vAlign w:val="center"/>
          </w:tcPr>
          <w:p>
            <w:pPr>
              <w:pStyle w:val="10"/>
            </w:pPr>
            <w:r>
              <w:t>2人</w:t>
            </w:r>
          </w:p>
        </w:tc>
        <w:tc>
          <w:tcPr>
            <w:tcW w:w="2268"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资金支付合规率</w:t>
            </w:r>
          </w:p>
        </w:tc>
        <w:tc>
          <w:tcPr>
            <w:tcW w:w="2835" w:type="dxa"/>
            <w:vAlign w:val="center"/>
          </w:tcPr>
          <w:p>
            <w:pPr>
              <w:pStyle w:val="10"/>
            </w:pPr>
            <w:r>
              <w:t>工资支付合规率</w:t>
            </w:r>
          </w:p>
        </w:tc>
        <w:tc>
          <w:tcPr>
            <w:tcW w:w="2551" w:type="dxa"/>
            <w:vAlign w:val="center"/>
          </w:tcPr>
          <w:p>
            <w:pPr>
              <w:pStyle w:val="10"/>
            </w:pPr>
            <w:r>
              <w:t>100%</w:t>
            </w:r>
          </w:p>
        </w:tc>
        <w:tc>
          <w:tcPr>
            <w:tcW w:w="2268"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工资支付及时率</w:t>
            </w:r>
          </w:p>
        </w:tc>
        <w:tc>
          <w:tcPr>
            <w:tcW w:w="2551" w:type="dxa"/>
            <w:vAlign w:val="center"/>
          </w:tcPr>
          <w:p>
            <w:pPr>
              <w:pStyle w:val="10"/>
            </w:pPr>
            <w:r>
              <w:t>100%</w:t>
            </w:r>
          </w:p>
        </w:tc>
        <w:tc>
          <w:tcPr>
            <w:tcW w:w="2268" w:type="dxa"/>
            <w:vAlign w:val="center"/>
          </w:tcPr>
          <w:p>
            <w:pPr>
              <w:pStyle w:val="1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公平呢工资发放准确率</w:t>
            </w:r>
          </w:p>
        </w:tc>
        <w:tc>
          <w:tcPr>
            <w:tcW w:w="2835" w:type="dxa"/>
            <w:vAlign w:val="center"/>
          </w:tcPr>
          <w:p>
            <w:pPr>
              <w:pStyle w:val="10"/>
            </w:pPr>
            <w:r>
              <w:t>工资发放的准确率</w:t>
            </w:r>
          </w:p>
        </w:tc>
        <w:tc>
          <w:tcPr>
            <w:tcW w:w="2551" w:type="dxa"/>
            <w:vAlign w:val="center"/>
          </w:tcPr>
          <w:p>
            <w:pPr>
              <w:pStyle w:val="10"/>
            </w:pPr>
            <w:r>
              <w:t>100%</w:t>
            </w:r>
          </w:p>
        </w:tc>
        <w:tc>
          <w:tcPr>
            <w:tcW w:w="2268" w:type="dxa"/>
            <w:vAlign w:val="center"/>
          </w:tcPr>
          <w:p>
            <w:pPr>
              <w:pStyle w:val="1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2835" w:type="dxa"/>
            <w:vAlign w:val="center"/>
          </w:tcPr>
          <w:p>
            <w:pPr>
              <w:pStyle w:val="10"/>
            </w:pPr>
            <w:r>
              <w:t>工资收入的消费能力</w:t>
            </w:r>
          </w:p>
        </w:tc>
        <w:tc>
          <w:tcPr>
            <w:tcW w:w="2551" w:type="dxa"/>
            <w:vAlign w:val="center"/>
          </w:tcPr>
          <w:p>
            <w:pPr>
              <w:pStyle w:val="10"/>
            </w:pPr>
            <w:r>
              <w:t>≥50%</w:t>
            </w:r>
          </w:p>
        </w:tc>
        <w:tc>
          <w:tcPr>
            <w:tcW w:w="2268"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工资足额发放率</w:t>
            </w:r>
          </w:p>
        </w:tc>
        <w:tc>
          <w:tcPr>
            <w:tcW w:w="2835" w:type="dxa"/>
            <w:vAlign w:val="center"/>
          </w:tcPr>
          <w:p>
            <w:pPr>
              <w:pStyle w:val="10"/>
            </w:pPr>
            <w:r>
              <w:t>工资足额发放，保障职工稳定</w:t>
            </w:r>
          </w:p>
        </w:tc>
        <w:tc>
          <w:tcPr>
            <w:tcW w:w="2551" w:type="dxa"/>
            <w:vAlign w:val="center"/>
          </w:tcPr>
          <w:p>
            <w:pPr>
              <w:pStyle w:val="10"/>
            </w:pPr>
            <w:r>
              <w:t>基本稳定</w:t>
            </w:r>
          </w:p>
        </w:tc>
        <w:tc>
          <w:tcPr>
            <w:tcW w:w="2268"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各项工作正常开展</w:t>
            </w:r>
          </w:p>
        </w:tc>
        <w:tc>
          <w:tcPr>
            <w:tcW w:w="2835" w:type="dxa"/>
            <w:vAlign w:val="center"/>
          </w:tcPr>
          <w:p>
            <w:pPr>
              <w:pStyle w:val="10"/>
            </w:pPr>
            <w:r>
              <w:t>劳务派遣人员工作合格率，保障各项工作正常开展</w:t>
            </w:r>
          </w:p>
        </w:tc>
        <w:tc>
          <w:tcPr>
            <w:tcW w:w="2551" w:type="dxa"/>
            <w:vAlign w:val="center"/>
          </w:tcPr>
          <w:p>
            <w:pPr>
              <w:pStyle w:val="10"/>
            </w:pPr>
            <w:r>
              <w:t>正常运转</w:t>
            </w:r>
          </w:p>
        </w:tc>
        <w:tc>
          <w:tcPr>
            <w:tcW w:w="2268"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劳务派遣人员工资发放满意度</w:t>
            </w:r>
          </w:p>
        </w:tc>
        <w:tc>
          <w:tcPr>
            <w:tcW w:w="2835" w:type="dxa"/>
            <w:vAlign w:val="center"/>
          </w:tcPr>
          <w:p>
            <w:pPr>
              <w:pStyle w:val="10"/>
            </w:pPr>
            <w:r>
              <w:t>劳务派遣人员工资发放的满意度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2、工商联业务费绩效目标表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1.增强与非公企业联系</w:t>
            </w:r>
          </w:p>
          <w:p>
            <w:pPr>
              <w:pStyle w:val="10"/>
            </w:pPr>
            <w:r>
              <w:t>2.保证各项工作顺利实施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调研非公企业活动次数</w:t>
            </w:r>
          </w:p>
        </w:tc>
        <w:tc>
          <w:tcPr>
            <w:tcW w:w="2835" w:type="dxa"/>
            <w:vAlign w:val="center"/>
          </w:tcPr>
          <w:p>
            <w:pPr>
              <w:pStyle w:val="10"/>
            </w:pPr>
            <w:r>
              <w:t>调研非公企业的次数</w:t>
            </w:r>
          </w:p>
        </w:tc>
        <w:tc>
          <w:tcPr>
            <w:tcW w:w="2551" w:type="dxa"/>
            <w:vAlign w:val="center"/>
          </w:tcPr>
          <w:p>
            <w:pPr>
              <w:pStyle w:val="10"/>
            </w:pPr>
            <w:r>
              <w:t>≥10次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调研企业的成效</w:t>
            </w:r>
          </w:p>
        </w:tc>
        <w:tc>
          <w:tcPr>
            <w:tcW w:w="2835" w:type="dxa"/>
            <w:vAlign w:val="center"/>
          </w:tcPr>
          <w:p>
            <w:pPr>
              <w:pStyle w:val="10"/>
            </w:pPr>
            <w:r>
              <w:t>调研企业的成效收获</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及时深入企业调研</w:t>
            </w:r>
          </w:p>
        </w:tc>
        <w:tc>
          <w:tcPr>
            <w:tcW w:w="2835" w:type="dxa"/>
            <w:vAlign w:val="center"/>
          </w:tcPr>
          <w:p>
            <w:pPr>
              <w:pStyle w:val="10"/>
            </w:pPr>
            <w:r>
              <w:t>是否及时深入企业调研</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项目实际支出是否控制在预算内</w:t>
            </w:r>
          </w:p>
        </w:tc>
        <w:tc>
          <w:tcPr>
            <w:tcW w:w="2835" w:type="dxa"/>
            <w:vAlign w:val="center"/>
          </w:tcPr>
          <w:p>
            <w:pPr>
              <w:pStyle w:val="10"/>
            </w:pPr>
            <w:r>
              <w:t>项目实际支出是否控制在预算内</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组织政协委员企业家参加大会</w:t>
            </w:r>
          </w:p>
        </w:tc>
        <w:tc>
          <w:tcPr>
            <w:tcW w:w="2835" w:type="dxa"/>
            <w:vAlign w:val="center"/>
          </w:tcPr>
          <w:p>
            <w:pPr>
              <w:pStyle w:val="10"/>
            </w:pPr>
            <w:r>
              <w:t>组织是政协委员的企业家参加大会</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提交报告</w:t>
            </w:r>
          </w:p>
        </w:tc>
        <w:tc>
          <w:tcPr>
            <w:tcW w:w="2835" w:type="dxa"/>
            <w:vAlign w:val="center"/>
          </w:tcPr>
          <w:p>
            <w:pPr>
              <w:pStyle w:val="10"/>
            </w:pPr>
            <w:r>
              <w:t>组织企业家提交报告</w:t>
            </w:r>
          </w:p>
        </w:tc>
        <w:tc>
          <w:tcPr>
            <w:tcW w:w="2551" w:type="dxa"/>
            <w:vAlign w:val="center"/>
          </w:tcPr>
          <w:p>
            <w:pPr>
              <w:pStyle w:val="10"/>
            </w:pPr>
            <w:r>
              <w:t>≥50%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提案采纳率</w:t>
            </w:r>
          </w:p>
        </w:tc>
        <w:tc>
          <w:tcPr>
            <w:tcW w:w="2835" w:type="dxa"/>
            <w:vAlign w:val="center"/>
          </w:tcPr>
          <w:p>
            <w:pPr>
              <w:pStyle w:val="10"/>
            </w:pPr>
            <w:r>
              <w:t>反映提案采纳比率</w:t>
            </w:r>
          </w:p>
        </w:tc>
        <w:tc>
          <w:tcPr>
            <w:tcW w:w="2551" w:type="dxa"/>
            <w:vAlign w:val="center"/>
          </w:tcPr>
          <w:p>
            <w:pPr>
              <w:pStyle w:val="10"/>
            </w:pPr>
            <w:r>
              <w:t>≥30%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提交意见社会贡献率</w:t>
            </w:r>
          </w:p>
        </w:tc>
        <w:tc>
          <w:tcPr>
            <w:tcW w:w="2835" w:type="dxa"/>
            <w:vAlign w:val="center"/>
          </w:tcPr>
          <w:p>
            <w:pPr>
              <w:pStyle w:val="10"/>
            </w:pPr>
            <w:r>
              <w:t>提交的意见对社会的贡献价值</w:t>
            </w:r>
          </w:p>
        </w:tc>
        <w:tc>
          <w:tcPr>
            <w:tcW w:w="2551" w:type="dxa"/>
            <w:vAlign w:val="center"/>
          </w:tcPr>
          <w:p>
            <w:pPr>
              <w:pStyle w:val="10"/>
            </w:pPr>
            <w:r>
              <w:t>≥30%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3、民营企业家素质提升经费绩效目标表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1.提高民营企业家素质，提高非公经济人士社会活动参与度。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举办培训次数</w:t>
            </w:r>
          </w:p>
        </w:tc>
        <w:tc>
          <w:tcPr>
            <w:tcW w:w="2835" w:type="dxa"/>
            <w:vAlign w:val="center"/>
          </w:tcPr>
          <w:p>
            <w:pPr>
              <w:pStyle w:val="10"/>
            </w:pPr>
            <w:r>
              <w:t>举办培训次数</w:t>
            </w:r>
          </w:p>
        </w:tc>
        <w:tc>
          <w:tcPr>
            <w:tcW w:w="2551" w:type="dxa"/>
            <w:vAlign w:val="center"/>
          </w:tcPr>
          <w:p>
            <w:pPr>
              <w:pStyle w:val="10"/>
            </w:pPr>
            <w:r>
              <w:t>≥2次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指全年举办培训的人次</w:t>
            </w:r>
          </w:p>
        </w:tc>
        <w:tc>
          <w:tcPr>
            <w:tcW w:w="2835" w:type="dxa"/>
            <w:vAlign w:val="center"/>
          </w:tcPr>
          <w:p>
            <w:pPr>
              <w:pStyle w:val="10"/>
            </w:pPr>
            <w:r>
              <w:t>指全年举办培训的人次</w:t>
            </w:r>
          </w:p>
        </w:tc>
        <w:tc>
          <w:tcPr>
            <w:tcW w:w="2551" w:type="dxa"/>
            <w:vAlign w:val="center"/>
          </w:tcPr>
          <w:p>
            <w:pPr>
              <w:pStyle w:val="10"/>
            </w:pPr>
            <w:r>
              <w:t>100人</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参加会员企业的比率</w:t>
            </w:r>
          </w:p>
        </w:tc>
        <w:tc>
          <w:tcPr>
            <w:tcW w:w="2835" w:type="dxa"/>
            <w:vAlign w:val="center"/>
          </w:tcPr>
          <w:p>
            <w:pPr>
              <w:pStyle w:val="10"/>
            </w:pPr>
            <w:r>
              <w:t>指参加培训的会员数占全部会员比率</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举办活动所用资金</w:t>
            </w:r>
          </w:p>
        </w:tc>
        <w:tc>
          <w:tcPr>
            <w:tcW w:w="2835" w:type="dxa"/>
            <w:vAlign w:val="center"/>
          </w:tcPr>
          <w:p>
            <w:pPr>
              <w:pStyle w:val="10"/>
            </w:pPr>
            <w:r>
              <w:t>举办活动所用资金严格按照预算执行</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技能素养培训提高率</w:t>
            </w:r>
          </w:p>
        </w:tc>
        <w:tc>
          <w:tcPr>
            <w:tcW w:w="2835" w:type="dxa"/>
            <w:vAlign w:val="center"/>
          </w:tcPr>
          <w:p>
            <w:pPr>
              <w:pStyle w:val="10"/>
            </w:pPr>
            <w:r>
              <w:t>反映培训价值</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会员培训合格率</w:t>
            </w:r>
          </w:p>
        </w:tc>
        <w:tc>
          <w:tcPr>
            <w:tcW w:w="2835" w:type="dxa"/>
            <w:vAlign w:val="center"/>
          </w:tcPr>
          <w:p>
            <w:pPr>
              <w:pStyle w:val="10"/>
            </w:pPr>
            <w:r>
              <w:t>参加培训的会员合格率</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培训满意度</w:t>
            </w:r>
          </w:p>
        </w:tc>
        <w:tc>
          <w:tcPr>
            <w:tcW w:w="2835" w:type="dxa"/>
            <w:vAlign w:val="center"/>
          </w:tcPr>
          <w:p>
            <w:pPr>
              <w:pStyle w:val="10"/>
            </w:pPr>
            <w:r>
              <w:t>反映培训质量</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非公经济人士对培训的满意程度</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4、商会建设经费绩效目标表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1.建设丰南区工商联基层商会、建立外阜商会，借助唐山、丰南在外企业家的人脉资源优势，为我区招商工作搭建桥梁，积极吸引优质民营企业来丰南投资兴业。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举办活动次数</w:t>
            </w:r>
          </w:p>
        </w:tc>
        <w:tc>
          <w:tcPr>
            <w:tcW w:w="2835" w:type="dxa"/>
            <w:vAlign w:val="center"/>
          </w:tcPr>
          <w:p>
            <w:pPr>
              <w:pStyle w:val="10"/>
            </w:pPr>
            <w:r>
              <w:t>指外出考察及举办活动次数</w:t>
            </w:r>
          </w:p>
        </w:tc>
        <w:tc>
          <w:tcPr>
            <w:tcW w:w="2551" w:type="dxa"/>
            <w:vAlign w:val="center"/>
          </w:tcPr>
          <w:p>
            <w:pPr>
              <w:pStyle w:val="10"/>
            </w:pPr>
            <w:r>
              <w:t>≥1次</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外阜商会建立情况</w:t>
            </w:r>
          </w:p>
        </w:tc>
        <w:tc>
          <w:tcPr>
            <w:tcW w:w="2835" w:type="dxa"/>
            <w:vAlign w:val="center"/>
          </w:tcPr>
          <w:p>
            <w:pPr>
              <w:pStyle w:val="10"/>
            </w:pPr>
            <w:r>
              <w:t>指外阜商会的建立情况</w:t>
            </w:r>
          </w:p>
        </w:tc>
        <w:tc>
          <w:tcPr>
            <w:tcW w:w="2551" w:type="dxa"/>
            <w:vAlign w:val="center"/>
          </w:tcPr>
          <w:p>
            <w:pPr>
              <w:pStyle w:val="10"/>
            </w:pPr>
            <w:r>
              <w:t>≥1个</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预期活动的完成时效</w:t>
            </w:r>
          </w:p>
        </w:tc>
        <w:tc>
          <w:tcPr>
            <w:tcW w:w="2835" w:type="dxa"/>
            <w:vAlign w:val="center"/>
          </w:tcPr>
          <w:p>
            <w:pPr>
              <w:pStyle w:val="10"/>
            </w:pPr>
            <w:r>
              <w:t>指是否按预期时间活动举办完成</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活动所需成本</w:t>
            </w:r>
          </w:p>
        </w:tc>
        <w:tc>
          <w:tcPr>
            <w:tcW w:w="2835" w:type="dxa"/>
            <w:vAlign w:val="center"/>
          </w:tcPr>
          <w:p>
            <w:pPr>
              <w:pStyle w:val="10"/>
            </w:pPr>
            <w:r>
              <w:t>活动所需成本的控制情况</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外阜商会的建立的经济效益</w:t>
            </w:r>
          </w:p>
        </w:tc>
        <w:tc>
          <w:tcPr>
            <w:tcW w:w="2835" w:type="dxa"/>
            <w:vAlign w:val="center"/>
          </w:tcPr>
          <w:p>
            <w:pPr>
              <w:pStyle w:val="10"/>
            </w:pPr>
            <w:r>
              <w:t>外阜商会的建立的是否提高经济效益</w:t>
            </w:r>
          </w:p>
        </w:tc>
        <w:tc>
          <w:tcPr>
            <w:tcW w:w="2551" w:type="dxa"/>
            <w:vAlign w:val="center"/>
          </w:tcPr>
          <w:p>
            <w:pPr>
              <w:pStyle w:val="10"/>
            </w:pPr>
            <w:r>
              <w:t>≥80%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外阜商会建立的社会效益</w:t>
            </w:r>
          </w:p>
        </w:tc>
        <w:tc>
          <w:tcPr>
            <w:tcW w:w="2835" w:type="dxa"/>
            <w:vAlign w:val="center"/>
          </w:tcPr>
          <w:p>
            <w:pPr>
              <w:pStyle w:val="10"/>
            </w:pPr>
            <w:r>
              <w:t>外阜商会建立社会价值</w:t>
            </w:r>
          </w:p>
        </w:tc>
        <w:tc>
          <w:tcPr>
            <w:tcW w:w="2551" w:type="dxa"/>
            <w:vAlign w:val="center"/>
          </w:tcPr>
          <w:p>
            <w:pPr>
              <w:pStyle w:val="10"/>
            </w:pPr>
            <w:r>
              <w:t>≥80%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外阜商会间的可持续影响</w:t>
            </w:r>
          </w:p>
        </w:tc>
        <w:tc>
          <w:tcPr>
            <w:tcW w:w="2835" w:type="dxa"/>
            <w:vAlign w:val="center"/>
          </w:tcPr>
          <w:p>
            <w:pPr>
              <w:pStyle w:val="10"/>
            </w:pPr>
            <w:r>
              <w:t>外阜商会建立可持续发展的影响</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≥90%</w:t>
            </w:r>
          </w:p>
        </w:tc>
        <w:tc>
          <w:tcPr>
            <w:tcW w:w="2268" w:type="dxa"/>
            <w:vAlign w:val="center"/>
          </w:tcPr>
          <w:p>
            <w:pPr>
              <w:pStyle w:val="10"/>
            </w:pPr>
            <w: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2022年，唐山市丰南区工商业联合会安排政府采购预算0.00万元。具体内容见下表。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323唐山市丰南区工商业联合会</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唐山市丰南区工商业联合会（含所属单位）上年末固定资产金额为0.00万元（详见下表）。本年度拟购置固定资产总额为0.00万元，已按要求列入政府采购预算，详见政府采购预算表。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323唐山市丰南区工商业联合会</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r>
        <w:rPr>
          <w:rFonts w:hint="eastAsia" w:eastAsia="方正仿宋_GBK"/>
          <w:color w:val="000000"/>
          <w:sz w:val="28"/>
          <w:lang w:eastAsia="zh-CN"/>
        </w:rPr>
        <w:t>项。</w:t>
      </w:r>
    </w:p>
    <w:p>
      <w:pPr>
        <w:jc w:val="both"/>
        <w:outlineLvl w:val="0"/>
        <w:rPr>
          <w:rFonts w:ascii="方正小标宋_GBK" w:hAnsi="方正小标宋_GBK" w:eastAsia="方正小标宋_GBK" w:cs="方正小标宋_GBK"/>
          <w:color w:val="000000"/>
          <w:sz w:val="7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A7D34"/>
    <w:rsid w:val="008A7BC0"/>
    <w:rsid w:val="00DA7D34"/>
    <w:rsid w:val="19E775CF"/>
    <w:rsid w:val="42E96F22"/>
    <w:rsid w:val="4942522E"/>
    <w:rsid w:val="6E890137"/>
    <w:rsid w:val="74F360B1"/>
    <w:rsid w:val="7EA1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2022-02-22T11:15:14Z</dcterms:created>
  <dcterms:modified xsi:type="dcterms:W3CDTF">2022-02-22T03:15:14Z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2022-02-22T11:15:20Z</dcterms:created>
  <dcterms:modified xsi:type="dcterms:W3CDTF">2022-02-22T03:15:20Z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2022-02-22T11:15:26Z</dcterms:created>
  <dcterms:modified xsi:type="dcterms:W3CDTF">2022-02-22T03:15:26Z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2022-02-22T11:15:13Z</dcterms:created>
  <dcterms:modified xsi:type="dcterms:W3CDTF">2022-02-22T03:15:13Z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2022-02-22T11:15:23Z</dcterms:created>
  <dcterms:modified xsi:type="dcterms:W3CDTF">2022-02-22T03:15:23Z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2022-02-22T11:15:23Z</dcterms:created>
  <dcterms:modified xsi:type="dcterms:W3CDTF">2022-02-22T03:15:23Z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2022-02-22T11:15:13Z</dcterms:created>
  <dcterms:modified xsi:type="dcterms:W3CDTF">2022-02-22T03:15:13Z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2022-02-22T11:15:25Z</dcterms:created>
  <dcterms:modified xsi:type="dcterms:W3CDTF">2022-02-22T03:15:25Z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2022-02-22T11:15:12Z</dcterms:created>
  <dcterms:modified xsi:type="dcterms:W3CDTF">2022-02-22T03:15:12Z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2022-02-22T11:15:27Z</dcterms:created>
  <dcterms:modified xsi:type="dcterms:W3CDTF">2022-02-22T03:15:27Z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2022-02-22T11:15:15Z</dcterms:created>
  <dcterms:modified xsi:type="dcterms:W3CDTF">2022-02-22T03:15:15Z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2022-02-22T11:15:13Z</dcterms:created>
  <dcterms:modified xsi:type="dcterms:W3CDTF">2022-02-22T03:15:13Z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2022-02-22T11:15:10Z</dcterms:created>
  <dcterms:modified xsi:type="dcterms:W3CDTF">2022-02-22T03:15:09Z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41D317E-C14A-41D4-8587-3451F42FFC9D}">
  <ds:schemaRefs/>
</ds:datastoreItem>
</file>

<file path=customXml/itemProps11.xml><?xml version="1.0" encoding="utf-8"?>
<ds:datastoreItem xmlns:ds="http://schemas.openxmlformats.org/officeDocument/2006/customXml" ds:itemID="{79DCFF94-2617-48FD-8C05-4E2EE90AD1F9}">
  <ds:schemaRefs/>
</ds:datastoreItem>
</file>

<file path=customXml/itemProps12.xml><?xml version="1.0" encoding="utf-8"?>
<ds:datastoreItem xmlns:ds="http://schemas.openxmlformats.org/officeDocument/2006/customXml" ds:itemID="{4F622C32-7255-4B79-AD1A-B1903C0CA6E4}">
  <ds:schemaRefs/>
</ds:datastoreItem>
</file>

<file path=customXml/itemProps13.xml><?xml version="1.0" encoding="utf-8"?>
<ds:datastoreItem xmlns:ds="http://schemas.openxmlformats.org/officeDocument/2006/customXml" ds:itemID="{DCC2085C-33DE-4C66-9E86-6C271BC30EF9}">
  <ds:schemaRefs/>
</ds:datastoreItem>
</file>

<file path=customXml/itemProps14.xml><?xml version="1.0" encoding="utf-8"?>
<ds:datastoreItem xmlns:ds="http://schemas.openxmlformats.org/officeDocument/2006/customXml" ds:itemID="{F12C33D8-9486-44C1-B35D-4125F84BDCD2}">
  <ds:schemaRefs/>
</ds:datastoreItem>
</file>

<file path=customXml/itemProps15.xml><?xml version="1.0" encoding="utf-8"?>
<ds:datastoreItem xmlns:ds="http://schemas.openxmlformats.org/officeDocument/2006/customXml" ds:itemID="{0A5B9123-8C08-4FEE-B198-EFADD05F79CC}">
  <ds:schemaRefs/>
</ds:datastoreItem>
</file>

<file path=customXml/itemProps16.xml><?xml version="1.0" encoding="utf-8"?>
<ds:datastoreItem xmlns:ds="http://schemas.openxmlformats.org/officeDocument/2006/customXml" ds:itemID="{701E6205-1BB6-4178-83C2-DCE8455F332F}">
  <ds:schemaRefs/>
</ds:datastoreItem>
</file>

<file path=customXml/itemProps17.xml><?xml version="1.0" encoding="utf-8"?>
<ds:datastoreItem xmlns:ds="http://schemas.openxmlformats.org/officeDocument/2006/customXml" ds:itemID="{BA3EC11C-5E00-4B9F-B928-0C48B45733F3}">
  <ds:schemaRefs/>
</ds:datastoreItem>
</file>

<file path=customXml/itemProps18.xml><?xml version="1.0" encoding="utf-8"?>
<ds:datastoreItem xmlns:ds="http://schemas.openxmlformats.org/officeDocument/2006/customXml" ds:itemID="{90445DE6-7003-413E-97E0-859943D7FD53}">
  <ds:schemaRefs/>
</ds:datastoreItem>
</file>

<file path=customXml/itemProps19.xml><?xml version="1.0" encoding="utf-8"?>
<ds:datastoreItem xmlns:ds="http://schemas.openxmlformats.org/officeDocument/2006/customXml" ds:itemID="{2CBF0FE6-7255-4C47-8A4E-698F2361FBD9}">
  <ds:schemaRefs/>
</ds:datastoreItem>
</file>

<file path=customXml/itemProps2.xml><?xml version="1.0" encoding="utf-8"?>
<ds:datastoreItem xmlns:ds="http://schemas.openxmlformats.org/officeDocument/2006/customXml" ds:itemID="{DA2C3436-036E-47B1-8B17-150EBC423991}">
  <ds:schemaRefs/>
</ds:datastoreItem>
</file>

<file path=customXml/itemProps20.xml><?xml version="1.0" encoding="utf-8"?>
<ds:datastoreItem xmlns:ds="http://schemas.openxmlformats.org/officeDocument/2006/customXml" ds:itemID="{7F1B2015-4122-48B2-BD37-289F0FEC6B12}">
  <ds:schemaRefs/>
</ds:datastoreItem>
</file>

<file path=customXml/itemProps21.xml><?xml version="1.0" encoding="utf-8"?>
<ds:datastoreItem xmlns:ds="http://schemas.openxmlformats.org/officeDocument/2006/customXml" ds:itemID="{7EC4BA3C-5A00-4A3A-B6F8-293D68E4C828}">
  <ds:schemaRefs/>
</ds:datastoreItem>
</file>

<file path=customXml/itemProps22.xml><?xml version="1.0" encoding="utf-8"?>
<ds:datastoreItem xmlns:ds="http://schemas.openxmlformats.org/officeDocument/2006/customXml" ds:itemID="{C0F0DE5F-2C6A-4E56-AC72-E568BD0056F0}">
  <ds:schemaRefs/>
</ds:datastoreItem>
</file>

<file path=customXml/itemProps23.xml><?xml version="1.0" encoding="utf-8"?>
<ds:datastoreItem xmlns:ds="http://schemas.openxmlformats.org/officeDocument/2006/customXml" ds:itemID="{560B5C94-CDF7-42A7-AF24-FD91D9477CF1}">
  <ds:schemaRefs/>
</ds:datastoreItem>
</file>

<file path=customXml/itemProps24.xml><?xml version="1.0" encoding="utf-8"?>
<ds:datastoreItem xmlns:ds="http://schemas.openxmlformats.org/officeDocument/2006/customXml" ds:itemID="{951812A4-20D5-475A-81F8-216F995AB5D2}">
  <ds:schemaRefs/>
</ds:datastoreItem>
</file>

<file path=customXml/itemProps25.xml><?xml version="1.0" encoding="utf-8"?>
<ds:datastoreItem xmlns:ds="http://schemas.openxmlformats.org/officeDocument/2006/customXml" ds:itemID="{E985D894-365A-472D-9BEA-FAA3E36346EF}">
  <ds:schemaRefs/>
</ds:datastoreItem>
</file>

<file path=customXml/itemProps26.xml><?xml version="1.0" encoding="utf-8"?>
<ds:datastoreItem xmlns:ds="http://schemas.openxmlformats.org/officeDocument/2006/customXml" ds:itemID="{5625CC89-49F2-4AAD-A55E-46305A044C31}">
  <ds:schemaRefs/>
</ds:datastoreItem>
</file>

<file path=customXml/itemProps27.xml><?xml version="1.0" encoding="utf-8"?>
<ds:datastoreItem xmlns:ds="http://schemas.openxmlformats.org/officeDocument/2006/customXml" ds:itemID="{9388C6C3-384F-47C7-BABD-7C6BB035E2F9}">
  <ds:schemaRefs/>
</ds:datastoreItem>
</file>

<file path=customXml/itemProps3.xml><?xml version="1.0" encoding="utf-8"?>
<ds:datastoreItem xmlns:ds="http://schemas.openxmlformats.org/officeDocument/2006/customXml" ds:itemID="{F16FC6EA-4536-446B-8FBA-04A4F855A92A}">
  <ds:schemaRefs/>
</ds:datastoreItem>
</file>

<file path=customXml/itemProps4.xml><?xml version="1.0" encoding="utf-8"?>
<ds:datastoreItem xmlns:ds="http://schemas.openxmlformats.org/officeDocument/2006/customXml" ds:itemID="{85F2EF87-D6CE-402A-BD34-33BF63015C7D}">
  <ds:schemaRefs/>
</ds:datastoreItem>
</file>

<file path=customXml/itemProps5.xml><?xml version="1.0" encoding="utf-8"?>
<ds:datastoreItem xmlns:ds="http://schemas.openxmlformats.org/officeDocument/2006/customXml" ds:itemID="{BFC464CB-CE4E-4443-A78C-6FFEEA2A67EF}">
  <ds:schemaRefs/>
</ds:datastoreItem>
</file>

<file path=customXml/itemProps6.xml><?xml version="1.0" encoding="utf-8"?>
<ds:datastoreItem xmlns:ds="http://schemas.openxmlformats.org/officeDocument/2006/customXml" ds:itemID="{EEC1B17A-D17D-4FF8-A795-FECAAB69B8A1}">
  <ds:schemaRefs/>
</ds:datastoreItem>
</file>

<file path=customXml/itemProps7.xml><?xml version="1.0" encoding="utf-8"?>
<ds:datastoreItem xmlns:ds="http://schemas.openxmlformats.org/officeDocument/2006/customXml" ds:itemID="{956FDF3D-B645-4F1F-895D-A7408D5F8781}">
  <ds:schemaRefs/>
</ds:datastoreItem>
</file>

<file path=customXml/itemProps8.xml><?xml version="1.0" encoding="utf-8"?>
<ds:datastoreItem xmlns:ds="http://schemas.openxmlformats.org/officeDocument/2006/customXml" ds:itemID="{00892816-E3C2-427E-AE1C-E295D12489A1}">
  <ds:schemaRefs/>
</ds:datastoreItem>
</file>

<file path=customXml/itemProps9.xml><?xml version="1.0" encoding="utf-8"?>
<ds:datastoreItem xmlns:ds="http://schemas.openxmlformats.org/officeDocument/2006/customXml" ds:itemID="{A0FDC954-9EF1-46E4-B14F-22BA4C9CA513}">
  <ds:schemaRefs/>
</ds:datastoreItem>
</file>

<file path=docProps/app.xml><?xml version="1.0" encoding="utf-8"?>
<Properties xmlns="http://schemas.openxmlformats.org/officeDocument/2006/extended-properties" xmlns:vt="http://schemas.openxmlformats.org/officeDocument/2006/docPropsVTypes">
  <Template>Normal</Template>
  <Pages>47</Pages>
  <Words>2996</Words>
  <Characters>17080</Characters>
  <Lines>142</Lines>
  <Paragraphs>40</Paragraphs>
  <TotalTime>6</TotalTime>
  <ScaleCrop>false</ScaleCrop>
  <LinksUpToDate>false</LinksUpToDate>
  <CharactersWithSpaces>20036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2022-02-22T03:35:00Z</dcterms:created>
  <dc:creator>Administrator</dc:creator>
  <cp:lastModifiedBy>Administrator</cp:lastModifiedBy>
  <dcterms:modified xsi:type="dcterms:W3CDTF">2022-02-25T07:38:22Z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4DA263A5E0E5481A9606E9C15BC0BCF4</vt:lpwstr>
  </property>
</Properties>
</file>