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r>
        <w:rPr>
          <w:rFonts w:hint="eastAsia" w:ascii="仿宋" w:hAnsi="仿宋" w:eastAsia="仿宋"/>
          <w:b/>
          <w:sz w:val="72"/>
          <w:szCs w:val="72"/>
        </w:rPr>
        <w:t>2017年</w:t>
      </w:r>
      <w:r>
        <w:rPr>
          <w:rFonts w:hint="eastAsia" w:ascii="仿宋" w:hAnsi="仿宋" w:eastAsia="仿宋"/>
          <w:b/>
          <w:sz w:val="72"/>
          <w:szCs w:val="72"/>
          <w:lang w:eastAsia="zh-CN"/>
        </w:rPr>
        <w:t>公路路政执法大队</w:t>
      </w:r>
      <w:r>
        <w:rPr>
          <w:rFonts w:hint="eastAsia" w:ascii="仿宋" w:hAnsi="仿宋" w:eastAsia="仿宋"/>
          <w:b/>
          <w:sz w:val="72"/>
          <w:szCs w:val="72"/>
        </w:rPr>
        <w:t>预算</w:t>
      </w:r>
    </w:p>
    <w:p>
      <w:pPr>
        <w:jc w:val="center"/>
        <w:rPr>
          <w:rFonts w:ascii="仿宋" w:hAnsi="仿宋" w:eastAsia="仿宋"/>
          <w:b/>
          <w:sz w:val="72"/>
          <w:szCs w:val="72"/>
        </w:rPr>
      </w:pPr>
    </w:p>
    <w:p>
      <w:pPr>
        <w:jc w:val="center"/>
        <w:rPr>
          <w:rFonts w:ascii="仿宋" w:hAnsi="仿宋" w:eastAsia="仿宋"/>
          <w:sz w:val="52"/>
          <w:szCs w:val="52"/>
        </w:rPr>
      </w:pPr>
    </w:p>
    <w:p>
      <w:pPr>
        <w:jc w:val="center"/>
        <w:rPr>
          <w:rFonts w:ascii="仿宋" w:hAnsi="仿宋" w:eastAsia="仿宋"/>
          <w:sz w:val="44"/>
        </w:rPr>
      </w:pPr>
    </w:p>
    <w:p>
      <w:pPr>
        <w:jc w:val="center"/>
        <w:rPr>
          <w:rFonts w:ascii="仿宋" w:hAnsi="仿宋" w:eastAsia="仿宋"/>
          <w:sz w:val="44"/>
        </w:rPr>
      </w:pPr>
    </w:p>
    <w:p>
      <w:pPr>
        <w:jc w:val="center"/>
        <w:rPr>
          <w:rFonts w:ascii="仿宋" w:hAnsi="仿宋" w:eastAsia="仿宋"/>
          <w:sz w:val="44"/>
        </w:rPr>
      </w:pPr>
      <w:r>
        <w:rPr>
          <w:rFonts w:ascii="仿宋" w:hAnsi="仿宋" w:eastAsia="仿宋"/>
          <w:sz w:val="44"/>
        </w:rPr>
        <w:t xml:space="preserve"> </w:t>
      </w:r>
    </w:p>
    <w:p>
      <w:pPr>
        <w:jc w:val="center"/>
        <w:rPr>
          <w:rFonts w:ascii="仿宋" w:hAnsi="仿宋" w:eastAsia="仿宋"/>
          <w:sz w:val="44"/>
        </w:rPr>
      </w:pPr>
    </w:p>
    <w:p>
      <w:pPr>
        <w:jc w:val="center"/>
        <w:rPr>
          <w:rFonts w:ascii="仿宋" w:hAnsi="仿宋" w:eastAsia="仿宋"/>
          <w:sz w:val="44"/>
        </w:rPr>
      </w:pPr>
    </w:p>
    <w:p>
      <w:pPr>
        <w:rPr>
          <w:rFonts w:ascii="仿宋" w:hAnsi="仿宋" w:eastAsia="仿宋"/>
          <w:sz w:val="44"/>
        </w:rPr>
      </w:pPr>
    </w:p>
    <w:p>
      <w:pPr>
        <w:jc w:val="center"/>
        <w:rPr>
          <w:rFonts w:hint="eastAsia" w:ascii="仿宋" w:hAnsi="仿宋" w:eastAsia="仿宋"/>
          <w:b/>
          <w:sz w:val="52"/>
        </w:rPr>
      </w:pPr>
    </w:p>
    <w:p>
      <w:pPr>
        <w:jc w:val="center"/>
        <w:rPr>
          <w:rFonts w:hint="eastAsia" w:ascii="仿宋" w:hAnsi="仿宋" w:eastAsia="仿宋"/>
          <w:b/>
          <w:sz w:val="52"/>
        </w:rPr>
      </w:pPr>
    </w:p>
    <w:p>
      <w:pPr>
        <w:jc w:val="center"/>
        <w:rPr>
          <w:rFonts w:ascii="仿宋" w:hAnsi="仿宋" w:eastAsia="仿宋"/>
          <w:b/>
          <w:sz w:val="52"/>
        </w:rPr>
      </w:pPr>
      <w:r>
        <w:rPr>
          <w:rFonts w:hint="eastAsia" w:ascii="仿宋" w:hAnsi="仿宋" w:eastAsia="仿宋"/>
          <w:b/>
          <w:sz w:val="52"/>
        </w:rPr>
        <w:t>2017年3月</w:t>
      </w:r>
    </w:p>
    <w:p>
      <w:pPr>
        <w:spacing w:line="360" w:lineRule="auto"/>
        <w:jc w:val="center"/>
        <w:rPr>
          <w:rFonts w:hint="eastAsia" w:ascii="宋体" w:hAnsi="宋体" w:cs="宋体"/>
          <w:sz w:val="44"/>
          <w:szCs w:val="44"/>
        </w:rPr>
      </w:pPr>
    </w:p>
    <w:p>
      <w:pPr>
        <w:jc w:val="center"/>
        <w:rPr>
          <w:rFonts w:ascii="仿宋" w:hAnsi="仿宋" w:eastAsia="仿宋"/>
          <w:b/>
          <w:sz w:val="44"/>
          <w:szCs w:val="44"/>
        </w:rPr>
      </w:pPr>
      <w:r>
        <w:rPr>
          <w:rFonts w:hint="eastAsia" w:ascii="仿宋" w:hAnsi="仿宋" w:eastAsia="仿宋"/>
          <w:b/>
          <w:sz w:val="44"/>
          <w:szCs w:val="44"/>
        </w:rPr>
        <w:t>单位预算公开目录</w:t>
      </w:r>
    </w:p>
    <w:p>
      <w:pPr>
        <w:pStyle w:val="9"/>
        <w:spacing w:line="240" w:lineRule="atLeast"/>
        <w:ind w:firstLine="416" w:firstLineChars="130"/>
        <w:rPr>
          <w:rFonts w:hint="eastAsia" w:ascii="仿宋" w:hAnsi="仿宋" w:eastAsia="仿宋"/>
          <w:b/>
          <w:sz w:val="32"/>
          <w:szCs w:val="32"/>
        </w:rPr>
      </w:pPr>
      <w:r>
        <w:rPr>
          <w:rFonts w:hint="eastAsia" w:ascii="仿宋" w:hAnsi="仿宋" w:eastAsia="仿宋"/>
          <w:b/>
          <w:sz w:val="32"/>
          <w:szCs w:val="32"/>
        </w:rPr>
        <w:t>第一部分  单位职责及机构设置情况</w:t>
      </w:r>
    </w:p>
    <w:p>
      <w:pPr>
        <w:pStyle w:val="9"/>
        <w:numPr>
          <w:ilvl w:val="0"/>
          <w:numId w:val="1"/>
        </w:numPr>
        <w:spacing w:line="240" w:lineRule="atLeast"/>
        <w:ind w:firstLineChars="0"/>
        <w:jc w:val="left"/>
        <w:rPr>
          <w:rFonts w:hint="eastAsia" w:ascii="仿宋" w:hAnsi="仿宋" w:eastAsia="仿宋"/>
          <w:b/>
          <w:sz w:val="32"/>
          <w:szCs w:val="32"/>
        </w:rPr>
      </w:pPr>
      <w:r>
        <w:rPr>
          <w:rFonts w:hint="eastAsia" w:ascii="仿宋" w:hAnsi="仿宋" w:eastAsia="仿宋"/>
          <w:b/>
          <w:sz w:val="32"/>
          <w:szCs w:val="32"/>
        </w:rPr>
        <w:t>单位职责</w:t>
      </w:r>
    </w:p>
    <w:p>
      <w:pPr>
        <w:pStyle w:val="9"/>
        <w:numPr>
          <w:ilvl w:val="0"/>
          <w:numId w:val="1"/>
        </w:numPr>
        <w:spacing w:line="240" w:lineRule="atLeast"/>
        <w:ind w:firstLineChars="0"/>
        <w:jc w:val="left"/>
        <w:rPr>
          <w:rFonts w:hint="eastAsia" w:ascii="仿宋" w:hAnsi="仿宋" w:eastAsia="仿宋"/>
          <w:b/>
          <w:sz w:val="32"/>
          <w:szCs w:val="32"/>
        </w:rPr>
      </w:pPr>
      <w:r>
        <w:rPr>
          <w:rFonts w:hint="eastAsia" w:ascii="仿宋" w:hAnsi="仿宋" w:eastAsia="仿宋"/>
          <w:b/>
          <w:sz w:val="32"/>
          <w:szCs w:val="32"/>
        </w:rPr>
        <w:t>机构设置</w:t>
      </w:r>
    </w:p>
    <w:p>
      <w:pPr>
        <w:pStyle w:val="9"/>
        <w:spacing w:line="240" w:lineRule="atLeast"/>
        <w:ind w:left="418" w:firstLine="0" w:firstLineChars="0"/>
        <w:rPr>
          <w:rFonts w:hint="eastAsia" w:ascii="仿宋" w:hAnsi="仿宋" w:eastAsia="仿宋"/>
          <w:b/>
          <w:sz w:val="32"/>
          <w:szCs w:val="32"/>
        </w:rPr>
      </w:pPr>
      <w:r>
        <w:rPr>
          <w:rFonts w:hint="eastAsia" w:ascii="仿宋" w:hAnsi="仿宋" w:eastAsia="仿宋"/>
          <w:b/>
          <w:sz w:val="32"/>
          <w:szCs w:val="32"/>
        </w:rPr>
        <w:t>第二部分  单位预算安排的总体情况</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收入说明</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支出说明</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比上年增减情况</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机关运行经费安排情况</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财政拨款“三公”经费预算情况及增减变化原因</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绩效预算信息</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政府采购预算信息</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国有资产信息</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名词解释</w:t>
      </w:r>
    </w:p>
    <w:p>
      <w:pPr>
        <w:pStyle w:val="9"/>
        <w:numPr>
          <w:ilvl w:val="0"/>
          <w:numId w:val="2"/>
        </w:numPr>
        <w:spacing w:line="240" w:lineRule="atLeast"/>
        <w:ind w:firstLineChars="0"/>
        <w:rPr>
          <w:rFonts w:hint="eastAsia" w:ascii="仿宋" w:hAnsi="仿宋" w:eastAsia="仿宋"/>
          <w:b/>
          <w:sz w:val="32"/>
          <w:szCs w:val="32"/>
        </w:rPr>
      </w:pPr>
      <w:r>
        <w:rPr>
          <w:rFonts w:hint="eastAsia" w:ascii="仿宋" w:hAnsi="仿宋" w:eastAsia="仿宋"/>
          <w:b/>
          <w:sz w:val="32"/>
          <w:szCs w:val="32"/>
        </w:rPr>
        <w:t>其他需要说明的情况</w:t>
      </w:r>
    </w:p>
    <w:p>
      <w:pPr>
        <w:pStyle w:val="9"/>
        <w:spacing w:line="240" w:lineRule="atLeast"/>
        <w:ind w:left="418" w:firstLine="0" w:firstLineChars="0"/>
        <w:rPr>
          <w:rFonts w:hint="eastAsia" w:ascii="仿宋" w:hAnsi="仿宋" w:eastAsia="仿宋"/>
          <w:b/>
          <w:sz w:val="32"/>
          <w:szCs w:val="32"/>
        </w:rPr>
      </w:pPr>
      <w:r>
        <w:rPr>
          <w:rFonts w:hint="eastAsia" w:ascii="仿宋" w:hAnsi="仿宋" w:eastAsia="仿宋"/>
          <w:b/>
          <w:sz w:val="32"/>
          <w:szCs w:val="32"/>
        </w:rPr>
        <w:t>第三部分  2017年单位预算公开报表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单位预算收支总表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单位预算收入总表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单位预算支出总表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单位预算财政拨款收支总表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单位预算一般公共预算财政拨款支出表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单位预算一般公共预算财政拨款基本支出表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单位预算政府基金预算财政拨款支出表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单位预算国有资本经营预算财政拨款支出表</w:t>
      </w:r>
    </w:p>
    <w:p>
      <w:pPr>
        <w:pStyle w:val="9"/>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单位预算财政拨款“三公”经费支出表</w:t>
      </w:r>
    </w:p>
    <w:p>
      <w:pPr>
        <w:pStyle w:val="9"/>
        <w:ind w:left="1138" w:firstLine="0" w:firstLineChars="0"/>
        <w:rPr>
          <w:rFonts w:hint="eastAsia" w:ascii="仿宋" w:hAnsi="仿宋" w:eastAsia="仿宋" w:cs="宋体"/>
          <w:sz w:val="44"/>
          <w:szCs w:val="44"/>
        </w:rPr>
      </w:pPr>
    </w:p>
    <w:p>
      <w:pPr>
        <w:spacing w:line="360" w:lineRule="auto"/>
        <w:jc w:val="center"/>
        <w:rPr>
          <w:rFonts w:hint="eastAsia" w:ascii="宋体" w:hAnsi="宋体" w:cs="宋体"/>
          <w:sz w:val="44"/>
          <w:szCs w:val="44"/>
        </w:rPr>
      </w:pPr>
    </w:p>
    <w:p>
      <w:pPr>
        <w:spacing w:line="360" w:lineRule="auto"/>
        <w:jc w:val="center"/>
        <w:rPr>
          <w:rFonts w:hint="eastAsia" w:ascii="宋体" w:hAnsi="宋体" w:cs="宋体"/>
          <w:sz w:val="44"/>
          <w:szCs w:val="44"/>
        </w:rPr>
      </w:pPr>
    </w:p>
    <w:p>
      <w:pPr>
        <w:jc w:val="both"/>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pStyle w:val="7"/>
        <w:numPr>
          <w:ilvl w:val="0"/>
          <w:numId w:val="0"/>
        </w:numPr>
        <w:ind w:leftChars="0"/>
        <w:jc w:val="both"/>
        <w:rPr>
          <w:rFonts w:hint="eastAsia" w:ascii="仿宋" w:hAnsi="仿宋" w:eastAsia="仿宋" w:cs="仿宋"/>
          <w:sz w:val="44"/>
          <w:szCs w:val="44"/>
          <w:lang w:eastAsia="zh-CN"/>
        </w:rPr>
      </w:pPr>
      <w:bookmarkStart w:id="1" w:name="_GoBack"/>
      <w:bookmarkEnd w:id="1"/>
    </w:p>
    <w:p>
      <w:pPr>
        <w:pStyle w:val="7"/>
        <w:numPr>
          <w:ilvl w:val="0"/>
          <w:numId w:val="0"/>
        </w:numPr>
        <w:ind w:leftChars="0"/>
        <w:jc w:val="center"/>
        <w:rPr>
          <w:rFonts w:hint="eastAsia" w:ascii="仿宋" w:hAnsi="仿宋" w:eastAsia="仿宋" w:cs="仿宋"/>
          <w:sz w:val="44"/>
          <w:szCs w:val="44"/>
          <w:lang w:eastAsia="zh-CN"/>
        </w:rPr>
      </w:pPr>
    </w:p>
    <w:p>
      <w:pPr>
        <w:pStyle w:val="7"/>
        <w:numPr>
          <w:ilvl w:val="0"/>
          <w:numId w:val="0"/>
        </w:numPr>
        <w:ind w:leftChars="0"/>
        <w:jc w:val="center"/>
        <w:rPr>
          <w:rFonts w:hint="eastAsia" w:ascii="仿宋" w:hAnsi="仿宋" w:eastAsia="仿宋" w:cs="仿宋"/>
          <w:sz w:val="44"/>
          <w:szCs w:val="44"/>
        </w:rPr>
      </w:pPr>
      <w:r>
        <w:rPr>
          <w:rFonts w:hint="eastAsia" w:ascii="仿宋" w:hAnsi="仿宋" w:eastAsia="仿宋" w:cs="仿宋"/>
          <w:sz w:val="44"/>
          <w:szCs w:val="44"/>
          <w:lang w:eastAsia="zh-CN"/>
        </w:rPr>
        <w:t>公路</w:t>
      </w:r>
      <w:r>
        <w:rPr>
          <w:rFonts w:hint="eastAsia" w:ascii="仿宋" w:hAnsi="仿宋" w:eastAsia="仿宋" w:cs="仿宋"/>
          <w:sz w:val="44"/>
          <w:szCs w:val="44"/>
        </w:rPr>
        <w:t>路政</w:t>
      </w:r>
      <w:r>
        <w:rPr>
          <w:rFonts w:hint="eastAsia" w:ascii="仿宋" w:hAnsi="仿宋" w:eastAsia="仿宋" w:cs="仿宋"/>
          <w:sz w:val="44"/>
          <w:szCs w:val="44"/>
          <w:lang w:eastAsia="zh-CN"/>
        </w:rPr>
        <w:t>执法</w:t>
      </w:r>
      <w:r>
        <w:rPr>
          <w:rFonts w:hint="eastAsia" w:ascii="仿宋" w:hAnsi="仿宋" w:eastAsia="仿宋" w:cs="仿宋"/>
          <w:sz w:val="44"/>
          <w:szCs w:val="44"/>
        </w:rPr>
        <w:t>大队</w:t>
      </w:r>
    </w:p>
    <w:p>
      <w:pPr>
        <w:pStyle w:val="7"/>
        <w:numPr>
          <w:ilvl w:val="0"/>
          <w:numId w:val="0"/>
        </w:numPr>
        <w:ind w:leftChars="0"/>
        <w:jc w:val="center"/>
        <w:rPr>
          <w:rFonts w:hint="eastAsia" w:ascii="仿宋" w:hAnsi="仿宋" w:eastAsia="仿宋" w:cs="仿宋"/>
          <w:sz w:val="44"/>
          <w:szCs w:val="44"/>
        </w:rPr>
      </w:pPr>
      <w:r>
        <w:rPr>
          <w:rFonts w:hint="eastAsia" w:ascii="仿宋" w:hAnsi="仿宋" w:eastAsia="仿宋" w:cs="仿宋"/>
          <w:sz w:val="44"/>
          <w:szCs w:val="44"/>
          <w:lang w:val="en-US" w:eastAsia="zh-CN"/>
        </w:rPr>
        <w:t>2017年单位</w:t>
      </w:r>
      <w:r>
        <w:rPr>
          <w:rFonts w:hint="eastAsia" w:ascii="仿宋" w:hAnsi="仿宋" w:eastAsia="仿宋" w:cs="仿宋"/>
          <w:sz w:val="44"/>
          <w:szCs w:val="44"/>
        </w:rPr>
        <w:t>预算</w:t>
      </w:r>
      <w:r>
        <w:rPr>
          <w:rFonts w:hint="eastAsia" w:ascii="仿宋" w:hAnsi="仿宋" w:eastAsia="仿宋" w:cs="仿宋"/>
          <w:sz w:val="44"/>
          <w:szCs w:val="44"/>
          <w:lang w:eastAsia="zh-CN"/>
        </w:rPr>
        <w:t>信息</w:t>
      </w:r>
      <w:r>
        <w:rPr>
          <w:rFonts w:hint="eastAsia" w:ascii="仿宋" w:hAnsi="仿宋" w:eastAsia="仿宋" w:cs="仿宋"/>
          <w:sz w:val="44"/>
          <w:szCs w:val="44"/>
        </w:rPr>
        <w:t>公开</w:t>
      </w:r>
    </w:p>
    <w:p>
      <w:pPr>
        <w:keepNext w:val="0"/>
        <w:keepLines w:val="0"/>
        <w:pageBreakBefore w:val="0"/>
        <w:kinsoku/>
        <w:wordWrap/>
        <w:overflowPunct/>
        <w:topLinePunct w:val="0"/>
        <w:autoSpaceDE/>
        <w:autoSpaceDN/>
        <w:bidi w:val="0"/>
        <w:spacing w:after="200" w:line="360" w:lineRule="auto"/>
        <w:ind w:left="640" w:right="0" w:rightChars="0" w:hanging="640" w:hangingChars="200"/>
        <w:jc w:val="both"/>
        <w:textAlignment w:val="auto"/>
        <w:rPr>
          <w:rFonts w:hint="eastAsia" w:ascii="仿宋" w:hAnsi="仿宋" w:eastAsia="仿宋" w:cs="仿宋"/>
          <w:sz w:val="44"/>
          <w:szCs w:val="44"/>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按照《预算法》、《地方预决算公开操作规程》和《河北省省级预算公开办法》规定，现将</w:t>
      </w:r>
      <w:r>
        <w:rPr>
          <w:rFonts w:hint="eastAsia" w:ascii="仿宋" w:hAnsi="仿宋" w:eastAsia="仿宋" w:cs="仿宋"/>
          <w:sz w:val="32"/>
          <w:szCs w:val="32"/>
          <w:lang w:eastAsia="zh-CN"/>
        </w:rPr>
        <w:t>公路路政执法大队</w:t>
      </w:r>
      <w:r>
        <w:rPr>
          <w:rFonts w:hint="eastAsia" w:ascii="仿宋" w:hAnsi="仿宋" w:eastAsia="仿宋" w:cs="仿宋"/>
          <w:sz w:val="32"/>
          <w:szCs w:val="32"/>
        </w:rPr>
        <w:t>2017年单位预算公开如下：</w:t>
      </w:r>
    </w:p>
    <w:p>
      <w:pPr>
        <w:pStyle w:val="7"/>
        <w:keepNext w:val="0"/>
        <w:keepLines w:val="0"/>
        <w:pageBreakBefore w:val="0"/>
        <w:numPr>
          <w:ilvl w:val="0"/>
          <w:numId w:val="0"/>
        </w:numPr>
        <w:kinsoku/>
        <w:wordWrap/>
        <w:overflowPunct/>
        <w:topLinePunct w:val="0"/>
        <w:autoSpaceDE/>
        <w:autoSpaceDN/>
        <w:bidi w:val="0"/>
        <w:spacing w:after="200" w:line="360" w:lineRule="auto"/>
        <w:ind w:left="640" w:leftChars="0" w:right="0" w:rightChars="0" w:hanging="640" w:hangingChars="20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第一部分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w:t>
      </w:r>
      <w:r>
        <w:rPr>
          <w:rFonts w:hint="eastAsia" w:ascii="仿宋" w:hAnsi="仿宋" w:eastAsia="仿宋" w:cs="仿宋"/>
          <w:sz w:val="32"/>
          <w:szCs w:val="32"/>
        </w:rPr>
        <w:t>职责</w:t>
      </w:r>
      <w:r>
        <w:rPr>
          <w:rFonts w:hint="eastAsia" w:ascii="仿宋" w:hAnsi="仿宋" w:eastAsia="仿宋" w:cs="仿宋"/>
          <w:sz w:val="32"/>
          <w:szCs w:val="32"/>
          <w:lang w:eastAsia="zh-CN"/>
        </w:rPr>
        <w:t>及</w:t>
      </w:r>
      <w:r>
        <w:rPr>
          <w:rFonts w:hint="eastAsia" w:ascii="仿宋" w:hAnsi="仿宋" w:eastAsia="仿宋" w:cs="仿宋"/>
          <w:sz w:val="32"/>
          <w:szCs w:val="32"/>
        </w:rPr>
        <w:t>机构设置情况</w:t>
      </w:r>
    </w:p>
    <w:p>
      <w:pPr>
        <w:pStyle w:val="7"/>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sz w:val="32"/>
          <w:szCs w:val="32"/>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eastAsia="zh-CN"/>
        </w:rPr>
        <w:t>一、单位</w:t>
      </w:r>
      <w:r>
        <w:rPr>
          <w:rFonts w:hint="eastAsia" w:ascii="仿宋" w:hAnsi="仿宋" w:eastAsia="仿宋" w:cs="仿宋"/>
          <w:sz w:val="32"/>
          <w:szCs w:val="32"/>
        </w:rPr>
        <w:t>职责</w:t>
      </w:r>
    </w:p>
    <w:p>
      <w:pPr>
        <w:pStyle w:val="7"/>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以保护路产，维护路权，保证公路畅通为宗旨，组织实施有关公路路政管理的法律、法规和规章；负责管理保护公路、公路用地和分管范围内的公路辅助设施；依法在公路、建筑控制区内进行路政监督检查。</w:t>
      </w:r>
    </w:p>
    <w:p>
      <w:pPr>
        <w:keepNext w:val="0"/>
        <w:keepLines w:val="0"/>
        <w:pageBreakBefore w:val="0"/>
        <w:widowControl w:val="0"/>
        <w:kinsoku/>
        <w:wordWrap/>
        <w:overflowPunct/>
        <w:topLinePunct w:val="0"/>
        <w:autoSpaceDE/>
        <w:autoSpaceDN/>
        <w:bidi w:val="0"/>
        <w:adjustRightInd/>
        <w:snapToGrid/>
        <w:spacing w:after="200" w:line="360" w:lineRule="auto"/>
        <w:ind w:left="640" w:leftChars="0" w:right="0" w:rightChars="0" w:hanging="640" w:hangingChars="200"/>
        <w:jc w:val="both"/>
        <w:textAlignment w:val="auto"/>
        <w:outlineLvl w:val="9"/>
        <w:rPr>
          <w:rFonts w:hint="eastAsia" w:ascii="仿宋" w:hAnsi="仿宋" w:eastAsia="仿宋" w:cs="仿宋"/>
          <w:sz w:val="32"/>
          <w:szCs w:val="32"/>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机构设置</w:t>
      </w:r>
    </w:p>
    <w:p>
      <w:pPr>
        <w:keepNext w:val="0"/>
        <w:keepLines w:val="0"/>
        <w:pageBreakBefore w:val="0"/>
        <w:widowControl w:val="0"/>
        <w:kinsoku/>
        <w:wordWrap/>
        <w:overflowPunct/>
        <w:topLinePunct w:val="0"/>
        <w:autoSpaceDE/>
        <w:autoSpaceDN/>
        <w:bidi w:val="0"/>
        <w:adjustRightInd/>
        <w:snapToGrid/>
        <w:spacing w:after="200" w:line="360" w:lineRule="auto"/>
        <w:ind w:left="640" w:leftChars="0" w:right="0" w:rightChars="0" w:hanging="640" w:hangingChars="200"/>
        <w:jc w:val="both"/>
        <w:textAlignment w:val="auto"/>
        <w:outlineLvl w:val="9"/>
        <w:rPr>
          <w:rFonts w:hint="eastAsia" w:ascii="仿宋" w:hAnsi="仿宋" w:eastAsia="仿宋" w:cs="仿宋"/>
          <w:sz w:val="32"/>
          <w:szCs w:val="32"/>
        </w:rPr>
      </w:pPr>
      <w:r>
        <w:rPr>
          <w:rFonts w:hint="eastAsia" w:ascii="仿宋" w:hAnsi="仿宋" w:eastAsia="仿宋" w:cs="仿宋"/>
          <w:sz w:val="28"/>
          <w:szCs w:val="28"/>
          <w:lang w:val="en-US" w:eastAsia="zh-CN"/>
        </w:rPr>
        <w:t xml:space="preserve">        </w:t>
      </w:r>
      <w:r>
        <w:rPr>
          <w:rFonts w:hint="eastAsia" w:ascii="仿宋" w:hAnsi="仿宋" w:eastAsia="仿宋" w:cs="仿宋"/>
          <w:sz w:val="32"/>
          <w:szCs w:val="32"/>
        </w:rPr>
        <w:t>我单位内设6个科室，分别为办公室、财务科、证照处理中心、付庄子卸载站、沿海路卸载站、唐曹临时卸载站。</w:t>
      </w:r>
      <w:r>
        <w:rPr>
          <w:rFonts w:hint="eastAsia" w:ascii="仿宋" w:hAnsi="仿宋" w:eastAsia="仿宋" w:cs="仿宋"/>
          <w:color w:val="auto"/>
          <w:sz w:val="32"/>
          <w:szCs w:val="32"/>
          <w:lang w:eastAsia="zh-CN"/>
        </w:rPr>
        <w:t>我单位在编人员</w:t>
      </w:r>
      <w:r>
        <w:rPr>
          <w:rFonts w:hint="eastAsia" w:ascii="仿宋" w:hAnsi="仿宋" w:eastAsia="仿宋" w:cs="仿宋"/>
          <w:color w:val="auto"/>
          <w:sz w:val="32"/>
          <w:szCs w:val="32"/>
          <w:lang w:val="en-US" w:eastAsia="zh-CN"/>
        </w:rPr>
        <w:t>64人，其中：行政人员2人，事业人员62人。长期聘用人员39人，其中：人事代理1人，建勤工2人，协议工26人，临时工10人。</w:t>
      </w:r>
    </w:p>
    <w:p>
      <w:pPr>
        <w:pStyle w:val="7"/>
        <w:keepNext w:val="0"/>
        <w:keepLines w:val="0"/>
        <w:pageBreakBefore w:val="0"/>
        <w:numPr>
          <w:ilvl w:val="0"/>
          <w:numId w:val="0"/>
        </w:numPr>
        <w:kinsoku/>
        <w:wordWrap/>
        <w:overflowPunct/>
        <w:topLinePunct w:val="0"/>
        <w:autoSpaceDE/>
        <w:autoSpaceDN/>
        <w:bidi w:val="0"/>
        <w:spacing w:after="200" w:line="360" w:lineRule="auto"/>
        <w:ind w:left="640" w:leftChars="0" w:right="0" w:rightChars="0" w:hanging="640" w:hangingChars="20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第二部分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w:t>
      </w:r>
      <w:r>
        <w:rPr>
          <w:rFonts w:hint="eastAsia" w:ascii="仿宋" w:hAnsi="仿宋" w:eastAsia="仿宋" w:cs="仿宋"/>
          <w:sz w:val="32"/>
          <w:szCs w:val="32"/>
        </w:rPr>
        <w:t>预算安排总体情况</w:t>
      </w:r>
    </w:p>
    <w:p>
      <w:pPr>
        <w:pStyle w:val="7"/>
        <w:keepNext w:val="0"/>
        <w:keepLines w:val="0"/>
        <w:pageBreakBefore w:val="0"/>
        <w:numPr>
          <w:ilvl w:val="0"/>
          <w:numId w:val="0"/>
        </w:numPr>
        <w:tabs>
          <w:tab w:val="left" w:pos="267"/>
        </w:tabs>
        <w:kinsoku/>
        <w:wordWrap/>
        <w:overflowPunct/>
        <w:topLinePunct w:val="0"/>
        <w:autoSpaceDE/>
        <w:autoSpaceDN/>
        <w:bidi w:val="0"/>
        <w:spacing w:after="200" w:line="360" w:lineRule="auto"/>
        <w:ind w:left="640" w:leftChars="0" w:right="0" w:rightChars="0" w:hanging="640" w:hangingChars="200"/>
        <w:jc w:val="both"/>
        <w:textAlignment w:val="auto"/>
        <w:rPr>
          <w:rFonts w:hint="eastAsia" w:ascii="仿宋" w:hAnsi="仿宋" w:eastAsia="仿宋" w:cs="仿宋"/>
          <w:sz w:val="32"/>
          <w:szCs w:val="32"/>
          <w:lang w:eastAsia="zh-CN"/>
        </w:rPr>
      </w:pPr>
      <w:r>
        <w:rPr>
          <w:rFonts w:hint="eastAsia" w:ascii="仿宋" w:hAnsi="仿宋" w:eastAsia="仿宋" w:cs="仿宋"/>
          <w:sz w:val="28"/>
          <w:szCs w:val="28"/>
          <w:lang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eastAsia="zh-CN"/>
        </w:rPr>
        <w:t>一、收入说明</w:t>
      </w:r>
    </w:p>
    <w:p>
      <w:pPr>
        <w:pStyle w:val="7"/>
        <w:keepNext w:val="0"/>
        <w:keepLines w:val="0"/>
        <w:pageBreakBefore w:val="0"/>
        <w:numPr>
          <w:ilvl w:val="0"/>
          <w:numId w:val="0"/>
        </w:numPr>
        <w:tabs>
          <w:tab w:val="left" w:pos="267"/>
        </w:tabs>
        <w:kinsoku/>
        <w:wordWrap/>
        <w:overflowPunct/>
        <w:topLinePunct w:val="0"/>
        <w:autoSpaceDE/>
        <w:autoSpaceDN/>
        <w:bidi w:val="0"/>
        <w:spacing w:after="200" w:line="360" w:lineRule="auto"/>
        <w:ind w:left="640" w:leftChars="0" w:right="0" w:rightChars="0" w:hanging="640" w:hanging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我单位年初预算财政拨款收入总额（一般公共预算拨款）885.55万元</w:t>
      </w:r>
      <w:r>
        <w:rPr>
          <w:rFonts w:hint="eastAsia" w:ascii="仿宋" w:hAnsi="仿宋" w:eastAsia="仿宋" w:cs="仿宋"/>
          <w:sz w:val="32"/>
          <w:szCs w:val="32"/>
          <w:lang w:eastAsia="zh-CN"/>
        </w:rPr>
        <w:t>。</w:t>
      </w:r>
    </w:p>
    <w:p>
      <w:pPr>
        <w:pStyle w:val="7"/>
        <w:keepNext w:val="0"/>
        <w:keepLines w:val="0"/>
        <w:pageBreakBefore w:val="0"/>
        <w:numPr>
          <w:ilvl w:val="0"/>
          <w:numId w:val="0"/>
        </w:numPr>
        <w:tabs>
          <w:tab w:val="left" w:pos="267"/>
        </w:tabs>
        <w:kinsoku/>
        <w:wordWrap/>
        <w:overflowPunct/>
        <w:topLinePunct w:val="0"/>
        <w:autoSpaceDE/>
        <w:autoSpaceDN/>
        <w:bidi w:val="0"/>
        <w:spacing w:after="200" w:line="360" w:lineRule="auto"/>
        <w:ind w:left="640" w:leftChars="0" w:right="0" w:rightChars="0" w:hanging="640" w:hanging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二、支出说明</w:t>
      </w:r>
    </w:p>
    <w:p>
      <w:pPr>
        <w:pStyle w:val="7"/>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预算支出总额885.55万元，其中基本支出（人员经费）885.55万元。</w:t>
      </w:r>
    </w:p>
    <w:p>
      <w:pPr>
        <w:keepNext w:val="0"/>
        <w:keepLines w:val="0"/>
        <w:pageBreakBefore w:val="0"/>
        <w:numPr>
          <w:numId w:val="0"/>
        </w:numPr>
        <w:kinsoku/>
        <w:wordWrap/>
        <w:overflowPunct/>
        <w:topLinePunct w:val="0"/>
        <w:autoSpaceDE/>
        <w:autoSpaceDN/>
        <w:bidi w:val="0"/>
        <w:spacing w:after="200" w:line="360" w:lineRule="auto"/>
        <w:ind w:leftChars="-20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w:t>
      </w:r>
      <w:r>
        <w:rPr>
          <w:rFonts w:hint="eastAsia" w:ascii="仿宋" w:hAnsi="仿宋" w:eastAsia="仿宋" w:cs="仿宋"/>
          <w:sz w:val="32"/>
          <w:szCs w:val="32"/>
        </w:rPr>
        <w:t>比上年增减情况</w:t>
      </w:r>
    </w:p>
    <w:p>
      <w:pPr>
        <w:keepNext w:val="0"/>
        <w:keepLines w:val="0"/>
        <w:pageBreakBefore w:val="0"/>
        <w:kinsoku/>
        <w:wordWrap/>
        <w:overflowPunct/>
        <w:topLinePunct w:val="0"/>
        <w:autoSpaceDE/>
        <w:autoSpaceDN/>
        <w:bidi w:val="0"/>
        <w:spacing w:after="200" w:line="360" w:lineRule="auto"/>
        <w:ind w:left="640" w:right="0" w:rightChars="0" w:hanging="640" w:hanging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2017年预算收支安排</w:t>
      </w:r>
      <w:r>
        <w:rPr>
          <w:rFonts w:hint="eastAsia" w:ascii="仿宋" w:hAnsi="仿宋" w:eastAsia="仿宋" w:cs="仿宋"/>
          <w:sz w:val="32"/>
          <w:szCs w:val="32"/>
          <w:lang w:val="en-US" w:eastAsia="zh-CN"/>
        </w:rPr>
        <w:t>885.55</w:t>
      </w:r>
      <w:r>
        <w:rPr>
          <w:rFonts w:hint="eastAsia" w:ascii="仿宋" w:hAnsi="仿宋" w:eastAsia="仿宋" w:cs="仿宋"/>
          <w:sz w:val="32"/>
          <w:szCs w:val="32"/>
        </w:rPr>
        <w:t>万元，较2016年度预算安排</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89.35</w:t>
      </w:r>
      <w:r>
        <w:rPr>
          <w:rFonts w:hint="eastAsia" w:ascii="仿宋" w:hAnsi="仿宋" w:eastAsia="仿宋" w:cs="仿宋"/>
          <w:sz w:val="32"/>
          <w:szCs w:val="32"/>
        </w:rPr>
        <w:t>万元，主要是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after="200" w:line="360" w:lineRule="auto"/>
        <w:ind w:left="640" w:right="0" w:rightChars="0" w:hanging="640" w:hanging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w:t>
      </w:r>
      <w:r>
        <w:rPr>
          <w:rFonts w:hint="eastAsia" w:ascii="仿宋" w:hAnsi="仿宋" w:eastAsia="仿宋" w:cs="仿宋"/>
          <w:sz w:val="32"/>
          <w:szCs w:val="32"/>
        </w:rPr>
        <w:t>、机关运行经费安排情况</w:t>
      </w:r>
    </w:p>
    <w:p>
      <w:pPr>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我单位年初预算只安排财政拨款一般公共预算拨款基本</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支出人员经费支出，未安排部门日常公用经费。</w:t>
      </w:r>
    </w:p>
    <w:p>
      <w:pPr>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五</w:t>
      </w:r>
      <w:r>
        <w:rPr>
          <w:rFonts w:hint="eastAsia" w:ascii="仿宋" w:hAnsi="仿宋" w:eastAsia="仿宋" w:cs="仿宋"/>
          <w:sz w:val="32"/>
          <w:szCs w:val="32"/>
        </w:rPr>
        <w:t>、财政拨款“三公”经费预算情况</w:t>
      </w:r>
    </w:p>
    <w:p>
      <w:pPr>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我单位年初预算无一般公共预算财政补助拨款、政府性基金财政拨款及国有资本经营预算财政拨款“三公”经费支出，即</w:t>
      </w:r>
      <w:r>
        <w:rPr>
          <w:rFonts w:hint="eastAsia" w:ascii="仿宋" w:hAnsi="仿宋" w:eastAsia="仿宋" w:cs="仿宋"/>
          <w:color w:val="000000"/>
          <w:kern w:val="0"/>
          <w:sz w:val="32"/>
          <w:szCs w:val="32"/>
        </w:rPr>
        <w:t>因公出国（境）0万元，公务用车购置费及运行费0万元，公务接待费0万元，与2016年年初“三公”经费预算数0万元相比持平</w:t>
      </w:r>
      <w:r>
        <w:rPr>
          <w:rFonts w:hint="eastAsia" w:ascii="仿宋" w:hAnsi="仿宋" w:eastAsia="仿宋" w:cs="仿宋"/>
          <w:color w:val="000000"/>
          <w:kern w:val="0"/>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六</w:t>
      </w:r>
      <w:r>
        <w:rPr>
          <w:rFonts w:hint="eastAsia" w:ascii="仿宋" w:hAnsi="仿宋" w:eastAsia="仿宋" w:cs="仿宋"/>
          <w:sz w:val="32"/>
          <w:szCs w:val="32"/>
        </w:rPr>
        <w:t>、绩效预算信息</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w:t>
      </w:r>
      <w:r>
        <w:rPr>
          <w:rFonts w:hint="eastAsia" w:ascii="仿宋" w:hAnsi="仿宋" w:eastAsia="仿宋" w:cs="仿宋"/>
          <w:sz w:val="32"/>
          <w:szCs w:val="32"/>
        </w:rPr>
        <w:t>总体绩效目标</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2017年，我队将继续围绕行业工作目标开展工作，严格依照全国统一货车限载新标准，加大对货车非法改装行为的打击力度，从源头预防和遏制货车违法超限超载运输行为，狠抓超限运输治理。按照省、市、区关于治理超限超载工作的总体要求，以治超站位依托，根据全区公路状况，不断加大路政执法力度，对205国道、唐曹公路、唐港线、丰碱线等重点路线实行24小时不间断执法，切实加大超限运输治理的密度、频度和强度，重点对避站绕行、短途驳载等情况较严重路段进行集中整治，遏制我区超限运输势头。</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责分类绩效目标：以保护路产，维护路权，保证公路畅通为宗旨，组织实施有关公路路政管理的法律、法规和规章；负责管理保护公路、公路用地和分管范围内的公路辅助设施；依法在公路、建筑控制区内进行路政监督检查。</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sz w:val="32"/>
          <w:szCs w:val="32"/>
        </w:rPr>
        <w:t>单位职责及工作活动绩效目标指标</w:t>
      </w:r>
    </w:p>
    <w:p>
      <w:pPr>
        <w:spacing w:line="360" w:lineRule="auto"/>
        <w:ind w:firstLine="840" w:firstLineChars="300"/>
        <w:rPr>
          <w:rFonts w:hint="eastAsia" w:ascii="仿宋" w:hAnsi="仿宋" w:eastAsia="仿宋" w:cs="仿宋"/>
          <w:sz w:val="32"/>
          <w:szCs w:val="32"/>
        </w:rPr>
      </w:pPr>
    </w:p>
    <w:p>
      <w:pPr>
        <w:spacing w:line="360" w:lineRule="auto"/>
        <w:ind w:firstLine="560"/>
        <w:rPr>
          <w:rFonts w:hint="eastAsia" w:ascii="仿宋" w:hAnsi="仿宋" w:eastAsia="仿宋" w:cs="仿宋"/>
          <w:sz w:val="32"/>
          <w:szCs w:val="32"/>
        </w:rPr>
      </w:pPr>
    </w:p>
    <w:p>
      <w:pPr>
        <w:spacing w:line="360" w:lineRule="auto"/>
        <w:rPr>
          <w:rFonts w:hint="eastAsia" w:ascii="仿宋" w:hAnsi="仿宋" w:eastAsia="仿宋" w:cs="仿宋"/>
          <w:sz w:val="32"/>
          <w:szCs w:val="32"/>
        </w:rPr>
        <w:sectPr>
          <w:footerReference r:id="rId3" w:type="default"/>
          <w:pgSz w:w="11907" w:h="16839"/>
          <w:pgMar w:top="1440" w:right="1080" w:bottom="1440" w:left="1080" w:header="851" w:footer="992" w:gutter="0"/>
          <w:cols w:space="425" w:num="1"/>
          <w:docGrid w:type="lines" w:linePitch="312" w:charSpace="0"/>
        </w:sectPr>
      </w:pPr>
    </w:p>
    <w:p>
      <w:pPr>
        <w:spacing w:line="360" w:lineRule="auto"/>
        <w:jc w:val="center"/>
        <w:outlineLvl w:val="0"/>
        <w:rPr>
          <w:rFonts w:hint="eastAsia" w:ascii="仿宋" w:hAnsi="仿宋" w:eastAsia="仿宋" w:cs="仿宋"/>
          <w:sz w:val="28"/>
          <w:szCs w:val="28"/>
        </w:rPr>
      </w:pPr>
      <w:bookmarkStart w:id="0" w:name="_Toc474138653"/>
      <w:r>
        <w:rPr>
          <w:rFonts w:hint="eastAsia" w:ascii="仿宋" w:hAnsi="仿宋" w:eastAsia="仿宋" w:cs="仿宋"/>
          <w:sz w:val="28"/>
          <w:szCs w:val="28"/>
          <w:lang w:eastAsia="zh-CN"/>
        </w:rPr>
        <w:t>单位</w:t>
      </w:r>
      <w:r>
        <w:rPr>
          <w:rFonts w:hint="eastAsia" w:ascii="仿宋" w:hAnsi="仿宋" w:eastAsia="仿宋" w:cs="仿宋"/>
          <w:sz w:val="28"/>
          <w:szCs w:val="28"/>
        </w:rPr>
        <w:t>职责-工作活动绩效目标</w:t>
      </w:r>
      <w:bookmarkEnd w:id="0"/>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343"/>
        <w:gridCol w:w="2909"/>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433004丰南区公路路政执法大队</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60" w:lineRule="auto"/>
              <w:jc w:val="right"/>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职责活动</w:t>
            </w:r>
          </w:p>
        </w:tc>
        <w:tc>
          <w:tcPr>
            <w:tcW w:w="1343"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年度预算数</w:t>
            </w:r>
          </w:p>
        </w:tc>
        <w:tc>
          <w:tcPr>
            <w:tcW w:w="2909"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内容描述</w:t>
            </w:r>
          </w:p>
        </w:tc>
        <w:tc>
          <w:tcPr>
            <w:tcW w:w="2976"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绩效目标</w:t>
            </w:r>
          </w:p>
        </w:tc>
        <w:tc>
          <w:tcPr>
            <w:tcW w:w="1417"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绩效指标</w:t>
            </w:r>
          </w:p>
        </w:tc>
        <w:tc>
          <w:tcPr>
            <w:tcW w:w="2948" w:type="dxa"/>
            <w:gridSpan w:val="4"/>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6" w:hRule="atLeast"/>
          <w:tblHeader/>
          <w:jc w:val="center"/>
        </w:trPr>
        <w:tc>
          <w:tcPr>
            <w:tcW w:w="2341"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1343"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2909"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2976"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1417"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优</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良</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中</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　　公路管理</w:t>
            </w:r>
          </w:p>
        </w:tc>
        <w:tc>
          <w:tcPr>
            <w:tcW w:w="1343" w:type="dxa"/>
            <w:vMerge w:val="restart"/>
            <w:shd w:val="clear" w:color="auto" w:fill="auto"/>
            <w:vAlign w:val="center"/>
          </w:tcPr>
          <w:p>
            <w:pPr>
              <w:spacing w:line="360" w:lineRule="auto"/>
              <w:rPr>
                <w:rFonts w:hint="eastAsia" w:ascii="仿宋" w:hAnsi="仿宋" w:eastAsia="仿宋" w:cs="仿宋"/>
                <w:sz w:val="28"/>
                <w:szCs w:val="28"/>
              </w:rPr>
            </w:pPr>
          </w:p>
        </w:tc>
        <w:tc>
          <w:tcPr>
            <w:tcW w:w="2909" w:type="dxa"/>
            <w:vMerge w:val="restart"/>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对公路建设、养护、运营及路政、治理超限超载进行管理。依法行使公路方面行政处罚权，对公路超限治理进行监督管理。</w:t>
            </w:r>
          </w:p>
        </w:tc>
        <w:tc>
          <w:tcPr>
            <w:tcW w:w="2976" w:type="dxa"/>
            <w:vMerge w:val="restart"/>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提高公路运行能力，缓解繁忙路段交通压力；维护路产路权，治理超限运输，保障通行能力，提高服务水平</w:t>
            </w:r>
          </w:p>
        </w:tc>
        <w:tc>
          <w:tcPr>
            <w:tcW w:w="1417" w:type="dxa"/>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超限超载率</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&lt;2.5%</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&lt;3%</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&lt;3.5%</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89" w:hRule="atLeast"/>
          <w:jc w:val="center"/>
        </w:trPr>
        <w:tc>
          <w:tcPr>
            <w:tcW w:w="2341" w:type="dxa"/>
            <w:vMerge w:val="continue"/>
            <w:shd w:val="clear" w:color="auto" w:fill="auto"/>
            <w:vAlign w:val="center"/>
          </w:tcPr>
          <w:p>
            <w:pPr>
              <w:spacing w:line="360" w:lineRule="auto"/>
              <w:rPr>
                <w:rFonts w:hint="eastAsia" w:ascii="仿宋" w:hAnsi="仿宋" w:eastAsia="仿宋" w:cs="仿宋"/>
                <w:sz w:val="28"/>
                <w:szCs w:val="28"/>
              </w:rPr>
            </w:pPr>
          </w:p>
        </w:tc>
        <w:tc>
          <w:tcPr>
            <w:tcW w:w="1343" w:type="dxa"/>
            <w:vMerge w:val="continue"/>
            <w:shd w:val="clear" w:color="auto" w:fill="auto"/>
            <w:vAlign w:val="center"/>
          </w:tcPr>
          <w:p>
            <w:pPr>
              <w:spacing w:line="360" w:lineRule="auto"/>
              <w:rPr>
                <w:rFonts w:hint="eastAsia" w:ascii="仿宋" w:hAnsi="仿宋" w:eastAsia="仿宋" w:cs="仿宋"/>
                <w:sz w:val="28"/>
                <w:szCs w:val="28"/>
              </w:rPr>
            </w:pPr>
          </w:p>
        </w:tc>
        <w:tc>
          <w:tcPr>
            <w:tcW w:w="2909" w:type="dxa"/>
            <w:vMerge w:val="continue"/>
            <w:shd w:val="clear" w:color="auto" w:fill="auto"/>
            <w:vAlign w:val="center"/>
          </w:tcPr>
          <w:p>
            <w:pPr>
              <w:spacing w:line="360" w:lineRule="auto"/>
              <w:rPr>
                <w:rFonts w:hint="eastAsia" w:ascii="仿宋" w:hAnsi="仿宋" w:eastAsia="仿宋" w:cs="仿宋"/>
                <w:sz w:val="28"/>
                <w:szCs w:val="28"/>
              </w:rPr>
            </w:pPr>
          </w:p>
        </w:tc>
        <w:tc>
          <w:tcPr>
            <w:tcW w:w="2976" w:type="dxa"/>
            <w:vMerge w:val="continue"/>
            <w:shd w:val="clear" w:color="auto" w:fill="auto"/>
            <w:vAlign w:val="center"/>
          </w:tcPr>
          <w:p>
            <w:pPr>
              <w:spacing w:line="360" w:lineRule="auto"/>
              <w:rPr>
                <w:rFonts w:hint="eastAsia" w:ascii="仿宋" w:hAnsi="仿宋" w:eastAsia="仿宋" w:cs="仿宋"/>
                <w:sz w:val="28"/>
                <w:szCs w:val="28"/>
              </w:rPr>
            </w:pPr>
          </w:p>
        </w:tc>
        <w:tc>
          <w:tcPr>
            <w:tcW w:w="1417" w:type="dxa"/>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行政处罚事项完成率</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100%</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≥95%</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≥90%</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&lt;90%</w:t>
            </w:r>
          </w:p>
        </w:tc>
      </w:tr>
    </w:tbl>
    <w:p>
      <w:pPr>
        <w:spacing w:line="360" w:lineRule="auto"/>
        <w:outlineLvl w:val="0"/>
        <w:rPr>
          <w:rFonts w:hint="eastAsia" w:ascii="仿宋" w:hAnsi="仿宋" w:eastAsia="仿宋" w:cs="仿宋"/>
          <w:sz w:val="28"/>
          <w:szCs w:val="28"/>
        </w:rPr>
        <w:sectPr>
          <w:pgSz w:w="16839" w:h="11907" w:orient="landscape"/>
          <w:pgMar w:top="1440" w:right="1080" w:bottom="1440" w:left="108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、政府采购预算</w:t>
      </w:r>
      <w:r>
        <w:rPr>
          <w:rFonts w:hint="eastAsia" w:ascii="仿宋" w:hAnsi="仿宋" w:eastAsia="仿宋" w:cs="仿宋"/>
          <w:sz w:val="28"/>
          <w:szCs w:val="28"/>
          <w:lang w:eastAsia="zh-CN"/>
        </w:rPr>
        <w:t>信息</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我单位年初未安排政府采购预算，无采购项目、采购物品、采购数量及采购金额。</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八</w:t>
      </w:r>
      <w:r>
        <w:rPr>
          <w:rFonts w:hint="eastAsia" w:ascii="仿宋" w:hAnsi="仿宋" w:eastAsia="仿宋" w:cs="仿宋"/>
          <w:sz w:val="28"/>
          <w:szCs w:val="28"/>
        </w:rPr>
        <w:t>、国有资产信息</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2016年末我单位固定资产总额996.13万元，其中：房屋12241.18平方米（其中：征费站大楼2440.45平方米，付庄子卸载站5334.06平方米，沿海路卸载站4466.67平方米）价值779.01万元；车辆15辆，价值122.27万元；其他固定资产价值94.85万元。国有资产拟购置情况：我单位年初未安排国有资产预算，无固定资产拟购置情况。</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九</w:t>
      </w:r>
      <w:r>
        <w:rPr>
          <w:rFonts w:hint="eastAsia" w:ascii="仿宋" w:hAnsi="仿宋" w:eastAsia="仿宋" w:cs="仿宋"/>
          <w:sz w:val="28"/>
          <w:szCs w:val="28"/>
        </w:rPr>
        <w:t>、名词解释</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1、一般公共财政预算收入是指政府凭借国家政治权力，以社会管理者身份筹集以税收为主体的财政收入，主要用于保障和改善民生、维持国家行政职能正常运转、保障国家安全等方面。</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2、基本支出是指行政事业单位为保障其机构正常运转、完成日常工作任务而编制的年度基本支出计划，内容包括人员经费和日常公用经费两部分。</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3、项目支出是指行政事业单位为完成特定的工作任务或事业发展目标，在基本的预算支出以外，财政预算专款安排的支出。</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color w:val="333333"/>
          <w:sz w:val="28"/>
          <w:szCs w:val="28"/>
          <w:shd w:val="clear" w:color="auto" w:fill="FFFFFF"/>
        </w:rPr>
      </w:pPr>
      <w:r>
        <w:rPr>
          <w:rFonts w:hint="eastAsia" w:ascii="仿宋" w:hAnsi="仿宋" w:eastAsia="仿宋" w:cs="仿宋"/>
          <w:color w:val="000000"/>
          <w:sz w:val="28"/>
          <w:szCs w:val="28"/>
        </w:rPr>
        <w:t>4、三公经费</w:t>
      </w:r>
      <w:r>
        <w:rPr>
          <w:rFonts w:hint="eastAsia" w:ascii="仿宋" w:hAnsi="仿宋" w:eastAsia="仿宋" w:cs="仿宋"/>
          <w:color w:val="333333"/>
          <w:sz w:val="28"/>
          <w:szCs w:val="28"/>
          <w:shd w:val="clear" w:color="auto" w:fill="FFFFFF"/>
        </w:rPr>
        <w:t>是指政府部门人员因公出国（境）经费、</w:t>
      </w:r>
      <w:r>
        <w:rPr>
          <w:rFonts w:hint="eastAsia" w:ascii="仿宋" w:hAnsi="仿宋" w:eastAsia="仿宋" w:cs="仿宋"/>
          <w:color w:val="000000" w:themeColor="text1"/>
          <w:sz w:val="28"/>
          <w:szCs w:val="28"/>
          <w:shd w:val="clear" w:color="auto" w:fill="FFFFFF"/>
        </w:rPr>
        <w:t>公务车</w:t>
      </w:r>
      <w:r>
        <w:rPr>
          <w:rFonts w:hint="eastAsia" w:ascii="仿宋" w:hAnsi="仿宋" w:eastAsia="仿宋" w:cs="仿宋"/>
          <w:color w:val="333333"/>
          <w:sz w:val="28"/>
          <w:szCs w:val="28"/>
          <w:shd w:val="clear" w:color="auto" w:fill="FFFFFF"/>
        </w:rPr>
        <w:t>购置及运行费、公务招待费产生的费用。</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    5、机关运行经费是指行政单位和参照公务员法管理的事业单位使用一般公共预算财政拨款安排的基本支出中的日常公用经费支出。</w:t>
      </w:r>
    </w:p>
    <w:p>
      <w:pPr>
        <w:pStyle w:val="3"/>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lang w:eastAsia="zh-CN"/>
        </w:rPr>
        <w:t>十</w:t>
      </w:r>
      <w:r>
        <w:rPr>
          <w:rFonts w:hint="eastAsia" w:ascii="仿宋" w:hAnsi="仿宋" w:eastAsia="仿宋" w:cs="仿宋"/>
          <w:color w:val="333333"/>
          <w:sz w:val="28"/>
          <w:szCs w:val="28"/>
          <w:shd w:val="clear" w:color="auto" w:fill="FFFFFF"/>
        </w:rPr>
        <w:t>、其他需</w:t>
      </w:r>
      <w:r>
        <w:rPr>
          <w:rFonts w:hint="eastAsia" w:ascii="仿宋" w:hAnsi="仿宋" w:eastAsia="仿宋" w:cs="仿宋"/>
          <w:color w:val="333333"/>
          <w:sz w:val="28"/>
          <w:szCs w:val="28"/>
          <w:shd w:val="clear" w:color="auto" w:fill="FFFFFF"/>
          <w:lang w:eastAsia="zh-CN"/>
        </w:rPr>
        <w:t>要</w:t>
      </w:r>
      <w:r>
        <w:rPr>
          <w:rFonts w:hint="eastAsia" w:ascii="仿宋" w:hAnsi="仿宋" w:eastAsia="仿宋" w:cs="仿宋"/>
          <w:color w:val="333333"/>
          <w:sz w:val="28"/>
          <w:szCs w:val="28"/>
          <w:shd w:val="clear" w:color="auto" w:fill="FFFFFF"/>
        </w:rPr>
        <w:t>说明的</w:t>
      </w:r>
      <w:r>
        <w:rPr>
          <w:rFonts w:hint="eastAsia" w:ascii="仿宋" w:hAnsi="仿宋" w:eastAsia="仿宋" w:cs="仿宋"/>
          <w:color w:val="333333"/>
          <w:sz w:val="28"/>
          <w:szCs w:val="28"/>
          <w:shd w:val="clear" w:color="auto" w:fill="FFFFFF"/>
          <w:lang w:eastAsia="zh-CN"/>
        </w:rPr>
        <w:t>情况</w:t>
      </w:r>
    </w:p>
    <w:p>
      <w:pPr>
        <w:keepNext w:val="0"/>
        <w:keepLines w:val="0"/>
        <w:pageBreakBefore w:val="0"/>
        <w:widowControl/>
        <w:kinsoku/>
        <w:wordWrap/>
        <w:overflowPunct/>
        <w:topLinePunct w:val="0"/>
        <w:autoSpaceDE/>
        <w:autoSpaceDN/>
        <w:bidi w:val="0"/>
        <w:spacing w:after="0" w:line="360" w:lineRule="auto"/>
        <w:ind w:left="560" w:leftChars="0" w:right="0" w:rightChars="0" w:hanging="560" w:hanging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color w:val="333333"/>
          <w:sz w:val="32"/>
          <w:szCs w:val="32"/>
          <w:shd w:val="clear" w:color="auto" w:fill="FFFFFF"/>
        </w:rPr>
        <w:t>2017年度我单位未安排政府性基金预算及国有资本经营预算情况。</w:t>
      </w:r>
    </w:p>
    <w:sectPr>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9593F"/>
    <w:multiLevelType w:val="multilevel"/>
    <w:tmpl w:val="3BB9593F"/>
    <w:lvl w:ilvl="0" w:tentative="0">
      <w:start w:val="1"/>
      <w:numFmt w:val="japaneseCounting"/>
      <w:lvlText w:val="%1、"/>
      <w:lvlJc w:val="left"/>
      <w:pPr>
        <w:ind w:left="1138"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
    <w:nsid w:val="753665CA"/>
    <w:multiLevelType w:val="multilevel"/>
    <w:tmpl w:val="753665CA"/>
    <w:lvl w:ilvl="0" w:tentative="0">
      <w:start w:val="1"/>
      <w:numFmt w:val="japaneseCounting"/>
      <w:lvlText w:val="%1、"/>
      <w:lvlJc w:val="left"/>
      <w:pPr>
        <w:ind w:left="1138"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2">
    <w:nsid w:val="76C9406D"/>
    <w:multiLevelType w:val="multilevel"/>
    <w:tmpl w:val="76C9406D"/>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959F0"/>
    <w:rsid w:val="000A2D25"/>
    <w:rsid w:val="00124937"/>
    <w:rsid w:val="00141CD8"/>
    <w:rsid w:val="00171A8E"/>
    <w:rsid w:val="00195E16"/>
    <w:rsid w:val="001B31C4"/>
    <w:rsid w:val="002404CF"/>
    <w:rsid w:val="0025019C"/>
    <w:rsid w:val="00323B43"/>
    <w:rsid w:val="003D37D8"/>
    <w:rsid w:val="003E3D47"/>
    <w:rsid w:val="004211F0"/>
    <w:rsid w:val="004358AB"/>
    <w:rsid w:val="00480267"/>
    <w:rsid w:val="00506B77"/>
    <w:rsid w:val="00555284"/>
    <w:rsid w:val="005959F0"/>
    <w:rsid w:val="005F1020"/>
    <w:rsid w:val="00750280"/>
    <w:rsid w:val="007D0175"/>
    <w:rsid w:val="008278CB"/>
    <w:rsid w:val="008A0A63"/>
    <w:rsid w:val="008B7726"/>
    <w:rsid w:val="008E4216"/>
    <w:rsid w:val="009326AD"/>
    <w:rsid w:val="009967F1"/>
    <w:rsid w:val="009B7C96"/>
    <w:rsid w:val="009F16E7"/>
    <w:rsid w:val="00A057CC"/>
    <w:rsid w:val="00A22D05"/>
    <w:rsid w:val="00A51810"/>
    <w:rsid w:val="00A72704"/>
    <w:rsid w:val="00A82548"/>
    <w:rsid w:val="00B510E2"/>
    <w:rsid w:val="00BF0A30"/>
    <w:rsid w:val="00C04EA8"/>
    <w:rsid w:val="00C20320"/>
    <w:rsid w:val="00C620C5"/>
    <w:rsid w:val="00C82D3B"/>
    <w:rsid w:val="00D37125"/>
    <w:rsid w:val="00D86C03"/>
    <w:rsid w:val="00DA18FB"/>
    <w:rsid w:val="00DC4A34"/>
    <w:rsid w:val="00DD62ED"/>
    <w:rsid w:val="00F50F9A"/>
    <w:rsid w:val="00F829A8"/>
    <w:rsid w:val="00FB166E"/>
    <w:rsid w:val="00FD21FA"/>
    <w:rsid w:val="1E746FAA"/>
    <w:rsid w:val="48060674"/>
    <w:rsid w:val="5E795249"/>
    <w:rsid w:val="5F230897"/>
    <w:rsid w:val="70E95DB8"/>
    <w:rsid w:val="740E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Normal (Web)"/>
    <w:basedOn w:val="1"/>
    <w:qFormat/>
    <w:uiPriority w:val="0"/>
    <w:pPr>
      <w:widowControl w:val="0"/>
      <w:adjustRightInd/>
      <w:snapToGrid/>
      <w:spacing w:after="0"/>
    </w:pPr>
    <w:rPr>
      <w:rFonts w:cs="Times New Roman" w:asciiTheme="minorHAnsi" w:hAnsiTheme="minorHAnsi" w:eastAsiaTheme="minorEastAsia"/>
      <w:sz w:val="24"/>
      <w:szCs w:val="24"/>
    </w:rPr>
  </w:style>
  <w:style w:type="character" w:styleId="5">
    <w:name w:val="page number"/>
    <w:basedOn w:val="4"/>
    <w:qFormat/>
    <w:uiPriority w:val="0"/>
  </w:style>
  <w:style w:type="paragraph" w:customStyle="1" w:styleId="7">
    <w:name w:val="List Paragraph"/>
    <w:basedOn w:val="1"/>
    <w:qFormat/>
    <w:uiPriority w:val="34"/>
    <w:pPr>
      <w:ind w:firstLine="420" w:firstLineChars="200"/>
    </w:pPr>
  </w:style>
  <w:style w:type="character" w:customStyle="1" w:styleId="8">
    <w:name w:val="页脚 Char"/>
    <w:basedOn w:val="4"/>
    <w:link w:val="2"/>
    <w:qFormat/>
    <w:uiPriority w:val="0"/>
    <w:rPr>
      <w:rFonts w:eastAsiaTheme="minorEastAsia"/>
      <w:kern w:val="2"/>
      <w:sz w:val="18"/>
      <w:szCs w:val="18"/>
    </w:rPr>
  </w:style>
  <w:style w:type="paragraph" w:customStyle="1" w:styleId="9">
    <w:name w:val="_Style 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1295C-0E2B-4D56-86E2-1EB5FB259C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268</Words>
  <Characters>1534</Characters>
  <Lines>12</Lines>
  <Paragraphs>3</Paragraphs>
  <ScaleCrop>false</ScaleCrop>
  <LinksUpToDate>false</LinksUpToDate>
  <CharactersWithSpaces>1799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2017-03-20T02:48:00Z</dcterms:created>
  <dc:creator>Administrator</dc:creator>
  <cp:lastModifiedBy>Administrator</cp:lastModifiedBy>
  <cp:lastPrinted>2017-03-22T00:44:00Z</cp:lastPrinted>
  <dcterms:modified xsi:type="dcterms:W3CDTF">2017-06-06T02:15:16Z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