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45" w:rsidRDefault="00610E45">
      <w:pPr>
        <w:jc w:val="center"/>
        <w:rPr>
          <w:rFonts w:ascii="仿宋" w:eastAsia="仿宋" w:hAnsi="仿宋"/>
          <w:b/>
          <w:sz w:val="72"/>
          <w:szCs w:val="72"/>
        </w:rPr>
      </w:pPr>
      <w:bookmarkStart w:id="0" w:name="_GoBack"/>
      <w:bookmarkEnd w:id="0"/>
    </w:p>
    <w:p w:rsidR="00610E45" w:rsidRDefault="00610E45">
      <w:pPr>
        <w:jc w:val="center"/>
        <w:rPr>
          <w:rFonts w:ascii="仿宋" w:eastAsia="仿宋" w:hAnsi="仿宋"/>
          <w:b/>
          <w:sz w:val="72"/>
          <w:szCs w:val="72"/>
        </w:rPr>
      </w:pPr>
    </w:p>
    <w:p w:rsidR="00610E45" w:rsidRDefault="00240CDB">
      <w:pPr>
        <w:jc w:val="center"/>
        <w:rPr>
          <w:rFonts w:ascii="黑体" w:eastAsia="黑体" w:hAnsi="黑体" w:cs="黑体"/>
          <w:b/>
          <w:sz w:val="72"/>
          <w:szCs w:val="72"/>
        </w:rPr>
      </w:pPr>
      <w:r>
        <w:rPr>
          <w:rFonts w:ascii="黑体" w:eastAsia="黑体" w:hAnsi="黑体" w:cs="黑体" w:hint="eastAsia"/>
          <w:b/>
          <w:sz w:val="72"/>
          <w:szCs w:val="72"/>
        </w:rPr>
        <w:t>2019年单位预算</w:t>
      </w:r>
    </w:p>
    <w:p w:rsidR="00610E45" w:rsidRDefault="00610E45">
      <w:pPr>
        <w:jc w:val="center"/>
        <w:rPr>
          <w:rFonts w:ascii="仿宋" w:eastAsia="仿宋" w:hAnsi="仿宋"/>
          <w:b/>
          <w:sz w:val="72"/>
          <w:szCs w:val="72"/>
        </w:rPr>
      </w:pPr>
    </w:p>
    <w:p w:rsidR="00610E45" w:rsidRDefault="00610E45">
      <w:pPr>
        <w:jc w:val="both"/>
        <w:rPr>
          <w:rFonts w:ascii="仿宋" w:eastAsia="仿宋" w:hAnsi="仿宋"/>
          <w:b/>
          <w:sz w:val="72"/>
          <w:szCs w:val="72"/>
        </w:rPr>
      </w:pPr>
    </w:p>
    <w:p w:rsidR="00610E45" w:rsidRDefault="00610E45">
      <w:pPr>
        <w:jc w:val="center"/>
        <w:rPr>
          <w:rFonts w:ascii="仿宋" w:eastAsia="仿宋" w:hAnsi="仿宋"/>
          <w:b/>
          <w:sz w:val="72"/>
          <w:szCs w:val="72"/>
        </w:rPr>
      </w:pPr>
    </w:p>
    <w:p w:rsidR="00610E45" w:rsidRDefault="00240CDB">
      <w:pPr>
        <w:jc w:val="center"/>
        <w:rPr>
          <w:rFonts w:ascii="黑体" w:eastAsia="黑体" w:hAnsi="黑体" w:cs="黑体"/>
          <w:b/>
          <w:sz w:val="32"/>
          <w:szCs w:val="32"/>
        </w:rPr>
      </w:pPr>
      <w:r>
        <w:rPr>
          <w:rFonts w:ascii="黑体" w:eastAsia="黑体" w:hAnsi="黑体" w:cs="黑体" w:hint="eastAsia"/>
          <w:b/>
          <w:sz w:val="32"/>
          <w:szCs w:val="32"/>
        </w:rPr>
        <w:t>唐山市丰南区交通运输综合执法大队</w:t>
      </w:r>
    </w:p>
    <w:p w:rsidR="00610E45" w:rsidRDefault="00610E45">
      <w:pPr>
        <w:jc w:val="center"/>
        <w:rPr>
          <w:rFonts w:ascii="黑体" w:eastAsia="黑体" w:hAnsi="黑体" w:cs="黑体"/>
          <w:b/>
          <w:sz w:val="32"/>
          <w:szCs w:val="32"/>
        </w:rPr>
      </w:pPr>
    </w:p>
    <w:p w:rsidR="00610E45" w:rsidRDefault="00610E45">
      <w:pPr>
        <w:jc w:val="center"/>
        <w:rPr>
          <w:rFonts w:ascii="黑体" w:eastAsia="黑体" w:hAnsi="黑体" w:cs="黑体"/>
          <w:b/>
          <w:sz w:val="32"/>
          <w:szCs w:val="32"/>
        </w:rPr>
      </w:pPr>
    </w:p>
    <w:p w:rsidR="00610E45" w:rsidRDefault="00610E45">
      <w:pPr>
        <w:jc w:val="both"/>
        <w:rPr>
          <w:rFonts w:ascii="黑体" w:eastAsia="黑体" w:hAnsi="黑体" w:cs="黑体"/>
          <w:b/>
          <w:sz w:val="32"/>
          <w:szCs w:val="32"/>
        </w:rPr>
      </w:pPr>
    </w:p>
    <w:p w:rsidR="00610E45" w:rsidRDefault="00610E45">
      <w:pPr>
        <w:jc w:val="center"/>
        <w:rPr>
          <w:rFonts w:ascii="黑体" w:eastAsia="黑体" w:hAnsi="黑体" w:cs="黑体"/>
          <w:b/>
          <w:sz w:val="32"/>
          <w:szCs w:val="32"/>
        </w:rPr>
      </w:pPr>
    </w:p>
    <w:p w:rsidR="00610E45" w:rsidRDefault="00610E45">
      <w:pPr>
        <w:jc w:val="center"/>
        <w:rPr>
          <w:rFonts w:ascii="黑体" w:eastAsia="黑体" w:hAnsi="黑体" w:cs="黑体"/>
          <w:b/>
          <w:sz w:val="32"/>
          <w:szCs w:val="32"/>
        </w:rPr>
      </w:pPr>
    </w:p>
    <w:p w:rsidR="00610E45" w:rsidRDefault="00610E45">
      <w:pPr>
        <w:jc w:val="center"/>
        <w:rPr>
          <w:rFonts w:ascii="黑体" w:eastAsia="黑体" w:hAnsi="黑体" w:cs="黑体"/>
          <w:b/>
          <w:sz w:val="32"/>
          <w:szCs w:val="32"/>
        </w:rPr>
      </w:pPr>
    </w:p>
    <w:p w:rsidR="00610E45" w:rsidRDefault="00610E45">
      <w:pPr>
        <w:jc w:val="center"/>
        <w:rPr>
          <w:rFonts w:ascii="黑体" w:eastAsia="黑体" w:hAnsi="黑体" w:cs="黑体"/>
          <w:b/>
          <w:sz w:val="32"/>
          <w:szCs w:val="32"/>
        </w:rPr>
      </w:pPr>
    </w:p>
    <w:p w:rsidR="00610E45" w:rsidRDefault="00610E45">
      <w:pPr>
        <w:jc w:val="center"/>
        <w:rPr>
          <w:rFonts w:ascii="黑体" w:eastAsia="黑体" w:hAnsi="黑体" w:cs="黑体"/>
          <w:b/>
          <w:sz w:val="32"/>
          <w:szCs w:val="32"/>
        </w:rPr>
      </w:pPr>
    </w:p>
    <w:p w:rsidR="00610E45" w:rsidRDefault="00240CDB">
      <w:pPr>
        <w:jc w:val="center"/>
        <w:rPr>
          <w:rFonts w:ascii="方正楷体_GBK" w:eastAsia="方正楷体_GBK"/>
          <w:b/>
          <w:sz w:val="32"/>
        </w:rPr>
      </w:pPr>
      <w:r>
        <w:rPr>
          <w:rFonts w:ascii="方正楷体_GBK" w:eastAsia="方正楷体_GBK" w:hint="eastAsia"/>
          <w:b/>
          <w:sz w:val="32"/>
        </w:rPr>
        <w:t>唐山市丰南区交通运输综合执法大队编制</w:t>
      </w:r>
    </w:p>
    <w:p w:rsidR="00610E45" w:rsidRDefault="00240CDB">
      <w:pPr>
        <w:jc w:val="center"/>
        <w:rPr>
          <w:rFonts w:ascii="黑体" w:eastAsia="黑体" w:hAnsi="黑体" w:cs="黑体"/>
          <w:b/>
          <w:sz w:val="32"/>
          <w:szCs w:val="32"/>
        </w:rPr>
      </w:pPr>
      <w:r>
        <w:rPr>
          <w:rFonts w:ascii="方正楷体_GBK" w:eastAsia="方正楷体_GBK" w:hint="eastAsia"/>
          <w:b/>
          <w:sz w:val="32"/>
        </w:rPr>
        <w:t>丰南区财政局审核</w:t>
      </w:r>
    </w:p>
    <w:p w:rsidR="00610E45" w:rsidRDefault="00610E45">
      <w:pPr>
        <w:jc w:val="both"/>
        <w:rPr>
          <w:rFonts w:ascii="仿宋" w:eastAsia="仿宋" w:hAnsi="仿宋" w:cs="仿宋"/>
          <w:b/>
          <w:sz w:val="28"/>
          <w:szCs w:val="28"/>
        </w:rPr>
      </w:pPr>
    </w:p>
    <w:p w:rsidR="00610E45" w:rsidRDefault="00240CDB">
      <w:pPr>
        <w:rPr>
          <w:rFonts w:ascii="仿宋" w:eastAsia="仿宋" w:hAnsi="仿宋" w:cs="仿宋"/>
          <w:b/>
          <w:sz w:val="24"/>
          <w:szCs w:val="24"/>
        </w:rPr>
      </w:pPr>
      <w:r>
        <w:rPr>
          <w:rFonts w:ascii="仿宋" w:eastAsia="仿宋" w:hAnsi="仿宋" w:cs="仿宋" w:hint="eastAsia"/>
          <w:b/>
          <w:sz w:val="24"/>
          <w:szCs w:val="24"/>
        </w:rPr>
        <w:t>附件2：</w:t>
      </w:r>
    </w:p>
    <w:p w:rsidR="00610E45" w:rsidRDefault="00240CDB">
      <w:pPr>
        <w:ind w:firstLineChars="600" w:firstLine="2650"/>
        <w:jc w:val="both"/>
        <w:rPr>
          <w:rFonts w:ascii="仿宋" w:eastAsia="仿宋" w:hAnsi="仿宋"/>
          <w:b/>
          <w:sz w:val="44"/>
          <w:szCs w:val="44"/>
        </w:rPr>
      </w:pPr>
      <w:r>
        <w:rPr>
          <w:rFonts w:ascii="黑体" w:eastAsia="黑体" w:hAnsi="黑体" w:cs="黑体" w:hint="eastAsia"/>
          <w:b/>
          <w:sz w:val="44"/>
          <w:szCs w:val="44"/>
        </w:rPr>
        <w:t>单位预算公开目录</w:t>
      </w:r>
    </w:p>
    <w:p w:rsidR="00610E45" w:rsidRDefault="00240CDB">
      <w:pPr>
        <w:pStyle w:val="Style1"/>
        <w:numPr>
          <w:ilvl w:val="0"/>
          <w:numId w:val="1"/>
        </w:numPr>
        <w:spacing w:line="240" w:lineRule="atLeast"/>
        <w:ind w:firstLineChars="130" w:firstLine="418"/>
        <w:rPr>
          <w:rFonts w:ascii="黑体" w:eastAsia="黑体" w:hAnsi="黑体" w:cs="黑体"/>
          <w:b/>
          <w:sz w:val="32"/>
          <w:szCs w:val="32"/>
        </w:rPr>
      </w:pPr>
      <w:r>
        <w:rPr>
          <w:rFonts w:ascii="黑体" w:eastAsia="黑体" w:hAnsi="黑体" w:cs="黑体" w:hint="eastAsia"/>
          <w:b/>
          <w:sz w:val="32"/>
          <w:szCs w:val="32"/>
        </w:rPr>
        <w:t xml:space="preserve"> 单位预算公开有关事项的说明</w:t>
      </w:r>
    </w:p>
    <w:p w:rsidR="00610E45" w:rsidRDefault="00240CDB" w:rsidP="00CF4A85">
      <w:pPr>
        <w:pStyle w:val="Style1"/>
        <w:numPr>
          <w:ilvl w:val="0"/>
          <w:numId w:val="2"/>
        </w:numPr>
        <w:spacing w:line="240" w:lineRule="atLeast"/>
        <w:ind w:firstLine="643"/>
        <w:rPr>
          <w:rFonts w:ascii="仿宋" w:eastAsia="仿宋" w:hAnsi="仿宋" w:cs="仿宋"/>
          <w:b/>
          <w:bCs/>
          <w:sz w:val="32"/>
          <w:szCs w:val="32"/>
        </w:rPr>
      </w:pPr>
      <w:r>
        <w:rPr>
          <w:rFonts w:ascii="仿宋" w:eastAsia="仿宋" w:hAnsi="仿宋" w:cs="仿宋" w:hint="eastAsia"/>
          <w:b/>
          <w:bCs/>
          <w:sz w:val="32"/>
          <w:szCs w:val="32"/>
        </w:rPr>
        <w:t>单位职责及机构设置</w:t>
      </w:r>
    </w:p>
    <w:p w:rsidR="00610E45" w:rsidRDefault="00240CDB" w:rsidP="00CF4A85">
      <w:pPr>
        <w:pStyle w:val="Style1"/>
        <w:numPr>
          <w:ilvl w:val="0"/>
          <w:numId w:val="2"/>
        </w:numPr>
        <w:spacing w:line="240" w:lineRule="atLeast"/>
        <w:ind w:firstLine="643"/>
        <w:rPr>
          <w:rFonts w:ascii="仿宋" w:eastAsia="仿宋" w:hAnsi="仿宋" w:cs="仿宋"/>
          <w:b/>
          <w:bCs/>
          <w:sz w:val="32"/>
          <w:szCs w:val="32"/>
        </w:rPr>
      </w:pPr>
      <w:r>
        <w:rPr>
          <w:rFonts w:ascii="仿宋" w:eastAsia="仿宋" w:hAnsi="仿宋" w:cs="仿宋" w:hint="eastAsia"/>
          <w:b/>
          <w:bCs/>
          <w:sz w:val="32"/>
          <w:szCs w:val="32"/>
        </w:rPr>
        <w:t>单位预算安排的总体情况</w:t>
      </w:r>
    </w:p>
    <w:p w:rsidR="00610E45" w:rsidRDefault="00240CDB">
      <w:pPr>
        <w:widowControl w:val="0"/>
        <w:numPr>
          <w:ilvl w:val="0"/>
          <w:numId w:val="2"/>
        </w:numPr>
        <w:adjustRightInd/>
        <w:snapToGrid/>
        <w:spacing w:line="360" w:lineRule="auto"/>
        <w:jc w:val="both"/>
        <w:rPr>
          <w:rFonts w:ascii="仿宋" w:eastAsia="仿宋" w:hAnsi="仿宋" w:cs="仿宋"/>
          <w:b/>
          <w:bCs/>
          <w:sz w:val="32"/>
          <w:szCs w:val="32"/>
        </w:rPr>
      </w:pPr>
      <w:r>
        <w:rPr>
          <w:rFonts w:ascii="仿宋" w:eastAsia="仿宋" w:hAnsi="仿宋" w:cs="仿宋" w:hint="eastAsia"/>
          <w:b/>
          <w:bCs/>
          <w:sz w:val="32"/>
          <w:szCs w:val="32"/>
        </w:rPr>
        <w:t>机关运行经费安排情况</w:t>
      </w:r>
    </w:p>
    <w:p w:rsidR="00610E45" w:rsidRDefault="00240CDB">
      <w:pPr>
        <w:numPr>
          <w:ilvl w:val="0"/>
          <w:numId w:val="2"/>
        </w:numPr>
        <w:spacing w:line="360" w:lineRule="auto"/>
        <w:jc w:val="both"/>
        <w:rPr>
          <w:rFonts w:ascii="仿宋" w:eastAsia="仿宋" w:hAnsi="仿宋" w:cs="仿宋"/>
          <w:b/>
          <w:bCs/>
          <w:sz w:val="32"/>
          <w:szCs w:val="32"/>
        </w:rPr>
      </w:pPr>
      <w:r>
        <w:rPr>
          <w:rFonts w:ascii="仿宋" w:eastAsia="仿宋" w:hAnsi="仿宋" w:cs="仿宋" w:hint="eastAsia"/>
          <w:b/>
          <w:bCs/>
          <w:sz w:val="32"/>
          <w:szCs w:val="32"/>
        </w:rPr>
        <w:t>财政拨款“三公”经费预算情况</w:t>
      </w:r>
    </w:p>
    <w:p w:rsidR="00610E45" w:rsidRDefault="00240CDB">
      <w:pPr>
        <w:numPr>
          <w:ilvl w:val="0"/>
          <w:numId w:val="2"/>
        </w:numPr>
        <w:spacing w:line="360" w:lineRule="auto"/>
        <w:jc w:val="both"/>
        <w:rPr>
          <w:rFonts w:ascii="仿宋" w:eastAsia="仿宋" w:hAnsi="仿宋" w:cs="仿宋"/>
          <w:b/>
          <w:bCs/>
          <w:sz w:val="32"/>
          <w:szCs w:val="32"/>
        </w:rPr>
      </w:pPr>
      <w:r>
        <w:rPr>
          <w:rFonts w:ascii="仿宋" w:eastAsia="仿宋" w:hAnsi="仿宋" w:cs="仿宋" w:hint="eastAsia"/>
          <w:b/>
          <w:bCs/>
          <w:sz w:val="32"/>
          <w:szCs w:val="32"/>
        </w:rPr>
        <w:t>绩效预算信息</w:t>
      </w:r>
    </w:p>
    <w:p w:rsidR="00610E45" w:rsidRDefault="00240CDB">
      <w:pPr>
        <w:spacing w:after="0" w:line="360" w:lineRule="auto"/>
        <w:ind w:leftChars="254" w:left="559"/>
        <w:jc w:val="both"/>
        <w:rPr>
          <w:rFonts w:ascii="仿宋" w:eastAsia="仿宋" w:hAnsi="仿宋" w:cs="仿宋"/>
          <w:b/>
          <w:bCs/>
          <w:sz w:val="28"/>
          <w:szCs w:val="28"/>
        </w:rPr>
      </w:pPr>
      <w:r>
        <w:rPr>
          <w:rFonts w:ascii="仿宋" w:eastAsia="仿宋" w:hAnsi="仿宋" w:cs="仿宋" w:hint="eastAsia"/>
          <w:b/>
          <w:bCs/>
          <w:sz w:val="28"/>
          <w:szCs w:val="28"/>
        </w:rPr>
        <w:t>六、政府采购预算信息</w:t>
      </w:r>
    </w:p>
    <w:p w:rsidR="00610E45" w:rsidRDefault="00240CDB">
      <w:pPr>
        <w:spacing w:after="0" w:line="360" w:lineRule="auto"/>
        <w:ind w:leftChars="254" w:left="559"/>
        <w:jc w:val="both"/>
        <w:rPr>
          <w:rFonts w:ascii="仿宋" w:eastAsia="仿宋" w:hAnsi="仿宋" w:cs="仿宋"/>
          <w:b/>
          <w:bCs/>
          <w:sz w:val="28"/>
          <w:szCs w:val="28"/>
        </w:rPr>
      </w:pPr>
      <w:r>
        <w:rPr>
          <w:rFonts w:ascii="仿宋" w:eastAsia="仿宋" w:hAnsi="仿宋" w:cs="仿宋" w:hint="eastAsia"/>
          <w:b/>
          <w:bCs/>
          <w:sz w:val="28"/>
          <w:szCs w:val="28"/>
        </w:rPr>
        <w:t>七、国有资产信息</w:t>
      </w:r>
    </w:p>
    <w:p w:rsidR="00610E45" w:rsidRDefault="00240CDB">
      <w:pPr>
        <w:spacing w:after="0" w:line="360" w:lineRule="auto"/>
        <w:ind w:firstLineChars="200" w:firstLine="562"/>
        <w:jc w:val="both"/>
        <w:rPr>
          <w:rFonts w:ascii="仿宋" w:eastAsia="仿宋" w:hAnsi="仿宋" w:cs="仿宋"/>
          <w:b/>
          <w:bCs/>
          <w:sz w:val="28"/>
          <w:szCs w:val="28"/>
        </w:rPr>
      </w:pPr>
      <w:r>
        <w:rPr>
          <w:rFonts w:ascii="仿宋" w:eastAsia="仿宋" w:hAnsi="仿宋" w:cs="仿宋" w:hint="eastAsia"/>
          <w:b/>
          <w:bCs/>
          <w:sz w:val="28"/>
          <w:szCs w:val="28"/>
        </w:rPr>
        <w:t>八、专业名词解释</w:t>
      </w:r>
    </w:p>
    <w:p w:rsidR="00610E45" w:rsidRDefault="00240CDB">
      <w:pPr>
        <w:pStyle w:val="a4"/>
        <w:widowControl/>
        <w:spacing w:line="360" w:lineRule="auto"/>
        <w:ind w:leftChars="254" w:left="559"/>
        <w:jc w:val="both"/>
        <w:rPr>
          <w:rFonts w:ascii="仿宋" w:eastAsia="仿宋" w:hAnsi="仿宋" w:cs="仿宋"/>
          <w:b/>
          <w:bCs/>
          <w:sz w:val="32"/>
          <w:szCs w:val="32"/>
        </w:rPr>
      </w:pPr>
      <w:r>
        <w:rPr>
          <w:rFonts w:ascii="仿宋" w:eastAsia="仿宋" w:hAnsi="仿宋" w:cs="仿宋" w:hint="eastAsia"/>
          <w:b/>
          <w:bCs/>
          <w:color w:val="333333"/>
          <w:sz w:val="28"/>
          <w:szCs w:val="28"/>
          <w:shd w:val="clear" w:color="auto" w:fill="FFFFFF"/>
        </w:rPr>
        <w:t>九、其他需要说明的情况</w:t>
      </w:r>
    </w:p>
    <w:p w:rsidR="00610E45" w:rsidRDefault="00240CDB">
      <w:pPr>
        <w:pStyle w:val="Style1"/>
        <w:spacing w:line="240" w:lineRule="atLeast"/>
        <w:ind w:left="418" w:firstLineChars="0" w:firstLine="0"/>
        <w:rPr>
          <w:rFonts w:ascii="黑体" w:eastAsia="黑体" w:hAnsi="黑体" w:cs="黑体"/>
          <w:b/>
          <w:sz w:val="32"/>
          <w:szCs w:val="32"/>
        </w:rPr>
      </w:pPr>
      <w:r>
        <w:rPr>
          <w:rFonts w:ascii="黑体" w:eastAsia="黑体" w:hAnsi="黑体" w:cs="黑体" w:hint="eastAsia"/>
          <w:b/>
          <w:sz w:val="32"/>
          <w:szCs w:val="32"/>
        </w:rPr>
        <w:t>第二部分  2019年单位预算公开报表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单位预算收支总表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单位预算收入总表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单位预算支出总表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单位预算财政拨款收支总表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单位预算一般公共预算财政拨款支出表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单位预算一般公共预算财政拨款基本支出表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单位预算政府基金预算财政拨款支出表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t>单位预算国有资本经营预算财政拨款支出表</w:t>
      </w:r>
    </w:p>
    <w:p w:rsidR="00610E45" w:rsidRDefault="00240CDB">
      <w:pPr>
        <w:pStyle w:val="Style1"/>
        <w:numPr>
          <w:ilvl w:val="0"/>
          <w:numId w:val="3"/>
        </w:numPr>
        <w:spacing w:line="240" w:lineRule="atLeast"/>
        <w:ind w:firstLineChars="0"/>
        <w:rPr>
          <w:rFonts w:ascii="仿宋" w:eastAsia="仿宋" w:hAnsi="仿宋"/>
          <w:b/>
          <w:sz w:val="32"/>
          <w:szCs w:val="32"/>
        </w:rPr>
      </w:pPr>
      <w:r>
        <w:rPr>
          <w:rFonts w:ascii="仿宋" w:eastAsia="仿宋" w:hAnsi="仿宋" w:hint="eastAsia"/>
          <w:b/>
          <w:sz w:val="32"/>
          <w:szCs w:val="32"/>
        </w:rPr>
        <w:lastRenderedPageBreak/>
        <w:t>单位预算财政拨款“三公”经费支出表</w:t>
      </w:r>
    </w:p>
    <w:p w:rsidR="00610E45" w:rsidRDefault="00240CDB">
      <w:pPr>
        <w:pStyle w:val="1"/>
        <w:ind w:firstLineChars="0" w:firstLine="0"/>
        <w:rPr>
          <w:rFonts w:ascii="仿宋" w:eastAsia="仿宋" w:hAnsi="仿宋" w:cs="仿宋"/>
          <w:sz w:val="28"/>
          <w:szCs w:val="28"/>
        </w:rPr>
      </w:pPr>
      <w:r>
        <w:rPr>
          <w:rFonts w:ascii="仿宋" w:eastAsia="仿宋" w:hAnsi="仿宋" w:cs="仿宋" w:hint="eastAsia"/>
          <w:sz w:val="28"/>
          <w:szCs w:val="28"/>
        </w:rPr>
        <w:t>附件3:</w:t>
      </w:r>
    </w:p>
    <w:p w:rsidR="00610E45" w:rsidRDefault="00240CDB">
      <w:pPr>
        <w:pStyle w:val="1"/>
        <w:ind w:firstLineChars="0" w:firstLine="0"/>
        <w:jc w:val="center"/>
        <w:rPr>
          <w:rFonts w:ascii="黑体" w:eastAsia="黑体" w:hAnsi="黑体" w:cs="黑体"/>
          <w:b/>
          <w:bCs/>
          <w:sz w:val="44"/>
          <w:szCs w:val="44"/>
        </w:rPr>
      </w:pPr>
      <w:r>
        <w:rPr>
          <w:rFonts w:ascii="黑体" w:eastAsia="黑体" w:hAnsi="黑体" w:cs="黑体" w:hint="eastAsia"/>
          <w:b/>
          <w:bCs/>
          <w:sz w:val="44"/>
          <w:szCs w:val="44"/>
        </w:rPr>
        <w:t>唐山市丰南区交通运输综合执法大队</w:t>
      </w:r>
    </w:p>
    <w:p w:rsidR="00610E45" w:rsidRDefault="00240CDB">
      <w:pPr>
        <w:pStyle w:val="1"/>
        <w:ind w:firstLineChars="0" w:firstLine="0"/>
        <w:jc w:val="center"/>
        <w:rPr>
          <w:rFonts w:ascii="仿宋" w:eastAsia="黑体" w:hAnsi="仿宋" w:cs="仿宋"/>
          <w:sz w:val="44"/>
          <w:szCs w:val="44"/>
        </w:rPr>
      </w:pPr>
      <w:r>
        <w:rPr>
          <w:rFonts w:ascii="黑体" w:eastAsia="黑体" w:hAnsi="黑体" w:cs="黑体" w:hint="eastAsia"/>
          <w:b/>
          <w:bCs/>
          <w:sz w:val="44"/>
          <w:szCs w:val="44"/>
        </w:rPr>
        <w:t xml:space="preserve">2019年单位预算信息公开 </w:t>
      </w:r>
    </w:p>
    <w:p w:rsidR="00610E45" w:rsidRDefault="00240CDB">
      <w:pPr>
        <w:spacing w:line="360" w:lineRule="auto"/>
        <w:ind w:left="640" w:hangingChars="200" w:hanging="640"/>
        <w:jc w:val="both"/>
        <w:rPr>
          <w:rFonts w:ascii="仿宋" w:eastAsia="仿宋" w:hAnsi="仿宋" w:cs="仿宋"/>
          <w:sz w:val="44"/>
          <w:szCs w:val="44"/>
        </w:rPr>
      </w:pPr>
      <w:r>
        <w:rPr>
          <w:rFonts w:ascii="仿宋" w:eastAsia="仿宋" w:hAnsi="仿宋" w:cs="仿宋" w:hint="eastAsia"/>
          <w:sz w:val="32"/>
          <w:szCs w:val="32"/>
        </w:rPr>
        <w:t xml:space="preserve">        按照《预算法》、《地方预决算公开操作规程》和《河北省省级预算公开办法》规定，现将唐山市丰南区交通运输综合执法大队单位2019年预算公开如下：</w:t>
      </w:r>
    </w:p>
    <w:p w:rsidR="00610E45" w:rsidRDefault="00240CDB">
      <w:pPr>
        <w:pStyle w:val="1"/>
        <w:spacing w:line="360" w:lineRule="auto"/>
        <w:ind w:left="562" w:hangingChars="200" w:hanging="562"/>
        <w:jc w:val="both"/>
        <w:rPr>
          <w:rFonts w:ascii="仿宋" w:eastAsia="仿宋" w:hAnsi="仿宋" w:cs="仿宋"/>
          <w:b/>
          <w:bCs/>
          <w:sz w:val="32"/>
          <w:szCs w:val="32"/>
        </w:rPr>
      </w:pPr>
      <w:r>
        <w:rPr>
          <w:rFonts w:ascii="仿宋" w:eastAsia="仿宋" w:hAnsi="仿宋" w:cs="仿宋" w:hint="eastAsia"/>
          <w:b/>
          <w:bCs/>
          <w:sz w:val="28"/>
          <w:szCs w:val="28"/>
        </w:rPr>
        <w:t xml:space="preserve">    </w:t>
      </w:r>
      <w:r>
        <w:rPr>
          <w:rFonts w:ascii="仿宋" w:eastAsia="仿宋" w:hAnsi="仿宋" w:cs="仿宋" w:hint="eastAsia"/>
          <w:b/>
          <w:bCs/>
          <w:sz w:val="32"/>
          <w:szCs w:val="32"/>
        </w:rPr>
        <w:t>一、单位职责及机构设置</w:t>
      </w:r>
    </w:p>
    <w:p w:rsidR="00610E45" w:rsidRDefault="00240CDB">
      <w:pPr>
        <w:pStyle w:val="1"/>
        <w:spacing w:line="360" w:lineRule="auto"/>
        <w:ind w:left="640" w:hangingChars="200" w:hanging="640"/>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单位职责：</w:t>
      </w:r>
      <w:r>
        <w:rPr>
          <w:rFonts w:ascii="仿宋" w:eastAsia="仿宋" w:hAnsi="仿宋" w:cs="仿宋" w:hint="eastAsia"/>
          <w:sz w:val="32"/>
          <w:szCs w:val="32"/>
        </w:rPr>
        <w:t>以保护路产，维护路权，保证公路畅通为宗旨，组织实施有关公路路政管理的法律、法规和规章；负责管理保护公路、公路用地和分管范围内的公路辅助设施；依法在公路、建筑控制区内进行路政监督检查。</w:t>
      </w:r>
    </w:p>
    <w:p w:rsidR="00610E45" w:rsidRDefault="00240CDB">
      <w:pPr>
        <w:widowControl w:val="0"/>
        <w:adjustRightInd/>
        <w:snapToGrid/>
        <w:spacing w:line="360" w:lineRule="auto"/>
        <w:ind w:left="560" w:hangingChars="200" w:hanging="560"/>
        <w:jc w:val="both"/>
        <w:rPr>
          <w:rFonts w:ascii="仿宋" w:eastAsia="仿宋" w:hAnsi="仿宋" w:cs="仿宋"/>
          <w:sz w:val="32"/>
          <w:szCs w:val="32"/>
        </w:rPr>
      </w:pPr>
      <w:r>
        <w:rPr>
          <w:rFonts w:ascii="仿宋" w:eastAsia="仿宋" w:hAnsi="仿宋" w:cs="仿宋" w:hint="eastAsia"/>
          <w:sz w:val="28"/>
          <w:szCs w:val="28"/>
        </w:rPr>
        <w:t xml:space="preserve">        唐山市丰南区交通运输综合执法大队</w:t>
      </w:r>
      <w:r>
        <w:rPr>
          <w:rFonts w:ascii="仿宋" w:eastAsia="仿宋" w:hAnsi="仿宋" w:cs="仿宋" w:hint="eastAsia"/>
          <w:sz w:val="32"/>
          <w:szCs w:val="32"/>
        </w:rPr>
        <w:t>根据工作需要，设有办公室、财务室、证照处理中心、付庄子治超检测站、沿海路治超检测站、唐曹临时治超检测站等办事机构和工作机构。</w:t>
      </w:r>
    </w:p>
    <w:p w:rsidR="00610E45" w:rsidRDefault="00610E45">
      <w:pPr>
        <w:widowControl w:val="0"/>
        <w:adjustRightInd/>
        <w:snapToGrid/>
        <w:spacing w:line="360" w:lineRule="auto"/>
        <w:ind w:left="640" w:hangingChars="200" w:hanging="640"/>
        <w:jc w:val="both"/>
        <w:rPr>
          <w:rFonts w:ascii="仿宋" w:eastAsia="仿宋" w:hAnsi="仿宋" w:cs="仿宋"/>
          <w:sz w:val="32"/>
          <w:szCs w:val="32"/>
        </w:rPr>
      </w:pPr>
    </w:p>
    <w:p w:rsidR="00610E45" w:rsidRDefault="00610E45">
      <w:pPr>
        <w:widowControl w:val="0"/>
        <w:adjustRightInd/>
        <w:snapToGrid/>
        <w:spacing w:line="360" w:lineRule="auto"/>
        <w:ind w:left="640" w:hangingChars="200" w:hanging="640"/>
        <w:jc w:val="both"/>
        <w:rPr>
          <w:rFonts w:ascii="仿宋" w:eastAsia="仿宋" w:hAnsi="仿宋" w:cs="仿宋"/>
          <w:sz w:val="32"/>
          <w:szCs w:val="32"/>
        </w:rPr>
      </w:pPr>
    </w:p>
    <w:p w:rsidR="00610E45" w:rsidRDefault="00610E45">
      <w:pPr>
        <w:widowControl w:val="0"/>
        <w:adjustRightInd/>
        <w:snapToGrid/>
        <w:spacing w:line="360" w:lineRule="auto"/>
        <w:ind w:left="640" w:hangingChars="200" w:hanging="640"/>
        <w:jc w:val="both"/>
        <w:rPr>
          <w:rFonts w:ascii="仿宋" w:eastAsia="仿宋" w:hAnsi="仿宋" w:cs="仿宋"/>
          <w:sz w:val="32"/>
          <w:szCs w:val="32"/>
        </w:rPr>
      </w:pPr>
    </w:p>
    <w:p w:rsidR="00610E45" w:rsidRDefault="00610E45">
      <w:pPr>
        <w:widowControl w:val="0"/>
        <w:adjustRightInd/>
        <w:snapToGrid/>
        <w:spacing w:line="360" w:lineRule="auto"/>
        <w:ind w:left="640" w:hangingChars="200" w:hanging="640"/>
        <w:jc w:val="both"/>
        <w:rPr>
          <w:rFonts w:ascii="仿宋" w:eastAsia="仿宋" w:hAnsi="仿宋" w:cs="仿宋"/>
          <w:sz w:val="32"/>
          <w:szCs w:val="32"/>
        </w:rPr>
      </w:pPr>
    </w:p>
    <w:p w:rsidR="00610E45" w:rsidRDefault="00610E45">
      <w:pPr>
        <w:widowControl w:val="0"/>
        <w:adjustRightInd/>
        <w:snapToGrid/>
        <w:spacing w:line="360" w:lineRule="auto"/>
        <w:ind w:left="640" w:hangingChars="200" w:hanging="640"/>
        <w:jc w:val="both"/>
        <w:rPr>
          <w:rFonts w:ascii="仿宋" w:eastAsia="仿宋" w:hAnsi="仿宋" w:cs="仿宋"/>
          <w:sz w:val="32"/>
          <w:szCs w:val="32"/>
        </w:rPr>
      </w:pPr>
    </w:p>
    <w:p w:rsidR="00610E45" w:rsidRDefault="00240CDB">
      <w:pPr>
        <w:widowControl w:val="0"/>
        <w:adjustRightInd/>
        <w:snapToGrid/>
        <w:spacing w:line="360" w:lineRule="auto"/>
        <w:ind w:left="640" w:hangingChars="200" w:hanging="640"/>
        <w:jc w:val="both"/>
        <w:rPr>
          <w:rFonts w:ascii="仿宋" w:eastAsia="仿宋" w:hAnsi="仿宋" w:cs="仿宋"/>
          <w:sz w:val="32"/>
          <w:szCs w:val="32"/>
        </w:rPr>
      </w:pPr>
      <w:r>
        <w:rPr>
          <w:rFonts w:ascii="仿宋" w:eastAsia="仿宋" w:hAnsi="仿宋" w:cs="仿宋" w:hint="eastAsia"/>
          <w:sz w:val="32"/>
          <w:szCs w:val="32"/>
        </w:rPr>
        <w:t>机构设置：</w:t>
      </w:r>
    </w:p>
    <w:p w:rsidR="00610E45" w:rsidRDefault="00240CDB">
      <w:pPr>
        <w:widowControl w:val="0"/>
        <w:adjustRightInd/>
        <w:snapToGrid/>
        <w:spacing w:line="360" w:lineRule="auto"/>
        <w:ind w:left="643" w:hangingChars="200" w:hanging="643"/>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单位机构设置情况</w:t>
      </w:r>
    </w:p>
    <w:tbl>
      <w:tblPr>
        <w:tblStyle w:val="a6"/>
        <w:tblW w:w="9963" w:type="dxa"/>
        <w:tblLayout w:type="fixed"/>
        <w:tblLook w:val="04A0" w:firstRow="1" w:lastRow="0" w:firstColumn="1" w:lastColumn="0" w:noHBand="0" w:noVBand="1"/>
      </w:tblPr>
      <w:tblGrid>
        <w:gridCol w:w="3182"/>
        <w:gridCol w:w="2145"/>
        <w:gridCol w:w="1695"/>
        <w:gridCol w:w="2941"/>
      </w:tblGrid>
      <w:tr w:rsidR="00610E45">
        <w:trPr>
          <w:trHeight w:val="332"/>
        </w:trPr>
        <w:tc>
          <w:tcPr>
            <w:tcW w:w="3182" w:type="dxa"/>
          </w:tcPr>
          <w:p w:rsidR="00610E45" w:rsidRDefault="00240CDB">
            <w:pPr>
              <w:adjustRightInd/>
              <w:snapToGrid/>
              <w:spacing w:line="360" w:lineRule="auto"/>
              <w:jc w:val="center"/>
              <w:rPr>
                <w:rFonts w:ascii="仿宋" w:eastAsia="仿宋" w:hAnsi="仿宋" w:cs="仿宋"/>
                <w:sz w:val="32"/>
                <w:szCs w:val="32"/>
              </w:rPr>
            </w:pPr>
            <w:r>
              <w:rPr>
                <w:rFonts w:ascii="仿宋" w:eastAsia="仿宋" w:hAnsi="仿宋" w:cs="仿宋" w:hint="eastAsia"/>
                <w:sz w:val="32"/>
                <w:szCs w:val="32"/>
              </w:rPr>
              <w:t>单位名称</w:t>
            </w:r>
          </w:p>
        </w:tc>
        <w:tc>
          <w:tcPr>
            <w:tcW w:w="2145" w:type="dxa"/>
          </w:tcPr>
          <w:p w:rsidR="00610E45" w:rsidRDefault="00240CDB">
            <w:pPr>
              <w:adjustRightInd/>
              <w:snapToGrid/>
              <w:spacing w:line="360" w:lineRule="auto"/>
              <w:jc w:val="center"/>
              <w:rPr>
                <w:rFonts w:ascii="仿宋" w:eastAsia="仿宋" w:hAnsi="仿宋" w:cs="仿宋"/>
                <w:sz w:val="32"/>
                <w:szCs w:val="32"/>
              </w:rPr>
            </w:pPr>
            <w:r>
              <w:rPr>
                <w:rFonts w:ascii="仿宋" w:eastAsia="仿宋" w:hAnsi="仿宋" w:cs="仿宋" w:hint="eastAsia"/>
                <w:sz w:val="32"/>
                <w:szCs w:val="32"/>
              </w:rPr>
              <w:t>单位性质</w:t>
            </w:r>
          </w:p>
        </w:tc>
        <w:tc>
          <w:tcPr>
            <w:tcW w:w="1695" w:type="dxa"/>
          </w:tcPr>
          <w:p w:rsidR="00610E45" w:rsidRDefault="00240CDB">
            <w:pPr>
              <w:adjustRightInd/>
              <w:snapToGrid/>
              <w:spacing w:line="360" w:lineRule="auto"/>
              <w:jc w:val="center"/>
              <w:rPr>
                <w:rFonts w:ascii="仿宋" w:eastAsia="仿宋" w:hAnsi="仿宋" w:cs="仿宋"/>
                <w:sz w:val="32"/>
                <w:szCs w:val="32"/>
              </w:rPr>
            </w:pPr>
            <w:r>
              <w:rPr>
                <w:rFonts w:ascii="仿宋" w:eastAsia="仿宋" w:hAnsi="仿宋" w:cs="仿宋" w:hint="eastAsia"/>
                <w:sz w:val="32"/>
                <w:szCs w:val="32"/>
              </w:rPr>
              <w:t>单位规格</w:t>
            </w:r>
          </w:p>
        </w:tc>
        <w:tc>
          <w:tcPr>
            <w:tcW w:w="2941" w:type="dxa"/>
          </w:tcPr>
          <w:p w:rsidR="00610E45" w:rsidRDefault="00240CDB">
            <w:pPr>
              <w:adjustRightInd/>
              <w:snapToGrid/>
              <w:spacing w:line="360" w:lineRule="auto"/>
              <w:jc w:val="center"/>
              <w:rPr>
                <w:rFonts w:ascii="仿宋" w:eastAsia="仿宋" w:hAnsi="仿宋" w:cs="仿宋"/>
                <w:sz w:val="32"/>
                <w:szCs w:val="32"/>
              </w:rPr>
            </w:pPr>
            <w:r>
              <w:rPr>
                <w:rFonts w:ascii="仿宋" w:eastAsia="仿宋" w:hAnsi="仿宋" w:cs="仿宋" w:hint="eastAsia"/>
                <w:sz w:val="32"/>
                <w:szCs w:val="32"/>
              </w:rPr>
              <w:t>经费保障形式</w:t>
            </w:r>
          </w:p>
        </w:tc>
      </w:tr>
      <w:tr w:rsidR="00610E45">
        <w:trPr>
          <w:trHeight w:val="507"/>
        </w:trPr>
        <w:tc>
          <w:tcPr>
            <w:tcW w:w="3182" w:type="dxa"/>
          </w:tcPr>
          <w:p w:rsidR="00610E45" w:rsidRDefault="00240CDB">
            <w:pPr>
              <w:adjustRightInd/>
              <w:snapToGrid/>
              <w:spacing w:line="360" w:lineRule="auto"/>
              <w:rPr>
                <w:rFonts w:ascii="仿宋" w:eastAsia="仿宋" w:hAnsi="仿宋" w:cs="仿宋"/>
                <w:sz w:val="32"/>
                <w:szCs w:val="32"/>
              </w:rPr>
            </w:pPr>
            <w:r>
              <w:rPr>
                <w:rFonts w:ascii="仿宋" w:eastAsia="仿宋" w:hAnsi="仿宋" w:cs="仿宋" w:hint="eastAsia"/>
                <w:sz w:val="21"/>
                <w:szCs w:val="21"/>
              </w:rPr>
              <w:t>唐山市丰南区交通运输综合执法大队</w:t>
            </w:r>
          </w:p>
        </w:tc>
        <w:tc>
          <w:tcPr>
            <w:tcW w:w="2145" w:type="dxa"/>
          </w:tcPr>
          <w:p w:rsidR="00610E45" w:rsidRDefault="00240CDB">
            <w:pPr>
              <w:adjustRightInd/>
              <w:snapToGrid/>
              <w:spacing w:line="360" w:lineRule="auto"/>
              <w:jc w:val="center"/>
              <w:rPr>
                <w:rFonts w:ascii="仿宋" w:eastAsia="仿宋" w:hAnsi="仿宋" w:cs="仿宋"/>
                <w:sz w:val="32"/>
                <w:szCs w:val="32"/>
              </w:rPr>
            </w:pPr>
            <w:r>
              <w:rPr>
                <w:rFonts w:ascii="仿宋" w:eastAsia="仿宋" w:hAnsi="仿宋" w:cs="仿宋" w:hint="eastAsia"/>
                <w:sz w:val="32"/>
                <w:szCs w:val="32"/>
              </w:rPr>
              <w:t>事业</w:t>
            </w:r>
          </w:p>
        </w:tc>
        <w:tc>
          <w:tcPr>
            <w:tcW w:w="1695" w:type="dxa"/>
          </w:tcPr>
          <w:p w:rsidR="00610E45" w:rsidRDefault="00240CDB">
            <w:pPr>
              <w:adjustRightInd/>
              <w:snapToGrid/>
              <w:spacing w:line="360" w:lineRule="auto"/>
              <w:jc w:val="center"/>
              <w:rPr>
                <w:rFonts w:ascii="仿宋" w:eastAsia="仿宋" w:hAnsi="仿宋" w:cs="仿宋"/>
                <w:sz w:val="32"/>
                <w:szCs w:val="32"/>
              </w:rPr>
            </w:pPr>
            <w:r>
              <w:rPr>
                <w:rFonts w:ascii="仿宋" w:eastAsia="仿宋" w:hAnsi="仿宋" w:cs="仿宋" w:hint="eastAsia"/>
                <w:sz w:val="32"/>
                <w:szCs w:val="32"/>
              </w:rPr>
              <w:t>其他</w:t>
            </w:r>
          </w:p>
        </w:tc>
        <w:tc>
          <w:tcPr>
            <w:tcW w:w="2941" w:type="dxa"/>
          </w:tcPr>
          <w:p w:rsidR="00610E45" w:rsidRDefault="00240CDB">
            <w:pPr>
              <w:adjustRightInd/>
              <w:snapToGrid/>
              <w:spacing w:line="360" w:lineRule="auto"/>
              <w:rPr>
                <w:rFonts w:ascii="仿宋" w:eastAsia="仿宋" w:hAnsi="仿宋" w:cs="仿宋"/>
                <w:sz w:val="21"/>
                <w:szCs w:val="21"/>
              </w:rPr>
            </w:pPr>
            <w:r>
              <w:rPr>
                <w:rFonts w:ascii="仿宋" w:eastAsia="仿宋" w:hAnsi="仿宋" w:cs="仿宋" w:hint="eastAsia"/>
                <w:sz w:val="21"/>
                <w:szCs w:val="21"/>
              </w:rPr>
              <w:t xml:space="preserve">财政性资金定额或定向补助 </w:t>
            </w:r>
          </w:p>
        </w:tc>
      </w:tr>
    </w:tbl>
    <w:p w:rsidR="00610E45" w:rsidRDefault="00240CDB">
      <w:pPr>
        <w:widowControl w:val="0"/>
        <w:adjustRightInd/>
        <w:snapToGrid/>
        <w:spacing w:line="360" w:lineRule="auto"/>
        <w:ind w:leftChars="290" w:left="638"/>
        <w:jc w:val="both"/>
        <w:rPr>
          <w:rFonts w:ascii="仿宋" w:eastAsia="仿宋" w:hAnsi="仿宋" w:cs="仿宋"/>
          <w:b/>
          <w:bCs/>
          <w:sz w:val="32"/>
          <w:szCs w:val="32"/>
        </w:rPr>
      </w:pPr>
      <w:r>
        <w:rPr>
          <w:rFonts w:ascii="仿宋" w:eastAsia="仿宋" w:hAnsi="仿宋" w:cs="仿宋" w:hint="eastAsia"/>
          <w:b/>
          <w:bCs/>
          <w:sz w:val="32"/>
          <w:szCs w:val="32"/>
        </w:rPr>
        <w:t>二、单位预算安排的总体情况</w:t>
      </w:r>
    </w:p>
    <w:p w:rsidR="00610E45" w:rsidRDefault="00240CDB">
      <w:pPr>
        <w:pStyle w:val="1"/>
        <w:tabs>
          <w:tab w:val="left" w:pos="267"/>
        </w:tabs>
        <w:spacing w:line="360" w:lineRule="auto"/>
        <w:ind w:left="560" w:hangingChars="200" w:hanging="560"/>
        <w:jc w:val="both"/>
        <w:rPr>
          <w:rFonts w:ascii="仿宋" w:eastAsia="仿宋" w:hAnsi="仿宋" w:cs="仿宋"/>
          <w:sz w:val="32"/>
          <w:szCs w:val="32"/>
        </w:rPr>
      </w:pPr>
      <w:r>
        <w:rPr>
          <w:rFonts w:ascii="仿宋" w:eastAsia="仿宋" w:hAnsi="仿宋" w:cs="仿宋" w:hint="eastAsia"/>
          <w:sz w:val="28"/>
          <w:szCs w:val="28"/>
        </w:rPr>
        <w:tab/>
        <w:t xml:space="preserve">   </w:t>
      </w:r>
      <w:r>
        <w:rPr>
          <w:rFonts w:ascii="仿宋" w:eastAsia="仿宋" w:hAnsi="仿宋" w:cs="仿宋" w:hint="eastAsia"/>
          <w:sz w:val="32"/>
          <w:szCs w:val="32"/>
        </w:rPr>
        <w:t>1、收入预算说明</w:t>
      </w:r>
    </w:p>
    <w:p w:rsidR="00610E45" w:rsidRDefault="00240CDB">
      <w:pPr>
        <w:pStyle w:val="1"/>
        <w:tabs>
          <w:tab w:val="left" w:pos="267"/>
        </w:tabs>
        <w:spacing w:line="360" w:lineRule="auto"/>
        <w:ind w:left="640" w:hangingChars="200" w:hanging="640"/>
        <w:jc w:val="both"/>
        <w:rPr>
          <w:rFonts w:ascii="仿宋" w:eastAsia="仿宋" w:hAnsi="仿宋" w:cs="仿宋"/>
          <w:sz w:val="32"/>
          <w:szCs w:val="32"/>
        </w:rPr>
      </w:pPr>
      <w:r>
        <w:rPr>
          <w:rFonts w:ascii="仿宋" w:eastAsia="仿宋" w:hAnsi="仿宋" w:cs="仿宋" w:hint="eastAsia"/>
          <w:sz w:val="32"/>
          <w:szCs w:val="32"/>
        </w:rPr>
        <w:t xml:space="preserve">        我单位年初预算财政拨款收入总额</w:t>
      </w:r>
      <w:r w:rsidR="00561083">
        <w:rPr>
          <w:rFonts w:ascii="仿宋" w:eastAsia="仿宋" w:hAnsi="仿宋" w:cs="仿宋" w:hint="eastAsia"/>
          <w:sz w:val="32"/>
          <w:szCs w:val="32"/>
        </w:rPr>
        <w:t>1026.96万元，一般公共预算拨款</w:t>
      </w:r>
      <w:r>
        <w:rPr>
          <w:rFonts w:ascii="仿宋" w:eastAsia="仿宋" w:hAnsi="仿宋" w:cs="仿宋" w:hint="eastAsia"/>
          <w:sz w:val="32"/>
          <w:szCs w:val="32"/>
        </w:rPr>
        <w:t>841.66万元</w:t>
      </w:r>
      <w:r w:rsidR="00561083">
        <w:rPr>
          <w:rFonts w:ascii="仿宋" w:eastAsia="仿宋" w:hAnsi="仿宋" w:cs="仿宋" w:hint="eastAsia"/>
          <w:sz w:val="32"/>
          <w:szCs w:val="32"/>
        </w:rPr>
        <w:t>，其他来源收入185.30万元</w:t>
      </w:r>
      <w:r>
        <w:rPr>
          <w:rFonts w:ascii="仿宋" w:eastAsia="仿宋" w:hAnsi="仿宋" w:cs="仿宋" w:hint="eastAsia"/>
          <w:sz w:val="32"/>
          <w:szCs w:val="32"/>
        </w:rPr>
        <w:t>。</w:t>
      </w:r>
    </w:p>
    <w:p w:rsidR="00610E45" w:rsidRDefault="00240CDB">
      <w:pPr>
        <w:pStyle w:val="1"/>
        <w:tabs>
          <w:tab w:val="left" w:pos="267"/>
        </w:tabs>
        <w:spacing w:line="360" w:lineRule="auto"/>
        <w:ind w:left="640" w:hangingChars="200" w:hanging="640"/>
        <w:jc w:val="both"/>
        <w:rPr>
          <w:rFonts w:ascii="仿宋" w:eastAsia="仿宋" w:hAnsi="仿宋" w:cs="仿宋"/>
          <w:sz w:val="32"/>
          <w:szCs w:val="32"/>
        </w:rPr>
      </w:pPr>
      <w:r>
        <w:rPr>
          <w:rFonts w:ascii="仿宋" w:eastAsia="仿宋" w:hAnsi="仿宋" w:cs="仿宋" w:hint="eastAsia"/>
          <w:sz w:val="32"/>
          <w:szCs w:val="32"/>
        </w:rPr>
        <w:t xml:space="preserve">    2、支出支出说明</w:t>
      </w:r>
    </w:p>
    <w:p w:rsidR="00610E45" w:rsidRDefault="00240CDB">
      <w:pPr>
        <w:pStyle w:val="1"/>
        <w:spacing w:line="360" w:lineRule="auto"/>
        <w:ind w:left="640" w:hangingChars="200" w:hanging="640"/>
        <w:jc w:val="both"/>
        <w:rPr>
          <w:rFonts w:ascii="仿宋" w:eastAsia="仿宋" w:hAnsi="仿宋" w:cs="仿宋"/>
          <w:sz w:val="32"/>
          <w:szCs w:val="32"/>
        </w:rPr>
      </w:pPr>
      <w:r>
        <w:rPr>
          <w:rFonts w:ascii="仿宋" w:eastAsia="仿宋" w:hAnsi="仿宋" w:cs="仿宋" w:hint="eastAsia"/>
          <w:sz w:val="32"/>
          <w:szCs w:val="32"/>
        </w:rPr>
        <w:t xml:space="preserve">        预算支出总额</w:t>
      </w:r>
      <w:r w:rsidR="00561083">
        <w:rPr>
          <w:rFonts w:ascii="仿宋" w:eastAsia="仿宋" w:hAnsi="仿宋" w:cs="仿宋" w:hint="eastAsia"/>
          <w:sz w:val="32"/>
          <w:szCs w:val="32"/>
        </w:rPr>
        <w:t>1026.96</w:t>
      </w:r>
      <w:r>
        <w:rPr>
          <w:rFonts w:ascii="仿宋" w:eastAsia="仿宋" w:hAnsi="仿宋" w:cs="仿宋" w:hint="eastAsia"/>
          <w:sz w:val="32"/>
          <w:szCs w:val="32"/>
        </w:rPr>
        <w:t>万元，其中基本支出人员经费839.86万元，日常公用经费</w:t>
      </w:r>
      <w:r w:rsidR="00561083">
        <w:rPr>
          <w:rFonts w:ascii="仿宋" w:eastAsia="仿宋" w:hAnsi="仿宋" w:cs="仿宋" w:hint="eastAsia"/>
          <w:sz w:val="32"/>
          <w:szCs w:val="32"/>
        </w:rPr>
        <w:t>187.10</w:t>
      </w:r>
      <w:r>
        <w:rPr>
          <w:rFonts w:ascii="仿宋" w:eastAsia="仿宋" w:hAnsi="仿宋" w:cs="仿宋" w:hint="eastAsia"/>
          <w:sz w:val="32"/>
          <w:szCs w:val="32"/>
        </w:rPr>
        <w:t>万元。</w:t>
      </w:r>
    </w:p>
    <w:p w:rsidR="00610E45" w:rsidRDefault="00240CDB" w:rsidP="00561083">
      <w:pPr>
        <w:spacing w:line="360" w:lineRule="auto"/>
        <w:ind w:leftChars="-200" w:left="-440"/>
        <w:jc w:val="both"/>
        <w:rPr>
          <w:rFonts w:ascii="仿宋" w:eastAsia="仿宋" w:hAnsi="仿宋" w:cs="仿宋"/>
          <w:sz w:val="32"/>
          <w:szCs w:val="32"/>
        </w:rPr>
      </w:pPr>
      <w:r>
        <w:rPr>
          <w:rFonts w:ascii="仿宋" w:eastAsia="仿宋" w:hAnsi="仿宋" w:cs="仿宋" w:hint="eastAsia"/>
          <w:sz w:val="32"/>
          <w:szCs w:val="32"/>
        </w:rPr>
        <w:t xml:space="preserve">       3、比上年增减情况</w:t>
      </w:r>
    </w:p>
    <w:p w:rsidR="00610E45" w:rsidRDefault="00240CDB">
      <w:pPr>
        <w:spacing w:line="360" w:lineRule="auto"/>
        <w:ind w:left="640" w:hangingChars="200" w:hanging="640"/>
        <w:jc w:val="both"/>
        <w:rPr>
          <w:rFonts w:ascii="仿宋" w:eastAsia="仿宋" w:hAnsi="仿宋" w:cs="仿宋"/>
          <w:sz w:val="32"/>
          <w:szCs w:val="32"/>
        </w:rPr>
      </w:pPr>
      <w:r>
        <w:rPr>
          <w:rFonts w:ascii="仿宋" w:eastAsia="仿宋" w:hAnsi="仿宋" w:cs="仿宋" w:hint="eastAsia"/>
          <w:sz w:val="32"/>
          <w:szCs w:val="32"/>
        </w:rPr>
        <w:t xml:space="preserve">        2019年，单位预算收支安排</w:t>
      </w:r>
      <w:r w:rsidR="00274CE2">
        <w:rPr>
          <w:rFonts w:ascii="仿宋" w:eastAsia="仿宋" w:hAnsi="仿宋" w:cs="仿宋" w:hint="eastAsia"/>
          <w:sz w:val="32"/>
          <w:szCs w:val="32"/>
        </w:rPr>
        <w:t>1026.96</w:t>
      </w:r>
      <w:r>
        <w:rPr>
          <w:rFonts w:ascii="仿宋" w:eastAsia="仿宋" w:hAnsi="仿宋" w:cs="仿宋" w:hint="eastAsia"/>
          <w:sz w:val="32"/>
          <w:szCs w:val="32"/>
        </w:rPr>
        <w:t>万元，较2018年度预算安排</w:t>
      </w:r>
      <w:r w:rsidR="00274CE2">
        <w:rPr>
          <w:rFonts w:ascii="仿宋" w:eastAsia="仿宋" w:hAnsi="仿宋" w:cs="仿宋" w:hint="eastAsia"/>
          <w:sz w:val="32"/>
          <w:szCs w:val="32"/>
        </w:rPr>
        <w:t>增加153.07</w:t>
      </w:r>
      <w:r>
        <w:rPr>
          <w:rFonts w:ascii="仿宋" w:eastAsia="仿宋" w:hAnsi="仿宋" w:cs="仿宋" w:hint="eastAsia"/>
          <w:sz w:val="32"/>
          <w:szCs w:val="32"/>
        </w:rPr>
        <w:t>万元，主要是</w:t>
      </w:r>
      <w:r w:rsidR="00274CE2">
        <w:rPr>
          <w:rFonts w:ascii="仿宋" w:eastAsia="仿宋" w:hAnsi="仿宋" w:cs="仿宋" w:hint="eastAsia"/>
          <w:sz w:val="32"/>
          <w:szCs w:val="32"/>
        </w:rPr>
        <w:t>增加公用经费预算</w:t>
      </w:r>
      <w:r>
        <w:rPr>
          <w:rFonts w:ascii="仿宋" w:eastAsia="仿宋" w:hAnsi="仿宋" w:cs="仿宋" w:hint="eastAsia"/>
          <w:sz w:val="32"/>
          <w:szCs w:val="32"/>
        </w:rPr>
        <w:t>。</w:t>
      </w:r>
    </w:p>
    <w:p w:rsidR="00610E45" w:rsidRDefault="00240CDB">
      <w:pPr>
        <w:spacing w:line="360" w:lineRule="auto"/>
        <w:ind w:left="640" w:hangingChars="200" w:hanging="640"/>
        <w:jc w:val="both"/>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三、机关运行经费安排情况</w:t>
      </w:r>
    </w:p>
    <w:p w:rsidR="00610E45" w:rsidRDefault="00240CDB">
      <w:pPr>
        <w:spacing w:line="360" w:lineRule="auto"/>
        <w:ind w:left="640" w:hangingChars="200" w:hanging="64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        我单位年初预算财</w:t>
      </w:r>
      <w:r w:rsidR="00C5549C">
        <w:rPr>
          <w:rFonts w:ascii="仿宋" w:eastAsia="仿宋" w:hAnsi="仿宋" w:cs="仿宋" w:hint="eastAsia"/>
          <w:color w:val="000000"/>
          <w:sz w:val="32"/>
          <w:szCs w:val="32"/>
        </w:rPr>
        <w:t>安排</w:t>
      </w:r>
      <w:r>
        <w:rPr>
          <w:rFonts w:ascii="仿宋" w:eastAsia="仿宋" w:hAnsi="仿宋" w:cs="仿宋" w:hint="eastAsia"/>
          <w:color w:val="000000"/>
          <w:sz w:val="32"/>
          <w:szCs w:val="32"/>
        </w:rPr>
        <w:t>日常公用经费</w:t>
      </w:r>
      <w:r w:rsidR="00C5549C">
        <w:rPr>
          <w:rFonts w:ascii="仿宋" w:eastAsia="仿宋" w:hAnsi="仿宋" w:cs="仿宋" w:hint="eastAsia"/>
          <w:color w:val="000000"/>
          <w:sz w:val="32"/>
          <w:szCs w:val="32"/>
        </w:rPr>
        <w:t>187.1</w:t>
      </w:r>
      <w:r>
        <w:rPr>
          <w:rFonts w:ascii="仿宋" w:eastAsia="仿宋" w:hAnsi="仿宋" w:cs="仿宋" w:hint="eastAsia"/>
          <w:color w:val="000000"/>
          <w:sz w:val="32"/>
          <w:szCs w:val="32"/>
        </w:rPr>
        <w:t>万元</w:t>
      </w:r>
      <w:r w:rsidR="00C5549C">
        <w:rPr>
          <w:rFonts w:ascii="仿宋" w:eastAsia="仿宋" w:hAnsi="仿宋" w:cs="仿宋" w:hint="eastAsia"/>
          <w:color w:val="000000"/>
          <w:sz w:val="32"/>
          <w:szCs w:val="32"/>
        </w:rPr>
        <w:t>，其中行政人员车补话费1.80万元，日常公用经费185.30万元。</w:t>
      </w:r>
    </w:p>
    <w:p w:rsidR="00610E45" w:rsidRDefault="00240CDB">
      <w:pPr>
        <w:spacing w:line="360" w:lineRule="auto"/>
        <w:ind w:left="640" w:hangingChars="200" w:hanging="640"/>
        <w:jc w:val="both"/>
        <w:rPr>
          <w:rFonts w:ascii="仿宋" w:eastAsia="仿宋" w:hAnsi="仿宋" w:cs="仿宋"/>
          <w:b/>
          <w:bCs/>
          <w:sz w:val="32"/>
          <w:szCs w:val="32"/>
        </w:rPr>
      </w:pPr>
      <w:r>
        <w:rPr>
          <w:rFonts w:ascii="仿宋" w:eastAsia="仿宋" w:hAnsi="仿宋" w:cs="仿宋" w:hint="eastAsia"/>
          <w:sz w:val="32"/>
          <w:szCs w:val="32"/>
        </w:rPr>
        <w:lastRenderedPageBreak/>
        <w:t xml:space="preserve">  </w:t>
      </w:r>
      <w:r>
        <w:rPr>
          <w:rFonts w:ascii="仿宋" w:eastAsia="仿宋" w:hAnsi="仿宋" w:cs="仿宋" w:hint="eastAsia"/>
          <w:b/>
          <w:bCs/>
          <w:sz w:val="32"/>
          <w:szCs w:val="32"/>
        </w:rPr>
        <w:t xml:space="preserve">      四、财政拨款“三公”经费预算情况</w:t>
      </w:r>
    </w:p>
    <w:p w:rsidR="00610E45" w:rsidRDefault="00240CDB">
      <w:pPr>
        <w:spacing w:line="360" w:lineRule="auto"/>
        <w:ind w:left="640" w:hangingChars="200" w:hanging="640"/>
        <w:jc w:val="both"/>
        <w:rPr>
          <w:rFonts w:ascii="仿宋" w:eastAsia="仿宋" w:hAnsi="仿宋" w:cs="仿宋"/>
          <w:color w:val="000000"/>
          <w:sz w:val="32"/>
          <w:szCs w:val="32"/>
        </w:rPr>
      </w:pPr>
      <w:r>
        <w:rPr>
          <w:rFonts w:ascii="仿宋" w:eastAsia="仿宋" w:hAnsi="仿宋" w:cs="仿宋" w:hint="eastAsia"/>
          <w:color w:val="000000"/>
          <w:sz w:val="32"/>
          <w:szCs w:val="32"/>
          <w:lang w:bidi="ar"/>
        </w:rPr>
        <w:t xml:space="preserve">        2019年，我单位年初预算无一般公共预算财政补助拨款、政府性基金财政拨款及国有资本经营预算财政拨款“三公”经费支出，即</w:t>
      </w:r>
      <w:r>
        <w:rPr>
          <w:rFonts w:ascii="仿宋" w:eastAsia="仿宋" w:hAnsi="仿宋" w:cs="仿宋" w:hint="eastAsia"/>
          <w:color w:val="000000"/>
          <w:sz w:val="32"/>
          <w:szCs w:val="32"/>
        </w:rPr>
        <w:t>因公出国（境）0万元，与2018年持平，无增减变化；公务用车购置费及运行费0万元，与2018年持平，无增减变化；公务接待费0万元，与2018年持平，无增减变化。</w:t>
      </w:r>
    </w:p>
    <w:p w:rsidR="00CF4A85" w:rsidRDefault="00CF4A85" w:rsidP="00CF4A85">
      <w:pPr>
        <w:spacing w:line="360" w:lineRule="auto"/>
        <w:ind w:firstLine="645"/>
        <w:rPr>
          <w:rFonts w:ascii="仿宋" w:eastAsia="仿宋" w:hAnsi="仿宋" w:cs="仿宋"/>
          <w:color w:val="000000"/>
          <w:sz w:val="32"/>
          <w:szCs w:val="32"/>
          <w:lang w:bidi="ar"/>
        </w:rPr>
      </w:pPr>
      <w:r>
        <w:rPr>
          <w:rFonts w:ascii="仿宋" w:eastAsia="仿宋" w:hAnsi="仿宋" w:cs="仿宋" w:hint="eastAsia"/>
          <w:color w:val="000000"/>
          <w:sz w:val="32"/>
          <w:szCs w:val="32"/>
          <w:lang w:bidi="ar"/>
        </w:rPr>
        <w:t>我单位自有资金安排“三公”经费预算116万元，</w:t>
      </w:r>
      <w:r>
        <w:rPr>
          <w:rFonts w:ascii="仿宋" w:eastAsia="仿宋" w:hAnsi="仿宋" w:cs="仿宋" w:hint="eastAsia"/>
          <w:color w:val="000000"/>
          <w:sz w:val="32"/>
          <w:szCs w:val="32"/>
        </w:rPr>
        <w:t>与</w:t>
      </w:r>
      <w:r>
        <w:rPr>
          <w:rFonts w:ascii="仿宋" w:eastAsia="仿宋" w:hAnsi="仿宋" w:cs="仿宋"/>
          <w:color w:val="000000"/>
          <w:sz w:val="32"/>
          <w:szCs w:val="32"/>
        </w:rPr>
        <w:t>201</w:t>
      </w:r>
      <w:r>
        <w:rPr>
          <w:rFonts w:ascii="仿宋" w:eastAsia="仿宋" w:hAnsi="仿宋" w:cs="仿宋" w:hint="eastAsia"/>
          <w:color w:val="000000"/>
          <w:sz w:val="32"/>
          <w:szCs w:val="32"/>
        </w:rPr>
        <w:t>8年“三公”经费预算数相比减少预算1万元；</w:t>
      </w:r>
      <w:r>
        <w:rPr>
          <w:rFonts w:ascii="仿宋" w:eastAsia="仿宋" w:hAnsi="仿宋" w:cs="仿宋" w:hint="eastAsia"/>
          <w:color w:val="000000"/>
          <w:sz w:val="32"/>
          <w:szCs w:val="32"/>
          <w:lang w:bidi="ar"/>
        </w:rPr>
        <w:t>即</w:t>
      </w:r>
      <w:r>
        <w:rPr>
          <w:rFonts w:ascii="仿宋" w:eastAsia="仿宋" w:hAnsi="仿宋" w:cs="仿宋" w:hint="eastAsia"/>
          <w:color w:val="000000"/>
          <w:sz w:val="32"/>
          <w:szCs w:val="32"/>
        </w:rPr>
        <w:t>因公出国（境）</w:t>
      </w:r>
      <w:r>
        <w:rPr>
          <w:rFonts w:ascii="仿宋" w:eastAsia="仿宋" w:hAnsi="仿宋" w:cs="仿宋"/>
          <w:color w:val="000000"/>
          <w:sz w:val="32"/>
          <w:szCs w:val="32"/>
        </w:rPr>
        <w:t>0</w:t>
      </w:r>
      <w:r>
        <w:rPr>
          <w:rFonts w:ascii="仿宋" w:eastAsia="仿宋" w:hAnsi="仿宋" w:cs="仿宋" w:hint="eastAsia"/>
          <w:color w:val="000000"/>
          <w:sz w:val="32"/>
          <w:szCs w:val="32"/>
        </w:rPr>
        <w:t>万元，公务用车购置费及运行费116万元，公务接待费</w:t>
      </w:r>
      <w:r>
        <w:rPr>
          <w:rFonts w:ascii="仿宋" w:eastAsia="仿宋" w:hAnsi="仿宋" w:cs="仿宋"/>
          <w:color w:val="000000"/>
          <w:sz w:val="32"/>
          <w:szCs w:val="32"/>
        </w:rPr>
        <w:t>0</w:t>
      </w:r>
      <w:r>
        <w:rPr>
          <w:rFonts w:ascii="仿宋" w:eastAsia="仿宋" w:hAnsi="仿宋" w:cs="仿宋" w:hint="eastAsia"/>
          <w:color w:val="000000"/>
          <w:sz w:val="32"/>
          <w:szCs w:val="32"/>
        </w:rPr>
        <w:t>万元。</w:t>
      </w:r>
    </w:p>
    <w:p w:rsidR="00610E45" w:rsidRDefault="00240CDB">
      <w:pPr>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五、绩效预算信息</w:t>
      </w:r>
    </w:p>
    <w:p w:rsidR="00610E45" w:rsidRDefault="00240CDB">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总体绩效目标：</w:t>
      </w:r>
    </w:p>
    <w:p w:rsidR="00610E45" w:rsidRDefault="00240CDB">
      <w:pPr>
        <w:spacing w:line="360" w:lineRule="auto"/>
        <w:rPr>
          <w:rFonts w:ascii="仿宋" w:eastAsia="仿宋" w:hAnsi="仿宋" w:cs="仿宋"/>
          <w:sz w:val="32"/>
          <w:szCs w:val="32"/>
        </w:rPr>
      </w:pPr>
      <w:r>
        <w:rPr>
          <w:rFonts w:ascii="仿宋" w:eastAsia="仿宋" w:hAnsi="仿宋" w:cs="仿宋" w:hint="eastAsia"/>
          <w:sz w:val="32"/>
          <w:szCs w:val="32"/>
        </w:rPr>
        <w:t xml:space="preserve">    2019年，我队将继续围绕行业工作目标开展工作，严格依照全国统一货车限载新标准，加大对货车非法改装行为的打击力度，从源头预防和遏制货车违法超限超载运输行为，狠抓超限运输治理。按照省、市、区关于治理超限超载工作的总体要求，以治超站位依托，根据全区公路状况，不断加大路政执法力度，对205国道、唐曹公路、唐港线、丰碱线等重点路线实行24小时不间断执法，切实加大超限运输治理的密度、频度和强度，重点对避站绕行、短途驳载等情况较严重路段进行集中整治，遏制我区超限运输势头。</w:t>
      </w:r>
    </w:p>
    <w:p w:rsidR="00610E45" w:rsidRDefault="00240CDB">
      <w:pPr>
        <w:spacing w:line="360" w:lineRule="auto"/>
        <w:rPr>
          <w:rFonts w:ascii="仿宋" w:eastAsia="仿宋" w:hAnsi="仿宋" w:cs="仿宋"/>
          <w:sz w:val="32"/>
          <w:szCs w:val="32"/>
        </w:rPr>
      </w:pPr>
      <w:r>
        <w:rPr>
          <w:rFonts w:ascii="仿宋" w:eastAsia="仿宋" w:hAnsi="仿宋" w:cs="仿宋" w:hint="eastAsia"/>
          <w:sz w:val="32"/>
          <w:szCs w:val="32"/>
        </w:rPr>
        <w:t xml:space="preserve">    职责分类绩效目标：以保护路产，维护路权，保证公路畅通为宗旨，组织实施有关公路路政管理的法律、法规和规章；负责管理保护</w:t>
      </w:r>
      <w:r>
        <w:rPr>
          <w:rFonts w:ascii="仿宋" w:eastAsia="仿宋" w:hAnsi="仿宋" w:cs="仿宋" w:hint="eastAsia"/>
          <w:sz w:val="32"/>
          <w:szCs w:val="32"/>
        </w:rPr>
        <w:lastRenderedPageBreak/>
        <w:t>公路、公路用地和分管范围内的公路辅助设施；依法在公路、建筑控制区内进行路政监督检查。</w:t>
      </w:r>
    </w:p>
    <w:p w:rsidR="00610E45" w:rsidRDefault="00240CDB">
      <w:pPr>
        <w:spacing w:line="360" w:lineRule="auto"/>
        <w:rPr>
          <w:rFonts w:ascii="仿宋" w:eastAsia="仿宋" w:hAnsi="仿宋" w:cs="仿宋"/>
          <w:sz w:val="32"/>
          <w:szCs w:val="32"/>
        </w:rPr>
      </w:pPr>
      <w:r>
        <w:rPr>
          <w:rFonts w:ascii="仿宋" w:eastAsia="仿宋" w:hAnsi="仿宋" w:cs="仿宋" w:hint="eastAsia"/>
          <w:sz w:val="32"/>
          <w:szCs w:val="32"/>
        </w:rPr>
        <w:t xml:space="preserve">  （二）、单位职责及工作活动绩效目标指标</w:t>
      </w:r>
    </w:p>
    <w:p w:rsidR="00610E45" w:rsidRDefault="00610E45">
      <w:pPr>
        <w:spacing w:line="360" w:lineRule="auto"/>
        <w:ind w:firstLineChars="300" w:firstLine="960"/>
        <w:rPr>
          <w:rFonts w:ascii="仿宋" w:eastAsia="仿宋" w:hAnsi="仿宋" w:cs="仿宋"/>
          <w:sz w:val="32"/>
          <w:szCs w:val="32"/>
        </w:rPr>
      </w:pPr>
    </w:p>
    <w:p w:rsidR="00610E45" w:rsidRDefault="00610E45">
      <w:pPr>
        <w:spacing w:line="360" w:lineRule="auto"/>
        <w:ind w:firstLine="560"/>
        <w:rPr>
          <w:rFonts w:ascii="仿宋" w:eastAsia="仿宋" w:hAnsi="仿宋" w:cs="仿宋"/>
          <w:sz w:val="32"/>
          <w:szCs w:val="32"/>
        </w:rPr>
      </w:pPr>
    </w:p>
    <w:p w:rsidR="00610E45" w:rsidRDefault="00610E45">
      <w:pPr>
        <w:spacing w:line="360" w:lineRule="auto"/>
        <w:rPr>
          <w:rFonts w:ascii="仿宋" w:eastAsia="仿宋" w:hAnsi="仿宋" w:cs="仿宋"/>
          <w:sz w:val="32"/>
          <w:szCs w:val="32"/>
        </w:rPr>
        <w:sectPr w:rsidR="00610E45">
          <w:footerReference w:type="default" r:id="rId10"/>
          <w:pgSz w:w="11907" w:h="16839"/>
          <w:pgMar w:top="1440" w:right="1080" w:bottom="1440" w:left="1080" w:header="851" w:footer="992" w:gutter="0"/>
          <w:cols w:space="425"/>
          <w:docGrid w:type="lines" w:linePitch="312"/>
        </w:sectPr>
      </w:pPr>
    </w:p>
    <w:p w:rsidR="00610E45" w:rsidRDefault="00240CDB">
      <w:pPr>
        <w:spacing w:line="360" w:lineRule="auto"/>
        <w:jc w:val="center"/>
        <w:outlineLvl w:val="0"/>
        <w:rPr>
          <w:rFonts w:ascii="仿宋" w:eastAsia="仿宋" w:hAnsi="仿宋" w:cs="仿宋"/>
          <w:sz w:val="28"/>
          <w:szCs w:val="28"/>
        </w:rPr>
      </w:pPr>
      <w:bookmarkStart w:id="1" w:name="_Toc474138653"/>
      <w:r>
        <w:rPr>
          <w:rFonts w:ascii="仿宋" w:eastAsia="仿宋" w:hAnsi="仿宋" w:cs="仿宋" w:hint="eastAsia"/>
          <w:sz w:val="28"/>
          <w:szCs w:val="28"/>
        </w:rPr>
        <w:lastRenderedPageBreak/>
        <w:t>单位职责-工作活动绩效目标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343"/>
        <w:gridCol w:w="2909"/>
        <w:gridCol w:w="2976"/>
        <w:gridCol w:w="1417"/>
        <w:gridCol w:w="737"/>
        <w:gridCol w:w="737"/>
        <w:gridCol w:w="737"/>
        <w:gridCol w:w="737"/>
      </w:tblGrid>
      <w:tr w:rsidR="00610E45">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610E45" w:rsidRDefault="00240CDB">
            <w:pPr>
              <w:spacing w:line="360" w:lineRule="auto"/>
              <w:rPr>
                <w:rFonts w:ascii="仿宋" w:eastAsia="仿宋" w:hAnsi="仿宋" w:cs="仿宋"/>
                <w:sz w:val="28"/>
                <w:szCs w:val="28"/>
              </w:rPr>
            </w:pPr>
            <w:r>
              <w:rPr>
                <w:rFonts w:ascii="仿宋" w:eastAsia="仿宋" w:hAnsi="仿宋" w:cs="仿宋" w:hint="eastAsia"/>
                <w:sz w:val="28"/>
                <w:szCs w:val="28"/>
              </w:rPr>
              <w:t>433004唐山市丰南区交通运输综合执法大队</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610E45" w:rsidRDefault="00610E45">
            <w:pPr>
              <w:spacing w:line="360" w:lineRule="auto"/>
              <w:jc w:val="right"/>
              <w:rPr>
                <w:rFonts w:ascii="仿宋" w:eastAsia="仿宋" w:hAnsi="仿宋" w:cs="仿宋"/>
                <w:sz w:val="28"/>
                <w:szCs w:val="28"/>
              </w:rPr>
            </w:pPr>
          </w:p>
        </w:tc>
      </w:tr>
      <w:tr w:rsidR="00610E45">
        <w:trPr>
          <w:trHeight w:val="227"/>
          <w:tblHeader/>
          <w:jc w:val="center"/>
        </w:trPr>
        <w:tc>
          <w:tcPr>
            <w:tcW w:w="2341" w:type="dxa"/>
            <w:vMerge w:val="restart"/>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职责活动</w:t>
            </w:r>
          </w:p>
        </w:tc>
        <w:tc>
          <w:tcPr>
            <w:tcW w:w="1343" w:type="dxa"/>
            <w:vMerge w:val="restart"/>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年度预算数</w:t>
            </w:r>
          </w:p>
        </w:tc>
        <w:tc>
          <w:tcPr>
            <w:tcW w:w="2909" w:type="dxa"/>
            <w:vMerge w:val="restart"/>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内容描述</w:t>
            </w:r>
          </w:p>
        </w:tc>
        <w:tc>
          <w:tcPr>
            <w:tcW w:w="2976" w:type="dxa"/>
            <w:vMerge w:val="restart"/>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绩效目标</w:t>
            </w:r>
          </w:p>
        </w:tc>
        <w:tc>
          <w:tcPr>
            <w:tcW w:w="1417" w:type="dxa"/>
            <w:vMerge w:val="restart"/>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绩效指标</w:t>
            </w:r>
          </w:p>
        </w:tc>
        <w:tc>
          <w:tcPr>
            <w:tcW w:w="2948" w:type="dxa"/>
            <w:gridSpan w:val="4"/>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评价标准</w:t>
            </w:r>
          </w:p>
        </w:tc>
      </w:tr>
      <w:tr w:rsidR="00610E45">
        <w:trPr>
          <w:trHeight w:val="616"/>
          <w:tblHeader/>
          <w:jc w:val="center"/>
        </w:trPr>
        <w:tc>
          <w:tcPr>
            <w:tcW w:w="2341" w:type="dxa"/>
            <w:vMerge/>
            <w:shd w:val="clear" w:color="auto" w:fill="auto"/>
            <w:vAlign w:val="center"/>
          </w:tcPr>
          <w:p w:rsidR="00610E45" w:rsidRDefault="00610E45">
            <w:pPr>
              <w:spacing w:line="360" w:lineRule="auto"/>
              <w:outlineLvl w:val="0"/>
              <w:rPr>
                <w:rFonts w:ascii="仿宋" w:eastAsia="仿宋" w:hAnsi="仿宋" w:cs="仿宋"/>
                <w:sz w:val="28"/>
                <w:szCs w:val="28"/>
              </w:rPr>
            </w:pPr>
          </w:p>
        </w:tc>
        <w:tc>
          <w:tcPr>
            <w:tcW w:w="1343" w:type="dxa"/>
            <w:vMerge/>
            <w:shd w:val="clear" w:color="auto" w:fill="auto"/>
            <w:vAlign w:val="center"/>
          </w:tcPr>
          <w:p w:rsidR="00610E45" w:rsidRDefault="00610E45">
            <w:pPr>
              <w:spacing w:line="360" w:lineRule="auto"/>
              <w:outlineLvl w:val="0"/>
              <w:rPr>
                <w:rFonts w:ascii="仿宋" w:eastAsia="仿宋" w:hAnsi="仿宋" w:cs="仿宋"/>
                <w:sz w:val="28"/>
                <w:szCs w:val="28"/>
              </w:rPr>
            </w:pPr>
          </w:p>
        </w:tc>
        <w:tc>
          <w:tcPr>
            <w:tcW w:w="2909" w:type="dxa"/>
            <w:vMerge/>
            <w:shd w:val="clear" w:color="auto" w:fill="auto"/>
            <w:vAlign w:val="center"/>
          </w:tcPr>
          <w:p w:rsidR="00610E45" w:rsidRDefault="00610E45">
            <w:pPr>
              <w:spacing w:line="360" w:lineRule="auto"/>
              <w:outlineLvl w:val="0"/>
              <w:rPr>
                <w:rFonts w:ascii="仿宋" w:eastAsia="仿宋" w:hAnsi="仿宋" w:cs="仿宋"/>
                <w:sz w:val="28"/>
                <w:szCs w:val="28"/>
              </w:rPr>
            </w:pPr>
          </w:p>
        </w:tc>
        <w:tc>
          <w:tcPr>
            <w:tcW w:w="2976" w:type="dxa"/>
            <w:vMerge/>
            <w:shd w:val="clear" w:color="auto" w:fill="auto"/>
            <w:vAlign w:val="center"/>
          </w:tcPr>
          <w:p w:rsidR="00610E45" w:rsidRDefault="00610E45">
            <w:pPr>
              <w:spacing w:line="360" w:lineRule="auto"/>
              <w:outlineLvl w:val="0"/>
              <w:rPr>
                <w:rFonts w:ascii="仿宋" w:eastAsia="仿宋" w:hAnsi="仿宋" w:cs="仿宋"/>
                <w:sz w:val="28"/>
                <w:szCs w:val="28"/>
              </w:rPr>
            </w:pPr>
          </w:p>
        </w:tc>
        <w:tc>
          <w:tcPr>
            <w:tcW w:w="1417" w:type="dxa"/>
            <w:vMerge/>
            <w:shd w:val="clear" w:color="auto" w:fill="auto"/>
            <w:vAlign w:val="center"/>
          </w:tcPr>
          <w:p w:rsidR="00610E45" w:rsidRDefault="00610E45">
            <w:pPr>
              <w:spacing w:line="360" w:lineRule="auto"/>
              <w:outlineLvl w:val="0"/>
              <w:rPr>
                <w:rFonts w:ascii="仿宋" w:eastAsia="仿宋" w:hAnsi="仿宋" w:cs="仿宋"/>
                <w:sz w:val="28"/>
                <w:szCs w:val="28"/>
              </w:rPr>
            </w:pP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优</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良</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中</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差</w:t>
            </w:r>
          </w:p>
        </w:tc>
      </w:tr>
      <w:tr w:rsidR="00610E45">
        <w:trPr>
          <w:trHeight w:val="227"/>
          <w:jc w:val="center"/>
        </w:trPr>
        <w:tc>
          <w:tcPr>
            <w:tcW w:w="2341" w:type="dxa"/>
            <w:vMerge w:val="restart"/>
            <w:shd w:val="clear" w:color="auto" w:fill="auto"/>
            <w:vAlign w:val="center"/>
          </w:tcPr>
          <w:p w:rsidR="00610E45" w:rsidRDefault="00240CDB">
            <w:pPr>
              <w:spacing w:line="360" w:lineRule="auto"/>
              <w:rPr>
                <w:rFonts w:ascii="仿宋" w:eastAsia="仿宋" w:hAnsi="仿宋" w:cs="仿宋"/>
                <w:sz w:val="28"/>
                <w:szCs w:val="28"/>
              </w:rPr>
            </w:pPr>
            <w:r>
              <w:rPr>
                <w:rFonts w:ascii="仿宋" w:eastAsia="仿宋" w:hAnsi="仿宋" w:cs="仿宋" w:hint="eastAsia"/>
                <w:sz w:val="28"/>
                <w:szCs w:val="28"/>
              </w:rPr>
              <w:t xml:space="preserve">　　公路管理</w:t>
            </w:r>
          </w:p>
        </w:tc>
        <w:tc>
          <w:tcPr>
            <w:tcW w:w="1343" w:type="dxa"/>
            <w:vMerge w:val="restart"/>
            <w:shd w:val="clear" w:color="auto" w:fill="auto"/>
            <w:vAlign w:val="center"/>
          </w:tcPr>
          <w:p w:rsidR="00610E45" w:rsidRDefault="00610E45">
            <w:pPr>
              <w:spacing w:line="360" w:lineRule="auto"/>
              <w:rPr>
                <w:rFonts w:ascii="仿宋" w:eastAsia="仿宋" w:hAnsi="仿宋" w:cs="仿宋"/>
                <w:sz w:val="28"/>
                <w:szCs w:val="28"/>
              </w:rPr>
            </w:pPr>
          </w:p>
        </w:tc>
        <w:tc>
          <w:tcPr>
            <w:tcW w:w="2909" w:type="dxa"/>
            <w:vMerge w:val="restart"/>
            <w:shd w:val="clear" w:color="auto" w:fill="auto"/>
            <w:vAlign w:val="center"/>
          </w:tcPr>
          <w:p w:rsidR="00610E45" w:rsidRDefault="00240CDB">
            <w:pPr>
              <w:spacing w:line="360" w:lineRule="auto"/>
              <w:rPr>
                <w:rFonts w:ascii="仿宋" w:eastAsia="仿宋" w:hAnsi="仿宋" w:cs="仿宋"/>
                <w:sz w:val="28"/>
                <w:szCs w:val="28"/>
              </w:rPr>
            </w:pPr>
            <w:r>
              <w:rPr>
                <w:rFonts w:ascii="仿宋" w:eastAsia="仿宋" w:hAnsi="仿宋" w:cs="仿宋" w:hint="eastAsia"/>
                <w:sz w:val="28"/>
                <w:szCs w:val="28"/>
              </w:rPr>
              <w:t>对公路建设、养护、运营及路政、治理超限超载进行管理。依法行使公路方面行政处罚权，对公路超限治理进行监督管理。</w:t>
            </w:r>
          </w:p>
        </w:tc>
        <w:tc>
          <w:tcPr>
            <w:tcW w:w="2976" w:type="dxa"/>
            <w:vMerge w:val="restart"/>
            <w:shd w:val="clear" w:color="auto" w:fill="auto"/>
            <w:vAlign w:val="center"/>
          </w:tcPr>
          <w:p w:rsidR="00610E45" w:rsidRDefault="00240CDB">
            <w:pPr>
              <w:spacing w:line="360" w:lineRule="auto"/>
              <w:rPr>
                <w:rFonts w:ascii="仿宋" w:eastAsia="仿宋" w:hAnsi="仿宋" w:cs="仿宋"/>
                <w:sz w:val="28"/>
                <w:szCs w:val="28"/>
              </w:rPr>
            </w:pPr>
            <w:r>
              <w:rPr>
                <w:rFonts w:ascii="仿宋" w:eastAsia="仿宋" w:hAnsi="仿宋" w:cs="仿宋" w:hint="eastAsia"/>
                <w:sz w:val="28"/>
                <w:szCs w:val="28"/>
              </w:rPr>
              <w:t>提高公路运行能力，缓解繁忙路段交通压力；维护路产路权，治理超限运输，保障通行能力，提高服务水平</w:t>
            </w:r>
          </w:p>
        </w:tc>
        <w:tc>
          <w:tcPr>
            <w:tcW w:w="1417" w:type="dxa"/>
            <w:shd w:val="clear" w:color="auto" w:fill="auto"/>
            <w:vAlign w:val="center"/>
          </w:tcPr>
          <w:p w:rsidR="00610E45" w:rsidRDefault="00240CDB">
            <w:pPr>
              <w:spacing w:line="360" w:lineRule="auto"/>
              <w:rPr>
                <w:rFonts w:ascii="仿宋" w:eastAsia="仿宋" w:hAnsi="仿宋" w:cs="仿宋"/>
                <w:sz w:val="28"/>
                <w:szCs w:val="28"/>
              </w:rPr>
            </w:pPr>
            <w:r>
              <w:rPr>
                <w:rFonts w:ascii="仿宋" w:eastAsia="仿宋" w:hAnsi="仿宋" w:cs="仿宋" w:hint="eastAsia"/>
                <w:sz w:val="28"/>
                <w:szCs w:val="28"/>
              </w:rPr>
              <w:t>超限超载率</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&lt;2.5%</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&lt;3%</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&lt;3.5%</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≥3.5%</w:t>
            </w:r>
          </w:p>
        </w:tc>
      </w:tr>
      <w:tr w:rsidR="00610E45">
        <w:trPr>
          <w:trHeight w:val="3589"/>
          <w:jc w:val="center"/>
        </w:trPr>
        <w:tc>
          <w:tcPr>
            <w:tcW w:w="2341" w:type="dxa"/>
            <w:vMerge/>
            <w:shd w:val="clear" w:color="auto" w:fill="auto"/>
            <w:vAlign w:val="center"/>
          </w:tcPr>
          <w:p w:rsidR="00610E45" w:rsidRDefault="00610E45">
            <w:pPr>
              <w:spacing w:line="360" w:lineRule="auto"/>
              <w:rPr>
                <w:rFonts w:ascii="仿宋" w:eastAsia="仿宋" w:hAnsi="仿宋" w:cs="仿宋"/>
                <w:sz w:val="28"/>
                <w:szCs w:val="28"/>
              </w:rPr>
            </w:pPr>
          </w:p>
        </w:tc>
        <w:tc>
          <w:tcPr>
            <w:tcW w:w="1343" w:type="dxa"/>
            <w:vMerge/>
            <w:shd w:val="clear" w:color="auto" w:fill="auto"/>
            <w:vAlign w:val="center"/>
          </w:tcPr>
          <w:p w:rsidR="00610E45" w:rsidRDefault="00610E45">
            <w:pPr>
              <w:spacing w:line="360" w:lineRule="auto"/>
              <w:rPr>
                <w:rFonts w:ascii="仿宋" w:eastAsia="仿宋" w:hAnsi="仿宋" w:cs="仿宋"/>
                <w:sz w:val="28"/>
                <w:szCs w:val="28"/>
              </w:rPr>
            </w:pPr>
          </w:p>
        </w:tc>
        <w:tc>
          <w:tcPr>
            <w:tcW w:w="2909" w:type="dxa"/>
            <w:vMerge/>
            <w:shd w:val="clear" w:color="auto" w:fill="auto"/>
            <w:vAlign w:val="center"/>
          </w:tcPr>
          <w:p w:rsidR="00610E45" w:rsidRDefault="00610E45">
            <w:pPr>
              <w:spacing w:line="360" w:lineRule="auto"/>
              <w:rPr>
                <w:rFonts w:ascii="仿宋" w:eastAsia="仿宋" w:hAnsi="仿宋" w:cs="仿宋"/>
                <w:sz w:val="28"/>
                <w:szCs w:val="28"/>
              </w:rPr>
            </w:pPr>
          </w:p>
        </w:tc>
        <w:tc>
          <w:tcPr>
            <w:tcW w:w="2976" w:type="dxa"/>
            <w:vMerge/>
            <w:shd w:val="clear" w:color="auto" w:fill="auto"/>
            <w:vAlign w:val="center"/>
          </w:tcPr>
          <w:p w:rsidR="00610E45" w:rsidRDefault="00610E45">
            <w:pPr>
              <w:spacing w:line="360" w:lineRule="auto"/>
              <w:rPr>
                <w:rFonts w:ascii="仿宋" w:eastAsia="仿宋" w:hAnsi="仿宋" w:cs="仿宋"/>
                <w:sz w:val="28"/>
                <w:szCs w:val="28"/>
              </w:rPr>
            </w:pPr>
          </w:p>
        </w:tc>
        <w:tc>
          <w:tcPr>
            <w:tcW w:w="1417" w:type="dxa"/>
            <w:shd w:val="clear" w:color="auto" w:fill="auto"/>
            <w:vAlign w:val="center"/>
          </w:tcPr>
          <w:p w:rsidR="00610E45" w:rsidRDefault="00240CDB">
            <w:pPr>
              <w:spacing w:line="360" w:lineRule="auto"/>
              <w:rPr>
                <w:rFonts w:ascii="仿宋" w:eastAsia="仿宋" w:hAnsi="仿宋" w:cs="仿宋"/>
                <w:sz w:val="28"/>
                <w:szCs w:val="28"/>
              </w:rPr>
            </w:pPr>
            <w:r>
              <w:rPr>
                <w:rFonts w:ascii="仿宋" w:eastAsia="仿宋" w:hAnsi="仿宋" w:cs="仿宋" w:hint="eastAsia"/>
                <w:sz w:val="28"/>
                <w:szCs w:val="28"/>
              </w:rPr>
              <w:t>行政处罚事项完成率</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100%</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≥95%</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≥90%</w:t>
            </w:r>
          </w:p>
        </w:tc>
        <w:tc>
          <w:tcPr>
            <w:tcW w:w="737" w:type="dxa"/>
            <w:shd w:val="clear" w:color="auto" w:fill="auto"/>
            <w:vAlign w:val="center"/>
          </w:tcPr>
          <w:p w:rsidR="00610E45" w:rsidRDefault="00240CDB">
            <w:pPr>
              <w:spacing w:line="360" w:lineRule="auto"/>
              <w:jc w:val="center"/>
              <w:rPr>
                <w:rFonts w:ascii="仿宋" w:eastAsia="仿宋" w:hAnsi="仿宋" w:cs="仿宋"/>
                <w:sz w:val="28"/>
                <w:szCs w:val="28"/>
              </w:rPr>
            </w:pPr>
            <w:r>
              <w:rPr>
                <w:rFonts w:ascii="仿宋" w:eastAsia="仿宋" w:hAnsi="仿宋" w:cs="仿宋" w:hint="eastAsia"/>
                <w:sz w:val="28"/>
                <w:szCs w:val="28"/>
              </w:rPr>
              <w:t>&lt;90%</w:t>
            </w:r>
          </w:p>
        </w:tc>
      </w:tr>
    </w:tbl>
    <w:p w:rsidR="00610E45" w:rsidRDefault="00610E45">
      <w:pPr>
        <w:spacing w:line="360" w:lineRule="auto"/>
        <w:outlineLvl w:val="0"/>
        <w:rPr>
          <w:rFonts w:ascii="仿宋" w:eastAsia="仿宋" w:hAnsi="仿宋" w:cs="仿宋"/>
          <w:sz w:val="28"/>
          <w:szCs w:val="28"/>
        </w:rPr>
        <w:sectPr w:rsidR="00610E45">
          <w:pgSz w:w="16839" w:h="11907" w:orient="landscape"/>
          <w:pgMar w:top="1440" w:right="1080" w:bottom="1440" w:left="1080" w:header="851" w:footer="992" w:gutter="0"/>
          <w:cols w:space="425"/>
          <w:docGrid w:type="lines" w:linePitch="312"/>
        </w:sectPr>
      </w:pPr>
    </w:p>
    <w:p w:rsidR="00610E45" w:rsidRDefault="00240CDB">
      <w:pPr>
        <w:spacing w:after="0" w:line="360" w:lineRule="auto"/>
        <w:ind w:left="562" w:hangingChars="200" w:hanging="562"/>
        <w:jc w:val="both"/>
        <w:rPr>
          <w:rFonts w:ascii="仿宋" w:eastAsia="仿宋" w:hAnsi="仿宋" w:cs="仿宋"/>
          <w:b/>
          <w:bCs/>
          <w:sz w:val="28"/>
          <w:szCs w:val="28"/>
        </w:rPr>
      </w:pPr>
      <w:r>
        <w:rPr>
          <w:rFonts w:ascii="仿宋" w:eastAsia="仿宋" w:hAnsi="仿宋" w:cs="仿宋" w:hint="eastAsia"/>
          <w:b/>
          <w:bCs/>
          <w:sz w:val="28"/>
          <w:szCs w:val="28"/>
        </w:rPr>
        <w:lastRenderedPageBreak/>
        <w:t>六、政府采购预算信息</w:t>
      </w:r>
    </w:p>
    <w:p w:rsidR="00610E45" w:rsidRDefault="00240CDB">
      <w:pPr>
        <w:spacing w:after="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我单位年初未安排政府采购预算，无采购项目、采购物品、采购数量及采购金额。</w:t>
      </w:r>
    </w:p>
    <w:p w:rsidR="00610E45" w:rsidRDefault="00240CDB">
      <w:pPr>
        <w:spacing w:after="0" w:line="360" w:lineRule="auto"/>
        <w:ind w:left="562" w:hangingChars="200" w:hanging="562"/>
        <w:jc w:val="both"/>
        <w:rPr>
          <w:rFonts w:ascii="仿宋" w:eastAsia="仿宋" w:hAnsi="仿宋" w:cs="仿宋"/>
          <w:b/>
          <w:bCs/>
          <w:sz w:val="28"/>
          <w:szCs w:val="28"/>
        </w:rPr>
      </w:pPr>
      <w:r>
        <w:rPr>
          <w:rFonts w:ascii="仿宋" w:eastAsia="仿宋" w:hAnsi="仿宋" w:cs="仿宋" w:hint="eastAsia"/>
          <w:b/>
          <w:bCs/>
          <w:sz w:val="28"/>
          <w:szCs w:val="28"/>
        </w:rPr>
        <w:t>七、国有资产信息</w:t>
      </w:r>
    </w:p>
    <w:p w:rsidR="00610E45" w:rsidRDefault="00240CDB">
      <w:pPr>
        <w:spacing w:after="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2018年末我单位固定资产总额1002.74万元，其中：房屋1378.72平方米价值779.01万元；车辆15辆，价值162.91万元；其他固定资产价值60.82万元。国有资产拟购置情况：我单位年初未安排国有资产预算，无固定资产拟购置情况。</w:t>
      </w:r>
    </w:p>
    <w:p w:rsidR="00610E45" w:rsidRDefault="00240CDB">
      <w:pPr>
        <w:spacing w:after="0"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单位固定资产占用情况表</w:t>
      </w:r>
    </w:p>
    <w:p w:rsidR="00610E45" w:rsidRDefault="00240CDB">
      <w:pPr>
        <w:spacing w:after="0" w:line="360" w:lineRule="auto"/>
        <w:rPr>
          <w:rFonts w:ascii="仿宋" w:eastAsia="仿宋" w:hAnsi="仿宋" w:cs="仿宋"/>
          <w:sz w:val="28"/>
          <w:szCs w:val="28"/>
        </w:rPr>
      </w:pPr>
      <w:r>
        <w:rPr>
          <w:rFonts w:ascii="仿宋" w:eastAsia="仿宋" w:hAnsi="仿宋" w:cs="仿宋" w:hint="eastAsia"/>
          <w:sz w:val="28"/>
          <w:szCs w:val="28"/>
        </w:rPr>
        <w:t>编制单位：唐山市丰南区交通运输综合执法大队 截止时间：2018年12月31日</w:t>
      </w:r>
    </w:p>
    <w:tbl>
      <w:tblPr>
        <w:tblStyle w:val="a6"/>
        <w:tblW w:w="9962" w:type="dxa"/>
        <w:tblLayout w:type="fixed"/>
        <w:tblLook w:val="04A0" w:firstRow="1" w:lastRow="0" w:firstColumn="1" w:lastColumn="0" w:noHBand="0" w:noVBand="1"/>
      </w:tblPr>
      <w:tblGrid>
        <w:gridCol w:w="3721"/>
        <w:gridCol w:w="2920"/>
        <w:gridCol w:w="3321"/>
      </w:tblGrid>
      <w:tr w:rsidR="00610E45">
        <w:tc>
          <w:tcPr>
            <w:tcW w:w="3721" w:type="dxa"/>
          </w:tcPr>
          <w:p w:rsidR="00610E45" w:rsidRDefault="00240CDB">
            <w:pPr>
              <w:widowControl/>
              <w:spacing w:after="0" w:line="360" w:lineRule="auto"/>
              <w:jc w:val="center"/>
              <w:rPr>
                <w:rFonts w:ascii="仿宋" w:eastAsia="仿宋" w:hAnsi="仿宋" w:cs="仿宋"/>
                <w:sz w:val="28"/>
                <w:szCs w:val="28"/>
              </w:rPr>
            </w:pPr>
            <w:r>
              <w:rPr>
                <w:rFonts w:ascii="仿宋" w:eastAsia="仿宋" w:hAnsi="仿宋" w:cs="仿宋" w:hint="eastAsia"/>
                <w:sz w:val="28"/>
                <w:szCs w:val="28"/>
              </w:rPr>
              <w:t>项目</w:t>
            </w:r>
          </w:p>
        </w:tc>
        <w:tc>
          <w:tcPr>
            <w:tcW w:w="2920" w:type="dxa"/>
          </w:tcPr>
          <w:p w:rsidR="00610E45" w:rsidRDefault="00240CDB">
            <w:pPr>
              <w:widowControl/>
              <w:spacing w:after="0"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3321" w:type="dxa"/>
          </w:tcPr>
          <w:p w:rsidR="00610E45" w:rsidRDefault="00240CDB">
            <w:pPr>
              <w:widowControl/>
              <w:spacing w:after="0" w:line="360" w:lineRule="auto"/>
              <w:jc w:val="center"/>
              <w:rPr>
                <w:rFonts w:ascii="仿宋" w:eastAsia="仿宋" w:hAnsi="仿宋" w:cs="仿宋"/>
                <w:sz w:val="28"/>
                <w:szCs w:val="28"/>
              </w:rPr>
            </w:pPr>
            <w:r>
              <w:rPr>
                <w:rFonts w:ascii="仿宋" w:eastAsia="仿宋" w:hAnsi="仿宋" w:cs="仿宋" w:hint="eastAsia"/>
                <w:sz w:val="28"/>
                <w:szCs w:val="28"/>
              </w:rPr>
              <w:t>价值（金额单位：万元）</w:t>
            </w:r>
          </w:p>
        </w:tc>
      </w:tr>
      <w:tr w:rsidR="00610E45">
        <w:tc>
          <w:tcPr>
            <w:tcW w:w="3721"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资产总额</w:t>
            </w:r>
          </w:p>
        </w:tc>
        <w:tc>
          <w:tcPr>
            <w:tcW w:w="2920" w:type="dxa"/>
          </w:tcPr>
          <w:p w:rsidR="00610E45" w:rsidRDefault="00240CDB">
            <w:pPr>
              <w:widowControl/>
              <w:spacing w:after="0" w:line="360" w:lineRule="auto"/>
              <w:rPr>
                <w:rFonts w:ascii="仿宋" w:eastAsia="仿宋" w:hAnsi="仿宋" w:cs="仿宋"/>
                <w:b/>
                <w:bCs/>
                <w:sz w:val="28"/>
                <w:szCs w:val="28"/>
              </w:rPr>
            </w:pPr>
            <w:r>
              <w:rPr>
                <w:rFonts w:ascii="仿宋" w:eastAsia="仿宋" w:hAnsi="仿宋" w:cs="仿宋" w:hint="eastAsia"/>
                <w:b/>
                <w:bCs/>
                <w:sz w:val="28"/>
                <w:szCs w:val="28"/>
              </w:rPr>
              <w:t xml:space="preserve">        ---</w:t>
            </w:r>
          </w:p>
        </w:tc>
        <w:tc>
          <w:tcPr>
            <w:tcW w:w="3321"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1002.74</w:t>
            </w:r>
          </w:p>
        </w:tc>
      </w:tr>
      <w:tr w:rsidR="00610E45">
        <w:tc>
          <w:tcPr>
            <w:tcW w:w="3721" w:type="dxa"/>
          </w:tcPr>
          <w:p w:rsidR="00610E45" w:rsidRDefault="00240CDB">
            <w:pPr>
              <w:widowControl/>
              <w:spacing w:after="0" w:line="360" w:lineRule="auto"/>
              <w:jc w:val="left"/>
              <w:rPr>
                <w:rFonts w:ascii="仿宋" w:eastAsia="仿宋" w:hAnsi="仿宋" w:cs="仿宋"/>
                <w:b/>
                <w:bCs/>
                <w:sz w:val="28"/>
                <w:szCs w:val="28"/>
              </w:rPr>
            </w:pPr>
            <w:r>
              <w:rPr>
                <w:rFonts w:ascii="仿宋" w:eastAsia="仿宋" w:hAnsi="仿宋" w:cs="仿宋" w:hint="eastAsia"/>
                <w:b/>
                <w:bCs/>
                <w:sz w:val="28"/>
                <w:szCs w:val="28"/>
              </w:rPr>
              <w:t>1、房屋（平方米）</w:t>
            </w:r>
          </w:p>
        </w:tc>
        <w:tc>
          <w:tcPr>
            <w:tcW w:w="2920"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1378.72</w:t>
            </w:r>
          </w:p>
        </w:tc>
        <w:tc>
          <w:tcPr>
            <w:tcW w:w="3321"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779.01</w:t>
            </w:r>
          </w:p>
        </w:tc>
      </w:tr>
      <w:tr w:rsidR="00610E45">
        <w:tc>
          <w:tcPr>
            <w:tcW w:w="3721" w:type="dxa"/>
          </w:tcPr>
          <w:p w:rsidR="00610E45" w:rsidRDefault="00240CDB">
            <w:pPr>
              <w:widowControl/>
              <w:spacing w:after="0" w:line="360" w:lineRule="auto"/>
              <w:jc w:val="left"/>
              <w:rPr>
                <w:rFonts w:ascii="仿宋" w:eastAsia="仿宋" w:hAnsi="仿宋" w:cs="仿宋"/>
                <w:b/>
                <w:bCs/>
                <w:sz w:val="28"/>
                <w:szCs w:val="28"/>
              </w:rPr>
            </w:pPr>
            <w:r>
              <w:rPr>
                <w:rFonts w:ascii="仿宋" w:eastAsia="仿宋" w:hAnsi="仿宋" w:cs="仿宋" w:hint="eastAsia"/>
                <w:b/>
                <w:bCs/>
                <w:sz w:val="28"/>
                <w:szCs w:val="28"/>
              </w:rPr>
              <w:t>其中：办公用房</w:t>
            </w:r>
          </w:p>
        </w:tc>
        <w:tc>
          <w:tcPr>
            <w:tcW w:w="2920"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860</w:t>
            </w:r>
          </w:p>
        </w:tc>
        <w:tc>
          <w:tcPr>
            <w:tcW w:w="3321"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556.54</w:t>
            </w:r>
          </w:p>
        </w:tc>
      </w:tr>
      <w:tr w:rsidR="00610E45">
        <w:tc>
          <w:tcPr>
            <w:tcW w:w="3721" w:type="dxa"/>
          </w:tcPr>
          <w:p w:rsidR="00610E45" w:rsidRDefault="00240CDB">
            <w:pPr>
              <w:widowControl/>
              <w:spacing w:after="0" w:line="360" w:lineRule="auto"/>
              <w:jc w:val="left"/>
              <w:rPr>
                <w:rFonts w:ascii="仿宋" w:eastAsia="仿宋" w:hAnsi="仿宋" w:cs="仿宋"/>
                <w:b/>
                <w:bCs/>
                <w:sz w:val="28"/>
                <w:szCs w:val="28"/>
              </w:rPr>
            </w:pPr>
            <w:r>
              <w:rPr>
                <w:rFonts w:ascii="仿宋" w:eastAsia="仿宋" w:hAnsi="仿宋" w:cs="仿宋" w:hint="eastAsia"/>
                <w:b/>
                <w:bCs/>
                <w:sz w:val="28"/>
                <w:szCs w:val="28"/>
              </w:rPr>
              <w:t>2、车辆（台、辆）</w:t>
            </w:r>
          </w:p>
        </w:tc>
        <w:tc>
          <w:tcPr>
            <w:tcW w:w="2920"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15</w:t>
            </w:r>
          </w:p>
        </w:tc>
        <w:tc>
          <w:tcPr>
            <w:tcW w:w="3321"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162.91</w:t>
            </w:r>
          </w:p>
        </w:tc>
      </w:tr>
      <w:tr w:rsidR="00610E45">
        <w:tc>
          <w:tcPr>
            <w:tcW w:w="3721" w:type="dxa"/>
          </w:tcPr>
          <w:p w:rsidR="00610E45" w:rsidRDefault="00240CDB">
            <w:pPr>
              <w:widowControl/>
              <w:spacing w:after="0" w:line="360" w:lineRule="auto"/>
              <w:jc w:val="left"/>
              <w:rPr>
                <w:rFonts w:ascii="仿宋" w:eastAsia="仿宋" w:hAnsi="仿宋" w:cs="仿宋"/>
                <w:b/>
                <w:bCs/>
                <w:sz w:val="28"/>
                <w:szCs w:val="28"/>
              </w:rPr>
            </w:pPr>
            <w:r>
              <w:rPr>
                <w:rFonts w:ascii="仿宋" w:eastAsia="仿宋" w:hAnsi="仿宋" w:cs="仿宋" w:hint="eastAsia"/>
                <w:b/>
                <w:bCs/>
                <w:sz w:val="28"/>
                <w:szCs w:val="28"/>
              </w:rPr>
              <w:t>3、单价在20万元以上设备</w:t>
            </w:r>
          </w:p>
        </w:tc>
        <w:tc>
          <w:tcPr>
            <w:tcW w:w="2920" w:type="dxa"/>
          </w:tcPr>
          <w:p w:rsidR="00610E45" w:rsidRDefault="00610E45">
            <w:pPr>
              <w:widowControl/>
              <w:spacing w:after="0" w:line="360" w:lineRule="auto"/>
              <w:jc w:val="center"/>
              <w:rPr>
                <w:rFonts w:ascii="仿宋" w:eastAsia="仿宋" w:hAnsi="仿宋" w:cs="仿宋"/>
                <w:b/>
                <w:bCs/>
                <w:sz w:val="28"/>
                <w:szCs w:val="28"/>
              </w:rPr>
            </w:pPr>
          </w:p>
        </w:tc>
        <w:tc>
          <w:tcPr>
            <w:tcW w:w="3321" w:type="dxa"/>
          </w:tcPr>
          <w:p w:rsidR="00610E45" w:rsidRDefault="00610E45">
            <w:pPr>
              <w:widowControl/>
              <w:spacing w:after="0" w:line="360" w:lineRule="auto"/>
              <w:jc w:val="center"/>
              <w:rPr>
                <w:rFonts w:ascii="仿宋" w:eastAsia="仿宋" w:hAnsi="仿宋" w:cs="仿宋"/>
                <w:b/>
                <w:bCs/>
                <w:sz w:val="28"/>
                <w:szCs w:val="28"/>
              </w:rPr>
            </w:pPr>
          </w:p>
        </w:tc>
      </w:tr>
      <w:tr w:rsidR="00610E45">
        <w:tc>
          <w:tcPr>
            <w:tcW w:w="3721" w:type="dxa"/>
          </w:tcPr>
          <w:p w:rsidR="00610E45" w:rsidRDefault="00240CDB">
            <w:pPr>
              <w:widowControl/>
              <w:spacing w:after="0" w:line="360" w:lineRule="auto"/>
              <w:jc w:val="left"/>
              <w:rPr>
                <w:rFonts w:ascii="仿宋" w:eastAsia="仿宋" w:hAnsi="仿宋" w:cs="仿宋"/>
                <w:b/>
                <w:bCs/>
                <w:sz w:val="28"/>
                <w:szCs w:val="28"/>
              </w:rPr>
            </w:pPr>
            <w:r>
              <w:rPr>
                <w:rFonts w:ascii="仿宋" w:eastAsia="仿宋" w:hAnsi="仿宋" w:cs="仿宋" w:hint="eastAsia"/>
                <w:b/>
                <w:bCs/>
                <w:sz w:val="28"/>
                <w:szCs w:val="28"/>
              </w:rPr>
              <w:t>4、其他固定资产</w:t>
            </w:r>
          </w:p>
        </w:tc>
        <w:tc>
          <w:tcPr>
            <w:tcW w:w="2920" w:type="dxa"/>
          </w:tcPr>
          <w:p w:rsidR="00610E45" w:rsidRDefault="00610E45">
            <w:pPr>
              <w:widowControl/>
              <w:spacing w:after="0" w:line="360" w:lineRule="auto"/>
              <w:jc w:val="center"/>
              <w:rPr>
                <w:rFonts w:ascii="仿宋" w:eastAsia="仿宋" w:hAnsi="仿宋" w:cs="仿宋"/>
                <w:b/>
                <w:bCs/>
                <w:sz w:val="28"/>
                <w:szCs w:val="28"/>
              </w:rPr>
            </w:pPr>
          </w:p>
        </w:tc>
        <w:tc>
          <w:tcPr>
            <w:tcW w:w="3321" w:type="dxa"/>
          </w:tcPr>
          <w:p w:rsidR="00610E45" w:rsidRDefault="00240CDB">
            <w:pPr>
              <w:widowControl/>
              <w:spacing w:after="0" w:line="360" w:lineRule="auto"/>
              <w:jc w:val="center"/>
              <w:rPr>
                <w:rFonts w:ascii="仿宋" w:eastAsia="仿宋" w:hAnsi="仿宋" w:cs="仿宋"/>
                <w:b/>
                <w:bCs/>
                <w:sz w:val="28"/>
                <w:szCs w:val="28"/>
              </w:rPr>
            </w:pPr>
            <w:r>
              <w:rPr>
                <w:rFonts w:ascii="仿宋" w:eastAsia="仿宋" w:hAnsi="仿宋" w:cs="仿宋" w:hint="eastAsia"/>
                <w:b/>
                <w:bCs/>
                <w:sz w:val="28"/>
                <w:szCs w:val="28"/>
              </w:rPr>
              <w:t>60.82</w:t>
            </w:r>
          </w:p>
        </w:tc>
      </w:tr>
    </w:tbl>
    <w:p w:rsidR="00610E45" w:rsidRDefault="00610E45">
      <w:pPr>
        <w:spacing w:after="0" w:line="360" w:lineRule="auto"/>
        <w:ind w:firstLineChars="200" w:firstLine="562"/>
        <w:jc w:val="center"/>
        <w:rPr>
          <w:rFonts w:ascii="仿宋" w:eastAsia="仿宋" w:hAnsi="仿宋" w:cs="仿宋"/>
          <w:b/>
          <w:bCs/>
          <w:sz w:val="28"/>
          <w:szCs w:val="28"/>
        </w:rPr>
      </w:pPr>
    </w:p>
    <w:p w:rsidR="00610E45" w:rsidRDefault="00240CDB">
      <w:pPr>
        <w:spacing w:after="0" w:line="360" w:lineRule="auto"/>
        <w:jc w:val="both"/>
        <w:rPr>
          <w:rFonts w:ascii="仿宋" w:eastAsia="仿宋" w:hAnsi="仿宋" w:cs="仿宋"/>
          <w:b/>
          <w:bCs/>
          <w:sz w:val="28"/>
          <w:szCs w:val="28"/>
        </w:rPr>
      </w:pPr>
      <w:r>
        <w:rPr>
          <w:rFonts w:ascii="仿宋" w:eastAsia="仿宋" w:hAnsi="仿宋" w:cs="仿宋" w:hint="eastAsia"/>
          <w:b/>
          <w:bCs/>
          <w:sz w:val="28"/>
          <w:szCs w:val="28"/>
        </w:rPr>
        <w:t>八、专业名词解释</w:t>
      </w:r>
    </w:p>
    <w:p w:rsidR="00610E45" w:rsidRDefault="00240CDB">
      <w:pPr>
        <w:spacing w:after="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1、一般公共财政预算收入是指政府凭借国家政治权力，以社会管理者身份筹集以税收为主体的财政收入，主要用于保障和改善民生、维持国家行政职能正常运转、保障国家安全等方面。</w:t>
      </w:r>
    </w:p>
    <w:p w:rsidR="00610E45" w:rsidRDefault="00240CDB">
      <w:pPr>
        <w:spacing w:after="0" w:line="360" w:lineRule="auto"/>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2、基本支出是指行政事业单位为保障其机构正常运转、完成日常工作任务而编制的年度基本支出计划，内容包括人员经费和日常公用经费两部分。</w:t>
      </w:r>
    </w:p>
    <w:p w:rsidR="00610E45" w:rsidRDefault="00240CDB">
      <w:pPr>
        <w:spacing w:after="0" w:line="360" w:lineRule="auto"/>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lastRenderedPageBreak/>
        <w:t>3、项目支出是指行政事业单位为完成特定的工作任务或事业发展目标，在基本的预算支出以外，财政预算专款安排的支出。</w:t>
      </w:r>
    </w:p>
    <w:p w:rsidR="00610E45" w:rsidRDefault="00240CDB">
      <w:pPr>
        <w:spacing w:after="0" w:line="360" w:lineRule="auto"/>
        <w:ind w:firstLineChars="200" w:firstLine="560"/>
        <w:jc w:val="both"/>
        <w:rPr>
          <w:rFonts w:ascii="仿宋" w:eastAsia="仿宋" w:hAnsi="仿宋" w:cs="仿宋"/>
          <w:color w:val="333333"/>
          <w:sz w:val="28"/>
          <w:szCs w:val="28"/>
          <w:shd w:val="clear" w:color="auto" w:fill="FFFFFF"/>
        </w:rPr>
      </w:pPr>
      <w:r>
        <w:rPr>
          <w:rFonts w:ascii="仿宋" w:eastAsia="仿宋" w:hAnsi="仿宋" w:cs="仿宋" w:hint="eastAsia"/>
          <w:color w:val="000000"/>
          <w:sz w:val="28"/>
          <w:szCs w:val="28"/>
        </w:rPr>
        <w:t>4、“三公经费</w:t>
      </w:r>
      <w:r>
        <w:rPr>
          <w:rFonts w:ascii="仿宋" w:eastAsia="仿宋" w:hAnsi="仿宋" w:cs="仿宋"/>
          <w:color w:val="000000"/>
          <w:sz w:val="28"/>
          <w:szCs w:val="28"/>
        </w:rPr>
        <w:t>”</w:t>
      </w:r>
      <w:r>
        <w:rPr>
          <w:rFonts w:ascii="仿宋" w:eastAsia="仿宋" w:hAnsi="仿宋" w:cs="仿宋" w:hint="eastAsia"/>
          <w:color w:val="333333"/>
          <w:sz w:val="28"/>
          <w:szCs w:val="28"/>
          <w:shd w:val="clear" w:color="auto" w:fill="FFFFFF"/>
        </w:rPr>
        <w:t>是指政府部门人员因公出国（境）经费、</w:t>
      </w:r>
      <w:r>
        <w:rPr>
          <w:rFonts w:ascii="仿宋" w:eastAsia="仿宋" w:hAnsi="仿宋" w:cs="仿宋" w:hint="eastAsia"/>
          <w:color w:val="000000" w:themeColor="text1"/>
          <w:sz w:val="28"/>
          <w:szCs w:val="28"/>
          <w:shd w:val="clear" w:color="auto" w:fill="FFFFFF"/>
        </w:rPr>
        <w:t>公务车</w:t>
      </w:r>
      <w:r>
        <w:rPr>
          <w:rFonts w:ascii="仿宋" w:eastAsia="仿宋" w:hAnsi="仿宋" w:cs="仿宋" w:hint="eastAsia"/>
          <w:color w:val="333333"/>
          <w:sz w:val="28"/>
          <w:szCs w:val="28"/>
          <w:shd w:val="clear" w:color="auto" w:fill="FFFFFF"/>
        </w:rPr>
        <w:t>购置及运行费、公务招待费产生的费用。</w:t>
      </w:r>
    </w:p>
    <w:p w:rsidR="00610E45" w:rsidRDefault="00240CDB">
      <w:pPr>
        <w:spacing w:after="0" w:line="360" w:lineRule="auto"/>
        <w:ind w:firstLineChars="200" w:firstLine="56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5、机关运行经费是指行政单位和参照公务员法管理的事业单位使用一般公共预算财政拨款安排的基本支出中的日常公用经费支出。</w:t>
      </w:r>
    </w:p>
    <w:p w:rsidR="00610E45" w:rsidRDefault="00240CDB">
      <w:pPr>
        <w:pStyle w:val="a4"/>
        <w:widowControl/>
        <w:spacing w:line="360" w:lineRule="auto"/>
        <w:ind w:left="562" w:hangingChars="200" w:hanging="562"/>
        <w:jc w:val="both"/>
        <w:rPr>
          <w:rFonts w:ascii="仿宋" w:eastAsia="仿宋" w:hAnsi="仿宋" w:cs="仿宋"/>
          <w:b/>
          <w:bCs/>
          <w:color w:val="333333"/>
          <w:sz w:val="28"/>
          <w:szCs w:val="28"/>
          <w:shd w:val="clear" w:color="auto" w:fill="FFFFFF"/>
        </w:rPr>
      </w:pPr>
      <w:r>
        <w:rPr>
          <w:rFonts w:ascii="仿宋" w:eastAsia="仿宋" w:hAnsi="仿宋" w:cs="仿宋" w:hint="eastAsia"/>
          <w:b/>
          <w:bCs/>
          <w:color w:val="333333"/>
          <w:sz w:val="28"/>
          <w:szCs w:val="28"/>
          <w:shd w:val="clear" w:color="auto" w:fill="FFFFFF"/>
        </w:rPr>
        <w:t>九、其他需要说明的情况</w:t>
      </w:r>
    </w:p>
    <w:p w:rsidR="00610E45" w:rsidRDefault="00240CDB">
      <w:pPr>
        <w:pStyle w:val="a4"/>
        <w:widowControl/>
        <w:spacing w:line="360" w:lineRule="auto"/>
        <w:ind w:firstLineChars="200" w:firstLine="56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部门预算政府性基金预算财政拨款支出表，此表无数据，因本单位不涉及政府性基金，因此无数据；</w:t>
      </w:r>
    </w:p>
    <w:p w:rsidR="00610E45" w:rsidRDefault="00240CDB">
      <w:pPr>
        <w:pStyle w:val="a4"/>
        <w:widowControl/>
        <w:spacing w:line="360" w:lineRule="auto"/>
        <w:ind w:firstLineChars="200" w:firstLine="56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部门预算国有资本经营预算财政拨款支出表，此表无数据，因本单位不涉及国有资本经营，因此无数据。</w:t>
      </w:r>
    </w:p>
    <w:p w:rsidR="00610E45" w:rsidRDefault="00240CDB">
      <w:pPr>
        <w:spacing w:line="560" w:lineRule="exact"/>
        <w:ind w:firstLine="600"/>
        <w:rPr>
          <w:rFonts w:ascii="仿宋_GB2312" w:eastAsia="仿宋_GB2312" w:hAnsi="黑体"/>
          <w:sz w:val="32"/>
          <w:szCs w:val="32"/>
        </w:rPr>
      </w:pPr>
      <w:r>
        <w:rPr>
          <w:rFonts w:ascii="仿宋_GB2312" w:eastAsia="仿宋_GB2312" w:hint="eastAsia"/>
          <w:sz w:val="32"/>
          <w:szCs w:val="32"/>
        </w:rPr>
        <w:t>因本单位未承担脱贫攻坚任务，因此无扶贫项目绩效目标表。</w:t>
      </w:r>
    </w:p>
    <w:p w:rsidR="00610E45" w:rsidRDefault="00610E45">
      <w:pPr>
        <w:pStyle w:val="a4"/>
        <w:widowControl/>
        <w:spacing w:line="360" w:lineRule="auto"/>
        <w:ind w:firstLineChars="200" w:firstLine="560"/>
        <w:jc w:val="both"/>
        <w:rPr>
          <w:rFonts w:ascii="仿宋" w:eastAsia="仿宋" w:hAnsi="仿宋" w:cs="仿宋"/>
          <w:color w:val="333333"/>
          <w:sz w:val="28"/>
          <w:szCs w:val="28"/>
          <w:shd w:val="clear" w:color="auto" w:fill="FFFFFF"/>
        </w:rPr>
      </w:pPr>
    </w:p>
    <w:sectPr w:rsidR="00610E45">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65" w:rsidRDefault="00260465">
      <w:pPr>
        <w:spacing w:after="0"/>
      </w:pPr>
      <w:r>
        <w:separator/>
      </w:r>
    </w:p>
  </w:endnote>
  <w:endnote w:type="continuationSeparator" w:id="0">
    <w:p w:rsidR="00260465" w:rsidRDefault="002604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45" w:rsidRDefault="00240CD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894B17">
      <w:rPr>
        <w:rStyle w:val="a5"/>
        <w:noProof/>
      </w:rPr>
      <w:t>9</w:t>
    </w:r>
    <w:r>
      <w:rPr>
        <w:rStyle w:val="a5"/>
      </w:rPr>
      <w:fldChar w:fldCharType="end"/>
    </w:r>
  </w:p>
  <w:p w:rsidR="00610E45" w:rsidRDefault="00610E4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65" w:rsidRDefault="00260465">
      <w:pPr>
        <w:spacing w:after="0"/>
      </w:pPr>
      <w:r>
        <w:separator/>
      </w:r>
    </w:p>
  </w:footnote>
  <w:footnote w:type="continuationSeparator" w:id="0">
    <w:p w:rsidR="00260465" w:rsidRDefault="002604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1A680"/>
    <w:multiLevelType w:val="singleLevel"/>
    <w:tmpl w:val="FC61A680"/>
    <w:lvl w:ilvl="0">
      <w:start w:val="1"/>
      <w:numFmt w:val="chineseCounting"/>
      <w:suff w:val="nothing"/>
      <w:lvlText w:val="%1、"/>
      <w:lvlJc w:val="left"/>
      <w:pPr>
        <w:ind w:left="481" w:firstLine="0"/>
      </w:pPr>
      <w:rPr>
        <w:rFonts w:hint="eastAsia"/>
      </w:rPr>
    </w:lvl>
  </w:abstractNum>
  <w:abstractNum w:abstractNumId="1">
    <w:nsid w:val="6F36C44C"/>
    <w:multiLevelType w:val="singleLevel"/>
    <w:tmpl w:val="6F36C44C"/>
    <w:lvl w:ilvl="0">
      <w:start w:val="1"/>
      <w:numFmt w:val="chineseCounting"/>
      <w:suff w:val="space"/>
      <w:lvlText w:val="第%1部分"/>
      <w:lvlJc w:val="left"/>
      <w:rPr>
        <w:rFonts w:hint="eastAsia"/>
      </w:rPr>
    </w:lvl>
  </w:abstractNum>
  <w:abstractNum w:abstractNumId="2">
    <w:nsid w:val="76C9406D"/>
    <w:multiLevelType w:val="multilevel"/>
    <w:tmpl w:val="76C9406D"/>
    <w:lvl w:ilvl="0">
      <w:start w:val="1"/>
      <w:numFmt w:val="japaneseCounting"/>
      <w:lvlText w:val="%1、"/>
      <w:lvlJc w:val="left"/>
      <w:pPr>
        <w:ind w:left="1146" w:hanging="720"/>
      </w:pPr>
      <w:rPr>
        <w:rFonts w:hint="default"/>
      </w:rPr>
    </w:lvl>
    <w:lvl w:ilvl="1">
      <w:start w:val="1"/>
      <w:numFmt w:val="lowerLetter"/>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F0"/>
    <w:rsid w:val="000A2D25"/>
    <w:rsid w:val="00124937"/>
    <w:rsid w:val="00141CD8"/>
    <w:rsid w:val="00171A8E"/>
    <w:rsid w:val="00195E16"/>
    <w:rsid w:val="001B31C4"/>
    <w:rsid w:val="002404CF"/>
    <w:rsid w:val="00240CDB"/>
    <w:rsid w:val="0025019C"/>
    <w:rsid w:val="00260465"/>
    <w:rsid w:val="00274CE2"/>
    <w:rsid w:val="00323B43"/>
    <w:rsid w:val="003D37D8"/>
    <w:rsid w:val="003E3D47"/>
    <w:rsid w:val="004211F0"/>
    <w:rsid w:val="004358AB"/>
    <w:rsid w:val="00480267"/>
    <w:rsid w:val="00506B77"/>
    <w:rsid w:val="00555284"/>
    <w:rsid w:val="00561083"/>
    <w:rsid w:val="005959F0"/>
    <w:rsid w:val="005F1020"/>
    <w:rsid w:val="00610E45"/>
    <w:rsid w:val="00750280"/>
    <w:rsid w:val="007D0175"/>
    <w:rsid w:val="008278CB"/>
    <w:rsid w:val="00894B17"/>
    <w:rsid w:val="008A0A63"/>
    <w:rsid w:val="008B7726"/>
    <w:rsid w:val="008E4216"/>
    <w:rsid w:val="009326AD"/>
    <w:rsid w:val="009967F1"/>
    <w:rsid w:val="009B7C96"/>
    <w:rsid w:val="009F16E7"/>
    <w:rsid w:val="00A057CC"/>
    <w:rsid w:val="00A22D05"/>
    <w:rsid w:val="00A51810"/>
    <w:rsid w:val="00A72704"/>
    <w:rsid w:val="00A82548"/>
    <w:rsid w:val="00B510E2"/>
    <w:rsid w:val="00BF0A30"/>
    <w:rsid w:val="00C04EA8"/>
    <w:rsid w:val="00C20320"/>
    <w:rsid w:val="00C5549C"/>
    <w:rsid w:val="00C620C5"/>
    <w:rsid w:val="00C82D3B"/>
    <w:rsid w:val="00C9497F"/>
    <w:rsid w:val="00CF4A85"/>
    <w:rsid w:val="00D37125"/>
    <w:rsid w:val="00D86C03"/>
    <w:rsid w:val="00DA18FB"/>
    <w:rsid w:val="00DC4A34"/>
    <w:rsid w:val="00DD62ED"/>
    <w:rsid w:val="00F50F9A"/>
    <w:rsid w:val="00F829A8"/>
    <w:rsid w:val="00FB166E"/>
    <w:rsid w:val="00FD21FA"/>
    <w:rsid w:val="03D1719F"/>
    <w:rsid w:val="0C251C4C"/>
    <w:rsid w:val="0FE22375"/>
    <w:rsid w:val="11837B1A"/>
    <w:rsid w:val="14BD5FE4"/>
    <w:rsid w:val="16CE503B"/>
    <w:rsid w:val="17110342"/>
    <w:rsid w:val="1E746FAA"/>
    <w:rsid w:val="1FB40012"/>
    <w:rsid w:val="20ED1FCA"/>
    <w:rsid w:val="24DE23FB"/>
    <w:rsid w:val="2DD55ABE"/>
    <w:rsid w:val="337E611C"/>
    <w:rsid w:val="375666B8"/>
    <w:rsid w:val="37966B66"/>
    <w:rsid w:val="392F0F8C"/>
    <w:rsid w:val="3B025DEF"/>
    <w:rsid w:val="3C571007"/>
    <w:rsid w:val="40184CE9"/>
    <w:rsid w:val="43276D91"/>
    <w:rsid w:val="48060674"/>
    <w:rsid w:val="4A7F1739"/>
    <w:rsid w:val="4A84761F"/>
    <w:rsid w:val="4D502C94"/>
    <w:rsid w:val="55DC1263"/>
    <w:rsid w:val="56106F6D"/>
    <w:rsid w:val="56423229"/>
    <w:rsid w:val="59106845"/>
    <w:rsid w:val="5AF76CDE"/>
    <w:rsid w:val="5E795249"/>
    <w:rsid w:val="5EE047C4"/>
    <w:rsid w:val="5F230897"/>
    <w:rsid w:val="60492E83"/>
    <w:rsid w:val="60FA1AE0"/>
    <w:rsid w:val="657120D3"/>
    <w:rsid w:val="661522A9"/>
    <w:rsid w:val="6D152395"/>
    <w:rsid w:val="6F3749FB"/>
    <w:rsid w:val="70E95DB8"/>
    <w:rsid w:val="740E3469"/>
    <w:rsid w:val="76536568"/>
    <w:rsid w:val="76DB1C29"/>
    <w:rsid w:val="78AD7B28"/>
    <w:rsid w:val="79C3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4">
    <w:name w:val="Normal (Web)"/>
    <w:basedOn w:val="a"/>
    <w:qFormat/>
    <w:pPr>
      <w:widowControl w:val="0"/>
      <w:adjustRightInd/>
      <w:snapToGrid/>
      <w:spacing w:after="0"/>
    </w:pPr>
    <w:rPr>
      <w:rFonts w:asciiTheme="minorHAnsi" w:eastAsiaTheme="minorEastAsia" w:hAnsiTheme="minorHAnsi" w:cs="Times New Roman"/>
      <w:sz w:val="24"/>
      <w:szCs w:val="24"/>
    </w:rPr>
  </w:style>
  <w:style w:type="character" w:styleId="a5">
    <w:name w:val="page number"/>
    <w:basedOn w:val="a0"/>
    <w:qFormat/>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
    <w:name w:val="页脚 Char"/>
    <w:basedOn w:val="a0"/>
    <w:link w:val="a3"/>
    <w:qFormat/>
    <w:rPr>
      <w:rFonts w:eastAsiaTheme="minorEastAsia"/>
      <w:kern w:val="2"/>
      <w:sz w:val="18"/>
      <w:szCs w:val="18"/>
    </w:rPr>
  </w:style>
  <w:style w:type="paragraph" w:customStyle="1" w:styleId="Style1">
    <w:name w:val="_Style 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4">
    <w:name w:val="Normal (Web)"/>
    <w:basedOn w:val="a"/>
    <w:qFormat/>
    <w:pPr>
      <w:widowControl w:val="0"/>
      <w:adjustRightInd/>
      <w:snapToGrid/>
      <w:spacing w:after="0"/>
    </w:pPr>
    <w:rPr>
      <w:rFonts w:asciiTheme="minorHAnsi" w:eastAsiaTheme="minorEastAsia" w:hAnsiTheme="minorHAnsi" w:cs="Times New Roman"/>
      <w:sz w:val="24"/>
      <w:szCs w:val="24"/>
    </w:rPr>
  </w:style>
  <w:style w:type="character" w:styleId="a5">
    <w:name w:val="page number"/>
    <w:basedOn w:val="a0"/>
    <w:qFormat/>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
    <w:name w:val="页脚 Char"/>
    <w:basedOn w:val="a0"/>
    <w:link w:val="a3"/>
    <w:qFormat/>
    <w:rPr>
      <w:rFonts w:eastAsiaTheme="minorEastAsia"/>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CF39F-6318-4737-B2F9-F9A03C89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421</Words>
  <Characters>2405</Characters>
  <Application>Microsoft Office Word</Application>
  <DocSecurity>0</DocSecurity>
  <Lines>20</Lines>
  <Paragraphs>5</Paragraphs>
  <ScaleCrop>false</ScaleCrop>
  <Company>Sky123.Org</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2017-03-22T00:44:00Z</cp:lastPrinted>
  <dcterms:created xsi:type="dcterms:W3CDTF">2024-11-08T02:57:00Z</dcterms:created>
  <dcterms:modified xsi:type="dcterms:W3CDTF">2024-11-08T02:57:00Z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