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center"/>
        <w:outlineLvl w:val="9"/>
      </w:pPr>
      <w:r>
        <w:rPr>
          <w:rFonts w:ascii="黑体" w:eastAsia="黑体" w:cs="黑体" w:hAnsi="黑体"/>
          <w:b/>
          <w:color w:val="000000"/>
          <w:sz w:val="30"/>
        </w:rPr>
        <w:t>第一部分  部门预算</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34</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34</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34</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35</w:t>
      </w:r>
      <w:r>
        <w:fldChar w:fldCharType="end"/>
      </w:r>
      <w:r>
        <w:fldChar w:fldCharType="end"/>
      </w:r>
    </w:p>
    <w:p>
      <w:r>
        <w:fldChar w:fldCharType="end"/>
      </w:r>
    </w:p>
    <w:p>
      <w:pPr>
        <w:pStyle w:val="40"/>
        <w:tabs>
          <w:tab w:val="right" w:leader="dot" w:pos="14562"/>
        </w:tabs>
      </w:pPr>
      <w:r>
        <w:fldChar w:fldCharType="begin"/>
      </w:r>
      <w:r>
        <w:instrText xml:space="preserve">TOC \o "4-4" \h \z \u </w:instrText>
      </w:r>
      <w:r>
        <w:fldChar w:fldCharType="separate"/>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1464.13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1124.29</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255.17</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48.11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36.56</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1464.13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1464.13</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1464.13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1464.13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1464.13</w:t>
            </w:r>
          </w:p>
        </w:tc>
        <w:tc>
          <w:tcPr>
            <w:tcW w:w="1134" w:type="dxa"/>
            <w:tcBorders>
              <w:left w:val="single" w:sz="6" w:space="0" w:color="000000"/>
              <w:right w:val="single" w:sz="6" w:space="0" w:color="000000"/>
            </w:tcBorders>
            <w:vAlign w:val="center"/>
          </w:tcPr>
          <w:p>
            <w:pPr>
              <w:pStyle w:val="23"/>
            </w:pPr>
            <w:r>
              <w:t>1464.13</w:t>
            </w:r>
          </w:p>
        </w:tc>
        <w:tc>
          <w:tcPr>
            <w:tcW w:w="1134" w:type="dxa"/>
            <w:tcBorders>
              <w:left w:val="single" w:sz="6" w:space="0" w:color="000000"/>
              <w:right w:val="single" w:sz="6" w:space="0" w:color="000000"/>
            </w:tcBorders>
            <w:vAlign w:val="center"/>
          </w:tcPr>
          <w:p>
            <w:pPr>
              <w:pStyle w:val="23"/>
            </w:pPr>
            <w:r>
              <w:t>1464.13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1124.29</w:t>
            </w:r>
          </w:p>
        </w:tc>
        <w:tc>
          <w:tcPr>
            <w:tcW w:w="1134" w:type="dxa"/>
            <w:tcBorders>
              <w:left w:val="single" w:sz="6" w:space="0" w:color="000000"/>
              <w:right w:val="single" w:sz="6" w:space="0" w:color="000000"/>
            </w:tcBorders>
            <w:vAlign w:val="center"/>
          </w:tcPr>
          <w:p>
            <w:pPr>
              <w:pStyle w:val="19"/>
            </w:pPr>
            <w:r>
              <w:t>1124.29</w:t>
            </w:r>
          </w:p>
        </w:tc>
        <w:tc>
          <w:tcPr>
            <w:tcW w:w="1134" w:type="dxa"/>
            <w:tcBorders>
              <w:left w:val="single" w:sz="6" w:space="0" w:color="000000"/>
              <w:right w:val="single" w:sz="6" w:space="0" w:color="000000"/>
            </w:tcBorders>
            <w:vAlign w:val="center"/>
          </w:tcPr>
          <w:p>
            <w:pPr>
              <w:pStyle w:val="19"/>
            </w:pPr>
            <w:r>
              <w:t>1124.29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1559" w:type="dxa"/>
            <w:tcBorders>
              <w:left w:val="single" w:sz="6" w:space="0" w:color="000000"/>
              <w:right w:val="single" w:sz="6" w:space="0" w:color="000000"/>
            </w:tcBorders>
            <w:vAlign w:val="center"/>
          </w:tcPr>
          <w:p>
            <w:pPr>
              <w:pStyle w:val="20"/>
            </w:pPr>
            <w:r>
              <w:t>商贸事务</w:t>
            </w:r>
          </w:p>
        </w:tc>
        <w:tc>
          <w:tcPr>
            <w:tcW w:w="1134" w:type="dxa"/>
            <w:tcBorders>
              <w:left w:val="single" w:sz="6" w:space="0" w:color="000000"/>
              <w:right w:val="single" w:sz="6" w:space="0" w:color="000000"/>
            </w:tcBorders>
            <w:vAlign w:val="center"/>
          </w:tcPr>
          <w:p>
            <w:pPr>
              <w:pStyle w:val="19"/>
            </w:pPr>
            <w:r>
              <w:t>1124.29</w:t>
            </w:r>
          </w:p>
        </w:tc>
        <w:tc>
          <w:tcPr>
            <w:tcW w:w="1134" w:type="dxa"/>
            <w:tcBorders>
              <w:left w:val="single" w:sz="6" w:space="0" w:color="000000"/>
              <w:right w:val="single" w:sz="6" w:space="0" w:color="000000"/>
            </w:tcBorders>
            <w:vAlign w:val="center"/>
          </w:tcPr>
          <w:p>
            <w:pPr>
              <w:pStyle w:val="19"/>
            </w:pPr>
            <w:r>
              <w:t>1124.29</w:t>
            </w:r>
          </w:p>
        </w:tc>
        <w:tc>
          <w:tcPr>
            <w:tcW w:w="1134" w:type="dxa"/>
            <w:tcBorders>
              <w:left w:val="single" w:sz="6" w:space="0" w:color="000000"/>
              <w:right w:val="single" w:sz="6" w:space="0" w:color="000000"/>
            </w:tcBorders>
            <w:vAlign w:val="center"/>
          </w:tcPr>
          <w:p>
            <w:pPr>
              <w:pStyle w:val="19"/>
            </w:pPr>
            <w:r>
              <w:t>1124.29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486.51</w:t>
            </w:r>
          </w:p>
        </w:tc>
        <w:tc>
          <w:tcPr>
            <w:tcW w:w="1134" w:type="dxa"/>
            <w:tcBorders>
              <w:left w:val="single" w:sz="6" w:space="0" w:color="000000"/>
              <w:right w:val="single" w:sz="6" w:space="0" w:color="000000"/>
            </w:tcBorders>
            <w:vAlign w:val="center"/>
          </w:tcPr>
          <w:p>
            <w:pPr>
              <w:pStyle w:val="19"/>
            </w:pPr>
            <w:r>
              <w:t>486.51</w:t>
            </w:r>
          </w:p>
        </w:tc>
        <w:tc>
          <w:tcPr>
            <w:tcW w:w="1134" w:type="dxa"/>
            <w:tcBorders>
              <w:left w:val="single" w:sz="6" w:space="0" w:color="000000"/>
              <w:right w:val="single" w:sz="6" w:space="0" w:color="000000"/>
            </w:tcBorders>
            <w:vAlign w:val="center"/>
          </w:tcPr>
          <w:p>
            <w:pPr>
              <w:pStyle w:val="19"/>
            </w:pPr>
            <w:r>
              <w:t>486.51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1559" w:type="dxa"/>
            <w:tcBorders>
              <w:left w:val="single" w:sz="6" w:space="0" w:color="000000"/>
              <w:right w:val="single" w:sz="6" w:space="0" w:color="000000"/>
            </w:tcBorders>
            <w:vAlign w:val="center"/>
          </w:tcPr>
          <w:p>
            <w:pPr>
              <w:pStyle w:val="20"/>
            </w:pPr>
            <w:r>
              <w:t>招商引资</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2011399</w:t>
            </w:r>
          </w:p>
        </w:tc>
        <w:tc>
          <w:tcPr>
            <w:tcW w:w="1559" w:type="dxa"/>
            <w:tcBorders>
              <w:left w:val="single" w:sz="6" w:space="0" w:color="000000"/>
              <w:right w:val="single" w:sz="6" w:space="0" w:color="000000"/>
            </w:tcBorders>
            <w:vAlign w:val="center"/>
          </w:tcPr>
          <w:p>
            <w:pPr>
              <w:pStyle w:val="20"/>
            </w:pPr>
            <w:r>
              <w:t>其他商贸事务支出</w:t>
            </w:r>
          </w:p>
        </w:tc>
        <w:tc>
          <w:tcPr>
            <w:tcW w:w="1134" w:type="dxa"/>
            <w:tcBorders>
              <w:left w:val="single" w:sz="6" w:space="0" w:color="000000"/>
              <w:right w:val="single" w:sz="6" w:space="0" w:color="000000"/>
            </w:tcBorders>
            <w:vAlign w:val="center"/>
          </w:tcPr>
          <w:p>
            <w:pPr>
              <w:pStyle w:val="19"/>
            </w:pPr>
            <w:r>
              <w:t>297.78</w:t>
            </w:r>
          </w:p>
        </w:tc>
        <w:tc>
          <w:tcPr>
            <w:tcW w:w="1134" w:type="dxa"/>
            <w:tcBorders>
              <w:left w:val="single" w:sz="6" w:space="0" w:color="000000"/>
              <w:right w:val="single" w:sz="6" w:space="0" w:color="000000"/>
            </w:tcBorders>
            <w:vAlign w:val="center"/>
          </w:tcPr>
          <w:p>
            <w:pPr>
              <w:pStyle w:val="19"/>
            </w:pPr>
            <w:r>
              <w:t>297.78</w:t>
            </w:r>
          </w:p>
        </w:tc>
        <w:tc>
          <w:tcPr>
            <w:tcW w:w="1134" w:type="dxa"/>
            <w:tcBorders>
              <w:left w:val="single" w:sz="6" w:space="0" w:color="000000"/>
              <w:right w:val="single" w:sz="6" w:space="0" w:color="000000"/>
            </w:tcBorders>
            <w:vAlign w:val="center"/>
          </w:tcPr>
          <w:p>
            <w:pPr>
              <w:pStyle w:val="19"/>
            </w:pPr>
            <w:r>
              <w:t>297.78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255.17</w:t>
            </w:r>
          </w:p>
        </w:tc>
        <w:tc>
          <w:tcPr>
            <w:tcW w:w="1134" w:type="dxa"/>
            <w:tcBorders>
              <w:left w:val="single" w:sz="6" w:space="0" w:color="000000"/>
              <w:right w:val="single" w:sz="6" w:space="0" w:color="000000"/>
            </w:tcBorders>
            <w:vAlign w:val="center"/>
          </w:tcPr>
          <w:p>
            <w:pPr>
              <w:pStyle w:val="19"/>
            </w:pPr>
            <w:r>
              <w:t>255.17</w:t>
            </w:r>
          </w:p>
        </w:tc>
        <w:tc>
          <w:tcPr>
            <w:tcW w:w="1134" w:type="dxa"/>
            <w:tcBorders>
              <w:left w:val="single" w:sz="6" w:space="0" w:color="000000"/>
              <w:right w:val="single" w:sz="6" w:space="0" w:color="000000"/>
            </w:tcBorders>
            <w:vAlign w:val="center"/>
          </w:tcPr>
          <w:p>
            <w:pPr>
              <w:pStyle w:val="19"/>
            </w:pPr>
            <w:r>
              <w:t>255.17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204.60</w:t>
            </w:r>
          </w:p>
        </w:tc>
        <w:tc>
          <w:tcPr>
            <w:tcW w:w="1134" w:type="dxa"/>
            <w:tcBorders>
              <w:left w:val="single" w:sz="6" w:space="0" w:color="000000"/>
              <w:right w:val="single" w:sz="6" w:space="0" w:color="000000"/>
            </w:tcBorders>
            <w:vAlign w:val="center"/>
          </w:tcPr>
          <w:p>
            <w:pPr>
              <w:pStyle w:val="19"/>
            </w:pPr>
            <w:r>
              <w:t>204.60</w:t>
            </w:r>
          </w:p>
        </w:tc>
        <w:tc>
          <w:tcPr>
            <w:tcW w:w="1134" w:type="dxa"/>
            <w:tcBorders>
              <w:left w:val="single" w:sz="6" w:space="0" w:color="000000"/>
              <w:right w:val="single" w:sz="6" w:space="0" w:color="000000"/>
            </w:tcBorders>
            <w:vAlign w:val="center"/>
          </w:tcPr>
          <w:p>
            <w:pPr>
              <w:pStyle w:val="19"/>
            </w:pPr>
            <w:r>
              <w:t>204.60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159.66</w:t>
            </w:r>
          </w:p>
        </w:tc>
        <w:tc>
          <w:tcPr>
            <w:tcW w:w="1134" w:type="dxa"/>
            <w:tcBorders>
              <w:left w:val="single" w:sz="6" w:space="0" w:color="000000"/>
              <w:right w:val="single" w:sz="6" w:space="0" w:color="000000"/>
            </w:tcBorders>
            <w:vAlign w:val="center"/>
          </w:tcPr>
          <w:p>
            <w:pPr>
              <w:pStyle w:val="19"/>
            </w:pPr>
            <w:r>
              <w:t>159.66</w:t>
            </w:r>
          </w:p>
        </w:tc>
        <w:tc>
          <w:tcPr>
            <w:tcW w:w="1134" w:type="dxa"/>
            <w:tcBorders>
              <w:left w:val="single" w:sz="6" w:space="0" w:color="000000"/>
              <w:right w:val="single" w:sz="6" w:space="0" w:color="000000"/>
            </w:tcBorders>
            <w:vAlign w:val="center"/>
          </w:tcPr>
          <w:p>
            <w:pPr>
              <w:pStyle w:val="19"/>
            </w:pPr>
            <w:r>
              <w:t>159.66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44.94</w:t>
            </w:r>
          </w:p>
        </w:tc>
        <w:tc>
          <w:tcPr>
            <w:tcW w:w="1134" w:type="dxa"/>
            <w:tcBorders>
              <w:left w:val="single" w:sz="6" w:space="0" w:color="000000"/>
              <w:right w:val="single" w:sz="6" w:space="0" w:color="000000"/>
            </w:tcBorders>
            <w:vAlign w:val="center"/>
          </w:tcPr>
          <w:p>
            <w:pPr>
              <w:pStyle w:val="19"/>
            </w:pPr>
            <w:r>
              <w:t>44.94</w:t>
            </w:r>
          </w:p>
        </w:tc>
        <w:tc>
          <w:tcPr>
            <w:tcW w:w="1134" w:type="dxa"/>
            <w:tcBorders>
              <w:left w:val="single" w:sz="6" w:space="0" w:color="000000"/>
              <w:right w:val="single" w:sz="6" w:space="0" w:color="000000"/>
            </w:tcBorders>
            <w:vAlign w:val="center"/>
          </w:tcPr>
          <w:p>
            <w:pPr>
              <w:pStyle w:val="19"/>
            </w:pPr>
            <w:r>
              <w:t>44.94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0.57</w:t>
            </w:r>
          </w:p>
        </w:tc>
        <w:tc>
          <w:tcPr>
            <w:tcW w:w="1134" w:type="dxa"/>
            <w:tcBorders>
              <w:left w:val="single" w:sz="6" w:space="0" w:color="000000"/>
              <w:right w:val="single" w:sz="6" w:space="0" w:color="000000"/>
            </w:tcBorders>
            <w:vAlign w:val="center"/>
          </w:tcPr>
          <w:p>
            <w:pPr>
              <w:pStyle w:val="19"/>
            </w:pPr>
            <w:r>
              <w:t>0.57</w:t>
            </w:r>
          </w:p>
        </w:tc>
        <w:tc>
          <w:tcPr>
            <w:tcW w:w="1134" w:type="dxa"/>
            <w:tcBorders>
              <w:left w:val="single" w:sz="6" w:space="0" w:color="000000"/>
              <w:right w:val="single" w:sz="6" w:space="0" w:color="000000"/>
            </w:tcBorders>
            <w:vAlign w:val="center"/>
          </w:tcPr>
          <w:p>
            <w:pPr>
              <w:pStyle w:val="19"/>
            </w:pPr>
            <w:r>
              <w:t>0.57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0.57</w:t>
            </w:r>
          </w:p>
        </w:tc>
        <w:tc>
          <w:tcPr>
            <w:tcW w:w="1134" w:type="dxa"/>
            <w:tcBorders>
              <w:left w:val="single" w:sz="6" w:space="0" w:color="000000"/>
              <w:right w:val="single" w:sz="6" w:space="0" w:color="000000"/>
            </w:tcBorders>
            <w:vAlign w:val="center"/>
          </w:tcPr>
          <w:p>
            <w:pPr>
              <w:pStyle w:val="19"/>
            </w:pPr>
            <w:r>
              <w:t>0.57</w:t>
            </w:r>
          </w:p>
        </w:tc>
        <w:tc>
          <w:tcPr>
            <w:tcW w:w="1134" w:type="dxa"/>
            <w:tcBorders>
              <w:left w:val="single" w:sz="6" w:space="0" w:color="000000"/>
              <w:right w:val="single" w:sz="6" w:space="0" w:color="000000"/>
            </w:tcBorders>
            <w:vAlign w:val="center"/>
          </w:tcPr>
          <w:p>
            <w:pPr>
              <w:pStyle w:val="19"/>
            </w:pPr>
            <w:r>
              <w:t>0.57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48.11</w:t>
            </w:r>
          </w:p>
        </w:tc>
        <w:tc>
          <w:tcPr>
            <w:tcW w:w="1134" w:type="dxa"/>
            <w:tcBorders>
              <w:left w:val="single" w:sz="6" w:space="0" w:color="000000"/>
              <w:right w:val="single" w:sz="6" w:space="0" w:color="000000"/>
            </w:tcBorders>
            <w:vAlign w:val="center"/>
          </w:tcPr>
          <w:p>
            <w:pPr>
              <w:pStyle w:val="19"/>
            </w:pPr>
            <w:r>
              <w:t>48.11</w:t>
            </w:r>
          </w:p>
        </w:tc>
        <w:tc>
          <w:tcPr>
            <w:tcW w:w="1134" w:type="dxa"/>
            <w:tcBorders>
              <w:left w:val="single" w:sz="6" w:space="0" w:color="000000"/>
              <w:right w:val="single" w:sz="6" w:space="0" w:color="000000"/>
            </w:tcBorders>
            <w:vAlign w:val="center"/>
          </w:tcPr>
          <w:p>
            <w:pPr>
              <w:pStyle w:val="19"/>
            </w:pPr>
            <w:r>
              <w:t>48.11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48.11</w:t>
            </w:r>
          </w:p>
        </w:tc>
        <w:tc>
          <w:tcPr>
            <w:tcW w:w="1134" w:type="dxa"/>
            <w:tcBorders>
              <w:left w:val="single" w:sz="6" w:space="0" w:color="000000"/>
              <w:right w:val="single" w:sz="6" w:space="0" w:color="000000"/>
            </w:tcBorders>
            <w:vAlign w:val="center"/>
          </w:tcPr>
          <w:p>
            <w:pPr>
              <w:pStyle w:val="19"/>
            </w:pPr>
            <w:r>
              <w:t>48.11</w:t>
            </w:r>
          </w:p>
        </w:tc>
        <w:tc>
          <w:tcPr>
            <w:tcW w:w="1134" w:type="dxa"/>
            <w:tcBorders>
              <w:left w:val="single" w:sz="6" w:space="0" w:color="000000"/>
              <w:right w:val="single" w:sz="6" w:space="0" w:color="000000"/>
            </w:tcBorders>
            <w:vAlign w:val="center"/>
          </w:tcPr>
          <w:p>
            <w:pPr>
              <w:pStyle w:val="19"/>
            </w:pPr>
            <w:r>
              <w:t>48.11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17.81</w:t>
            </w:r>
          </w:p>
        </w:tc>
        <w:tc>
          <w:tcPr>
            <w:tcW w:w="1134" w:type="dxa"/>
            <w:tcBorders>
              <w:left w:val="single" w:sz="6" w:space="0" w:color="000000"/>
              <w:right w:val="single" w:sz="6" w:space="0" w:color="000000"/>
            </w:tcBorders>
            <w:vAlign w:val="center"/>
          </w:tcPr>
          <w:p>
            <w:pPr>
              <w:pStyle w:val="19"/>
            </w:pPr>
            <w:r>
              <w:t>17.81</w:t>
            </w:r>
          </w:p>
        </w:tc>
        <w:tc>
          <w:tcPr>
            <w:tcW w:w="1134" w:type="dxa"/>
            <w:tcBorders>
              <w:left w:val="single" w:sz="6" w:space="0" w:color="000000"/>
              <w:right w:val="single" w:sz="6" w:space="0" w:color="000000"/>
            </w:tcBorders>
            <w:vAlign w:val="center"/>
          </w:tcPr>
          <w:p>
            <w:pPr>
              <w:pStyle w:val="19"/>
            </w:pPr>
            <w:r>
              <w:t>17.81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30.30</w:t>
            </w:r>
          </w:p>
        </w:tc>
        <w:tc>
          <w:tcPr>
            <w:tcW w:w="1134" w:type="dxa"/>
            <w:tcBorders>
              <w:left w:val="single" w:sz="6" w:space="0" w:color="000000"/>
              <w:right w:val="single" w:sz="6" w:space="0" w:color="000000"/>
            </w:tcBorders>
            <w:vAlign w:val="center"/>
          </w:tcPr>
          <w:p>
            <w:pPr>
              <w:pStyle w:val="19"/>
            </w:pPr>
            <w:r>
              <w:t>30.30</w:t>
            </w:r>
          </w:p>
        </w:tc>
        <w:tc>
          <w:tcPr>
            <w:tcW w:w="1134" w:type="dxa"/>
            <w:tcBorders>
              <w:left w:val="single" w:sz="6" w:space="0" w:color="000000"/>
              <w:right w:val="single" w:sz="6" w:space="0" w:color="000000"/>
            </w:tcBorders>
            <w:vAlign w:val="center"/>
          </w:tcPr>
          <w:p>
            <w:pPr>
              <w:pStyle w:val="19"/>
            </w:pPr>
            <w:r>
              <w:t>30.30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r>
              <w:t>36.56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1464.13</w:t>
            </w:r>
          </w:p>
        </w:tc>
        <w:tc>
          <w:tcPr>
            <w:tcW w:w="1361" w:type="dxa"/>
            <w:tcBorders>
              <w:left w:val="single" w:sz="6" w:space="0" w:color="000000"/>
              <w:right w:val="single" w:sz="6" w:space="0" w:color="000000"/>
            </w:tcBorders>
            <w:vAlign w:val="center"/>
          </w:tcPr>
          <w:p>
            <w:pPr>
              <w:pStyle w:val="23"/>
            </w:pPr>
            <w:r>
              <w:t>780.28</w:t>
            </w:r>
          </w:p>
        </w:tc>
        <w:tc>
          <w:tcPr>
            <w:tcW w:w="1361" w:type="dxa"/>
            <w:tcBorders>
              <w:left w:val="single" w:sz="6" w:space="0" w:color="000000"/>
              <w:right w:val="single" w:sz="6" w:space="0" w:color="000000"/>
            </w:tcBorders>
            <w:vAlign w:val="center"/>
          </w:tcPr>
          <w:p>
            <w:pPr>
              <w:pStyle w:val="23"/>
            </w:pPr>
            <w:r>
              <w:t>683.85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1124.29</w:t>
            </w:r>
          </w:p>
        </w:tc>
        <w:tc>
          <w:tcPr>
            <w:tcW w:w="1361" w:type="dxa"/>
            <w:tcBorders>
              <w:left w:val="single" w:sz="6" w:space="0" w:color="000000"/>
              <w:right w:val="single" w:sz="6" w:space="0" w:color="000000"/>
            </w:tcBorders>
            <w:vAlign w:val="center"/>
          </w:tcPr>
          <w:p>
            <w:pPr>
              <w:pStyle w:val="19"/>
            </w:pPr>
            <w:r>
              <w:t>491.01</w:t>
            </w:r>
          </w:p>
        </w:tc>
        <w:tc>
          <w:tcPr>
            <w:tcW w:w="1361" w:type="dxa"/>
            <w:tcBorders>
              <w:left w:val="single" w:sz="6" w:space="0" w:color="000000"/>
              <w:right w:val="single" w:sz="6" w:space="0" w:color="000000"/>
            </w:tcBorders>
            <w:vAlign w:val="center"/>
          </w:tcPr>
          <w:p>
            <w:pPr>
              <w:pStyle w:val="19"/>
            </w:pPr>
            <w:r>
              <w:t>633.28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1361" w:type="dxa"/>
            <w:tcBorders>
              <w:left w:val="single" w:sz="6" w:space="0" w:color="000000"/>
              <w:right w:val="single" w:sz="6" w:space="0" w:color="000000"/>
            </w:tcBorders>
            <w:vAlign w:val="center"/>
          </w:tcPr>
          <w:p>
            <w:pPr>
              <w:pStyle w:val="19"/>
            </w:pPr>
            <w:r>
              <w:t>1124.29</w:t>
            </w:r>
          </w:p>
        </w:tc>
        <w:tc>
          <w:tcPr>
            <w:tcW w:w="1361" w:type="dxa"/>
            <w:tcBorders>
              <w:left w:val="single" w:sz="6" w:space="0" w:color="000000"/>
              <w:right w:val="single" w:sz="6" w:space="0" w:color="000000"/>
            </w:tcBorders>
            <w:vAlign w:val="center"/>
          </w:tcPr>
          <w:p>
            <w:pPr>
              <w:pStyle w:val="19"/>
            </w:pPr>
            <w:r>
              <w:t>491.01</w:t>
            </w:r>
          </w:p>
        </w:tc>
        <w:tc>
          <w:tcPr>
            <w:tcW w:w="1361" w:type="dxa"/>
            <w:tcBorders>
              <w:left w:val="single" w:sz="6" w:space="0" w:color="000000"/>
              <w:right w:val="single" w:sz="6" w:space="0" w:color="000000"/>
            </w:tcBorders>
            <w:vAlign w:val="center"/>
          </w:tcPr>
          <w:p>
            <w:pPr>
              <w:pStyle w:val="19"/>
            </w:pPr>
            <w:r>
              <w:t>633.28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486.51</w:t>
            </w:r>
          </w:p>
        </w:tc>
        <w:tc>
          <w:tcPr>
            <w:tcW w:w="1361" w:type="dxa"/>
            <w:tcBorders>
              <w:left w:val="single" w:sz="6" w:space="0" w:color="000000"/>
              <w:right w:val="single" w:sz="6" w:space="0" w:color="000000"/>
            </w:tcBorders>
            <w:vAlign w:val="center"/>
          </w:tcPr>
          <w:p>
            <w:pPr>
              <w:pStyle w:val="19"/>
            </w:pPr>
            <w:r>
              <w:t>486.51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1361" w:type="dxa"/>
            <w:tcBorders>
              <w:left w:val="single" w:sz="6" w:space="0" w:color="000000"/>
              <w:right w:val="single" w:sz="6" w:space="0" w:color="000000"/>
            </w:tcBorders>
            <w:vAlign w:val="center"/>
          </w:tcPr>
          <w:p>
            <w:pPr>
              <w:pStyle w:val="19"/>
            </w:pPr>
            <w:r>
              <w:t>297.78</w:t>
            </w:r>
          </w:p>
        </w:tc>
        <w:tc>
          <w:tcPr>
            <w:tcW w:w="1361" w:type="dxa"/>
            <w:tcBorders>
              <w:left w:val="single" w:sz="6" w:space="0" w:color="000000"/>
              <w:right w:val="single" w:sz="6" w:space="0" w:color="000000"/>
            </w:tcBorders>
            <w:vAlign w:val="center"/>
          </w:tcPr>
          <w:p>
            <w:pPr>
              <w:pStyle w:val="19"/>
            </w:pPr>
            <w:r>
              <w:t>4.50</w:t>
            </w:r>
          </w:p>
        </w:tc>
        <w:tc>
          <w:tcPr>
            <w:tcW w:w="1361" w:type="dxa"/>
            <w:tcBorders>
              <w:left w:val="single" w:sz="6" w:space="0" w:color="000000"/>
              <w:right w:val="single" w:sz="6" w:space="0" w:color="000000"/>
            </w:tcBorders>
            <w:vAlign w:val="center"/>
          </w:tcPr>
          <w:p>
            <w:pPr>
              <w:pStyle w:val="19"/>
            </w:pPr>
            <w:r>
              <w:t>293.28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255.17</w:t>
            </w:r>
          </w:p>
        </w:tc>
        <w:tc>
          <w:tcPr>
            <w:tcW w:w="1361" w:type="dxa"/>
            <w:tcBorders>
              <w:left w:val="single" w:sz="6" w:space="0" w:color="000000"/>
              <w:right w:val="single" w:sz="6" w:space="0" w:color="000000"/>
            </w:tcBorders>
            <w:vAlign w:val="center"/>
          </w:tcPr>
          <w:p>
            <w:pPr>
              <w:pStyle w:val="19"/>
            </w:pPr>
            <w:r>
              <w:t>204.60</w:t>
            </w:r>
          </w:p>
        </w:tc>
        <w:tc>
          <w:tcPr>
            <w:tcW w:w="1361" w:type="dxa"/>
            <w:tcBorders>
              <w:left w:val="single" w:sz="6" w:space="0" w:color="000000"/>
              <w:right w:val="single" w:sz="6" w:space="0" w:color="000000"/>
            </w:tcBorders>
            <w:vAlign w:val="center"/>
          </w:tcPr>
          <w:p>
            <w:pPr>
              <w:pStyle w:val="19"/>
            </w:pPr>
            <w:r>
              <w:t>50.57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204.60</w:t>
            </w:r>
          </w:p>
        </w:tc>
        <w:tc>
          <w:tcPr>
            <w:tcW w:w="1361" w:type="dxa"/>
            <w:tcBorders>
              <w:left w:val="single" w:sz="6" w:space="0" w:color="000000"/>
              <w:right w:val="single" w:sz="6" w:space="0" w:color="000000"/>
            </w:tcBorders>
            <w:vAlign w:val="center"/>
          </w:tcPr>
          <w:p>
            <w:pPr>
              <w:pStyle w:val="19"/>
            </w:pPr>
            <w:r>
              <w:t>204.60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159.66</w:t>
            </w:r>
          </w:p>
        </w:tc>
        <w:tc>
          <w:tcPr>
            <w:tcW w:w="1361" w:type="dxa"/>
            <w:tcBorders>
              <w:left w:val="single" w:sz="6" w:space="0" w:color="000000"/>
              <w:right w:val="single" w:sz="6" w:space="0" w:color="000000"/>
            </w:tcBorders>
            <w:vAlign w:val="center"/>
          </w:tcPr>
          <w:p>
            <w:pPr>
              <w:pStyle w:val="19"/>
            </w:pPr>
            <w:r>
              <w:t>159.66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44.94</w:t>
            </w:r>
          </w:p>
        </w:tc>
        <w:tc>
          <w:tcPr>
            <w:tcW w:w="1361" w:type="dxa"/>
            <w:tcBorders>
              <w:left w:val="single" w:sz="6" w:space="0" w:color="000000"/>
              <w:right w:val="single" w:sz="6" w:space="0" w:color="000000"/>
            </w:tcBorders>
            <w:vAlign w:val="center"/>
          </w:tcPr>
          <w:p>
            <w:pPr>
              <w:pStyle w:val="19"/>
            </w:pPr>
            <w:r>
              <w:t>44.94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0.57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0.57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48.11</w:t>
            </w:r>
          </w:p>
        </w:tc>
        <w:tc>
          <w:tcPr>
            <w:tcW w:w="1361" w:type="dxa"/>
            <w:tcBorders>
              <w:left w:val="single" w:sz="6" w:space="0" w:color="000000"/>
              <w:right w:val="single" w:sz="6" w:space="0" w:color="000000"/>
            </w:tcBorders>
            <w:vAlign w:val="center"/>
          </w:tcPr>
          <w:p>
            <w:pPr>
              <w:pStyle w:val="19"/>
            </w:pPr>
            <w:r>
              <w:t>48.11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48.11</w:t>
            </w:r>
          </w:p>
        </w:tc>
        <w:tc>
          <w:tcPr>
            <w:tcW w:w="1361" w:type="dxa"/>
            <w:tcBorders>
              <w:left w:val="single" w:sz="6" w:space="0" w:color="000000"/>
              <w:right w:val="single" w:sz="6" w:space="0" w:color="000000"/>
            </w:tcBorders>
            <w:vAlign w:val="center"/>
          </w:tcPr>
          <w:p>
            <w:pPr>
              <w:pStyle w:val="19"/>
            </w:pPr>
            <w:r>
              <w:t>48.11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17.81</w:t>
            </w:r>
          </w:p>
        </w:tc>
        <w:tc>
          <w:tcPr>
            <w:tcW w:w="1361" w:type="dxa"/>
            <w:tcBorders>
              <w:left w:val="single" w:sz="6" w:space="0" w:color="000000"/>
              <w:right w:val="single" w:sz="6" w:space="0" w:color="000000"/>
            </w:tcBorders>
            <w:vAlign w:val="center"/>
          </w:tcPr>
          <w:p>
            <w:pPr>
              <w:pStyle w:val="19"/>
            </w:pPr>
            <w:r>
              <w:t>17.81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30.30</w:t>
            </w:r>
          </w:p>
        </w:tc>
        <w:tc>
          <w:tcPr>
            <w:tcW w:w="1361" w:type="dxa"/>
            <w:tcBorders>
              <w:left w:val="single" w:sz="6" w:space="0" w:color="000000"/>
              <w:right w:val="single" w:sz="6" w:space="0" w:color="000000"/>
            </w:tcBorders>
            <w:vAlign w:val="center"/>
          </w:tcPr>
          <w:p>
            <w:pPr>
              <w:pStyle w:val="19"/>
            </w:pPr>
            <w:r>
              <w:t>30.30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36.56</w:t>
            </w:r>
          </w:p>
        </w:tc>
        <w:tc>
          <w:tcPr>
            <w:tcW w:w="1361" w:type="dxa"/>
            <w:tcBorders>
              <w:left w:val="single" w:sz="6" w:space="0" w:color="000000"/>
              <w:right w:val="single" w:sz="6" w:space="0" w:color="000000"/>
            </w:tcBorders>
            <w:vAlign w:val="center"/>
          </w:tcPr>
          <w:p>
            <w:pPr>
              <w:pStyle w:val="19"/>
            </w:pPr>
            <w:r>
              <w:t>36.56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36.56</w:t>
            </w:r>
          </w:p>
        </w:tc>
        <w:tc>
          <w:tcPr>
            <w:tcW w:w="1361" w:type="dxa"/>
            <w:tcBorders>
              <w:left w:val="single" w:sz="6" w:space="0" w:color="000000"/>
              <w:right w:val="single" w:sz="6" w:space="0" w:color="000000"/>
            </w:tcBorders>
            <w:vAlign w:val="center"/>
          </w:tcPr>
          <w:p>
            <w:pPr>
              <w:pStyle w:val="19"/>
            </w:pPr>
            <w:r>
              <w:t>36.56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36.56</w:t>
            </w:r>
          </w:p>
        </w:tc>
        <w:tc>
          <w:tcPr>
            <w:tcW w:w="1361" w:type="dxa"/>
            <w:tcBorders>
              <w:left w:val="single" w:sz="6" w:space="0" w:color="000000"/>
              <w:right w:val="single" w:sz="6" w:space="0" w:color="000000"/>
            </w:tcBorders>
            <w:vAlign w:val="center"/>
          </w:tcPr>
          <w:p>
            <w:pPr>
              <w:pStyle w:val="19"/>
            </w:pPr>
            <w:r>
              <w:t>36.56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1464.13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1124.29</w:t>
            </w:r>
          </w:p>
        </w:tc>
        <w:tc>
          <w:tcPr>
            <w:tcW w:w="1474" w:type="dxa"/>
            <w:tcBorders>
              <w:left w:val="single" w:sz="6" w:space="0" w:color="000000"/>
              <w:right w:val="single" w:sz="6" w:space="0" w:color="000000"/>
            </w:tcBorders>
            <w:vAlign w:val="center"/>
          </w:tcPr>
          <w:p>
            <w:pPr>
              <w:pStyle w:val="19"/>
            </w:pPr>
            <w:r>
              <w:t>1124.29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255.17</w:t>
            </w:r>
          </w:p>
        </w:tc>
        <w:tc>
          <w:tcPr>
            <w:tcW w:w="1474" w:type="dxa"/>
            <w:tcBorders>
              <w:left w:val="single" w:sz="6" w:space="0" w:color="000000"/>
              <w:right w:val="single" w:sz="6" w:space="0" w:color="000000"/>
            </w:tcBorders>
            <w:vAlign w:val="center"/>
          </w:tcPr>
          <w:p>
            <w:pPr>
              <w:pStyle w:val="19"/>
            </w:pPr>
            <w:r>
              <w:t>255.17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48.11</w:t>
            </w:r>
          </w:p>
        </w:tc>
        <w:tc>
          <w:tcPr>
            <w:tcW w:w="1474" w:type="dxa"/>
            <w:tcBorders>
              <w:left w:val="single" w:sz="6" w:space="0" w:color="000000"/>
              <w:right w:val="single" w:sz="6" w:space="0" w:color="000000"/>
            </w:tcBorders>
            <w:vAlign w:val="center"/>
          </w:tcPr>
          <w:p>
            <w:pPr>
              <w:pStyle w:val="19"/>
            </w:pPr>
            <w:r>
              <w:t>48.11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36.56</w:t>
            </w:r>
          </w:p>
        </w:tc>
        <w:tc>
          <w:tcPr>
            <w:tcW w:w="1474" w:type="dxa"/>
            <w:tcBorders>
              <w:left w:val="single" w:sz="6" w:space="0" w:color="000000"/>
              <w:right w:val="single" w:sz="6" w:space="0" w:color="000000"/>
            </w:tcBorders>
            <w:vAlign w:val="center"/>
          </w:tcPr>
          <w:p>
            <w:pPr>
              <w:pStyle w:val="19"/>
            </w:pPr>
            <w:r>
              <w:t>36.56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1464.13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1464.13</w:t>
            </w:r>
          </w:p>
        </w:tc>
        <w:tc>
          <w:tcPr>
            <w:tcW w:w="1474" w:type="dxa"/>
            <w:tcBorders>
              <w:left w:val="single" w:sz="6" w:space="0" w:color="000000"/>
              <w:right w:val="single" w:sz="6" w:space="0" w:color="000000"/>
            </w:tcBorders>
            <w:vAlign w:val="center"/>
          </w:tcPr>
          <w:p>
            <w:pPr>
              <w:pStyle w:val="23"/>
            </w:pPr>
            <w:r>
              <w:t>1464.13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1464.13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1464.13</w:t>
            </w:r>
          </w:p>
        </w:tc>
        <w:tc>
          <w:tcPr>
            <w:tcW w:w="1474" w:type="dxa"/>
            <w:tcBorders>
              <w:left w:val="single" w:sz="6" w:space="0" w:color="000000"/>
              <w:right w:val="single" w:sz="6" w:space="0" w:color="000000"/>
            </w:tcBorders>
            <w:vAlign w:val="center"/>
          </w:tcPr>
          <w:p>
            <w:pPr>
              <w:pStyle w:val="23"/>
            </w:pPr>
            <w:r>
              <w:t>1464.13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1464.13</w:t>
            </w:r>
          </w:p>
        </w:tc>
        <w:tc>
          <w:tcPr>
            <w:tcW w:w="2551" w:type="dxa"/>
            <w:tcBorders>
              <w:left w:val="single" w:sz="6" w:space="0" w:color="000000"/>
              <w:right w:val="single" w:sz="6" w:space="0" w:color="000000"/>
            </w:tcBorders>
            <w:vAlign w:val="center"/>
          </w:tcPr>
          <w:p>
            <w:pPr>
              <w:pStyle w:val="23"/>
            </w:pPr>
            <w:r>
              <w:t>780.28</w:t>
            </w:r>
          </w:p>
        </w:tc>
        <w:tc>
          <w:tcPr>
            <w:tcW w:w="2551" w:type="dxa"/>
            <w:vAlign w:val="center"/>
          </w:tcPr>
          <w:p>
            <w:pPr>
              <w:pStyle w:val="23"/>
            </w:pPr>
            <w:r>
              <w:t>683.85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1124.29</w:t>
            </w:r>
          </w:p>
        </w:tc>
        <w:tc>
          <w:tcPr>
            <w:tcW w:w="2551" w:type="dxa"/>
            <w:tcBorders>
              <w:left w:val="single" w:sz="6" w:space="0" w:color="000000"/>
              <w:right w:val="single" w:sz="6" w:space="0" w:color="000000"/>
            </w:tcBorders>
            <w:vAlign w:val="center"/>
          </w:tcPr>
          <w:p>
            <w:pPr>
              <w:pStyle w:val="19"/>
            </w:pPr>
            <w:r>
              <w:t>491.01</w:t>
            </w:r>
          </w:p>
        </w:tc>
        <w:tc>
          <w:tcPr>
            <w:tcW w:w="2551" w:type="dxa"/>
            <w:vAlign w:val="center"/>
          </w:tcPr>
          <w:p>
            <w:pPr>
              <w:pStyle w:val="19"/>
            </w:pPr>
            <w:r>
              <w:t>633.28</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2551" w:type="dxa"/>
            <w:tcBorders>
              <w:left w:val="single" w:sz="6" w:space="0" w:color="000000"/>
              <w:right w:val="single" w:sz="6" w:space="0" w:color="000000"/>
            </w:tcBorders>
            <w:vAlign w:val="center"/>
          </w:tcPr>
          <w:p>
            <w:pPr>
              <w:pStyle w:val="19"/>
            </w:pPr>
            <w:r>
              <w:t>1124.29</w:t>
            </w:r>
          </w:p>
        </w:tc>
        <w:tc>
          <w:tcPr>
            <w:tcW w:w="2551" w:type="dxa"/>
            <w:tcBorders>
              <w:left w:val="single" w:sz="6" w:space="0" w:color="000000"/>
              <w:right w:val="single" w:sz="6" w:space="0" w:color="000000"/>
            </w:tcBorders>
            <w:vAlign w:val="center"/>
          </w:tcPr>
          <w:p>
            <w:pPr>
              <w:pStyle w:val="19"/>
            </w:pPr>
            <w:r>
              <w:t>491.01</w:t>
            </w:r>
          </w:p>
        </w:tc>
        <w:tc>
          <w:tcPr>
            <w:tcW w:w="2551" w:type="dxa"/>
            <w:vAlign w:val="center"/>
          </w:tcPr>
          <w:p>
            <w:pPr>
              <w:pStyle w:val="19"/>
            </w:pPr>
            <w:r>
              <w:t>633.28</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486.51</w:t>
            </w:r>
          </w:p>
        </w:tc>
        <w:tc>
          <w:tcPr>
            <w:tcW w:w="2551" w:type="dxa"/>
            <w:tcBorders>
              <w:left w:val="single" w:sz="6" w:space="0" w:color="000000"/>
              <w:right w:val="single" w:sz="6" w:space="0" w:color="000000"/>
            </w:tcBorders>
            <w:vAlign w:val="center"/>
          </w:tcPr>
          <w:p>
            <w:pPr>
              <w:pStyle w:val="19"/>
            </w:pPr>
            <w:r>
              <w:t>486.51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2551" w:type="dxa"/>
            <w:tcBorders>
              <w:left w:val="single" w:sz="6" w:space="0" w:color="000000"/>
              <w:right w:val="single" w:sz="6" w:space="0" w:color="000000"/>
            </w:tcBorders>
            <w:vAlign w:val="center"/>
          </w:tcPr>
          <w:p>
            <w:pPr>
              <w:pStyle w:val="19"/>
            </w:pPr>
            <w:r>
              <w:t>297.78</w:t>
            </w:r>
          </w:p>
        </w:tc>
        <w:tc>
          <w:tcPr>
            <w:tcW w:w="2551" w:type="dxa"/>
            <w:tcBorders>
              <w:left w:val="single" w:sz="6" w:space="0" w:color="000000"/>
              <w:right w:val="single" w:sz="6" w:space="0" w:color="000000"/>
            </w:tcBorders>
            <w:vAlign w:val="center"/>
          </w:tcPr>
          <w:p>
            <w:pPr>
              <w:pStyle w:val="19"/>
            </w:pPr>
            <w:r>
              <w:t>4.50</w:t>
            </w:r>
          </w:p>
        </w:tc>
        <w:tc>
          <w:tcPr>
            <w:tcW w:w="2551" w:type="dxa"/>
            <w:vAlign w:val="center"/>
          </w:tcPr>
          <w:p>
            <w:pPr>
              <w:pStyle w:val="19"/>
            </w:pPr>
            <w:r>
              <w:t>293.28</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255.17</w:t>
            </w:r>
          </w:p>
        </w:tc>
        <w:tc>
          <w:tcPr>
            <w:tcW w:w="2551" w:type="dxa"/>
            <w:tcBorders>
              <w:left w:val="single" w:sz="6" w:space="0" w:color="000000"/>
              <w:right w:val="single" w:sz="6" w:space="0" w:color="000000"/>
            </w:tcBorders>
            <w:vAlign w:val="center"/>
          </w:tcPr>
          <w:p>
            <w:pPr>
              <w:pStyle w:val="19"/>
            </w:pPr>
            <w:r>
              <w:t>204.60</w:t>
            </w:r>
          </w:p>
        </w:tc>
        <w:tc>
          <w:tcPr>
            <w:tcW w:w="2551" w:type="dxa"/>
            <w:vAlign w:val="center"/>
          </w:tcPr>
          <w:p>
            <w:pPr>
              <w:pStyle w:val="19"/>
            </w:pPr>
            <w:r>
              <w:t>50.57</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204.60</w:t>
            </w:r>
          </w:p>
        </w:tc>
        <w:tc>
          <w:tcPr>
            <w:tcW w:w="2551" w:type="dxa"/>
            <w:tcBorders>
              <w:left w:val="single" w:sz="6" w:space="0" w:color="000000"/>
              <w:right w:val="single" w:sz="6" w:space="0" w:color="000000"/>
            </w:tcBorders>
            <w:vAlign w:val="center"/>
          </w:tcPr>
          <w:p>
            <w:pPr>
              <w:pStyle w:val="19"/>
            </w:pPr>
            <w:r>
              <w:t>204.60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159.66</w:t>
            </w:r>
          </w:p>
        </w:tc>
        <w:tc>
          <w:tcPr>
            <w:tcW w:w="2551" w:type="dxa"/>
            <w:tcBorders>
              <w:left w:val="single" w:sz="6" w:space="0" w:color="000000"/>
              <w:right w:val="single" w:sz="6" w:space="0" w:color="000000"/>
            </w:tcBorders>
            <w:vAlign w:val="center"/>
          </w:tcPr>
          <w:p>
            <w:pPr>
              <w:pStyle w:val="19"/>
            </w:pPr>
            <w:r>
              <w:t>159.66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44.94</w:t>
            </w:r>
          </w:p>
        </w:tc>
        <w:tc>
          <w:tcPr>
            <w:tcW w:w="2551" w:type="dxa"/>
            <w:tcBorders>
              <w:left w:val="single" w:sz="6" w:space="0" w:color="000000"/>
              <w:right w:val="single" w:sz="6" w:space="0" w:color="000000"/>
            </w:tcBorders>
            <w:vAlign w:val="center"/>
          </w:tcPr>
          <w:p>
            <w:pPr>
              <w:pStyle w:val="19"/>
            </w:pPr>
            <w:r>
              <w:t>44.94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0.57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0.57</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0.57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0.57</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48.11</w:t>
            </w:r>
          </w:p>
        </w:tc>
        <w:tc>
          <w:tcPr>
            <w:tcW w:w="2551" w:type="dxa"/>
            <w:tcBorders>
              <w:left w:val="single" w:sz="6" w:space="0" w:color="000000"/>
              <w:right w:val="single" w:sz="6" w:space="0" w:color="000000"/>
            </w:tcBorders>
            <w:vAlign w:val="center"/>
          </w:tcPr>
          <w:p>
            <w:pPr>
              <w:pStyle w:val="19"/>
            </w:pPr>
            <w:r>
              <w:t>48.11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48.11</w:t>
            </w:r>
          </w:p>
        </w:tc>
        <w:tc>
          <w:tcPr>
            <w:tcW w:w="2551" w:type="dxa"/>
            <w:tcBorders>
              <w:left w:val="single" w:sz="6" w:space="0" w:color="000000"/>
              <w:right w:val="single" w:sz="6" w:space="0" w:color="000000"/>
            </w:tcBorders>
            <w:vAlign w:val="center"/>
          </w:tcPr>
          <w:p>
            <w:pPr>
              <w:pStyle w:val="19"/>
            </w:pPr>
            <w:r>
              <w:t>48.11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17.81</w:t>
            </w:r>
          </w:p>
        </w:tc>
        <w:tc>
          <w:tcPr>
            <w:tcW w:w="2551" w:type="dxa"/>
            <w:tcBorders>
              <w:left w:val="single" w:sz="6" w:space="0" w:color="000000"/>
              <w:right w:val="single" w:sz="6" w:space="0" w:color="000000"/>
            </w:tcBorders>
            <w:vAlign w:val="center"/>
          </w:tcPr>
          <w:p>
            <w:pPr>
              <w:pStyle w:val="19"/>
            </w:pPr>
            <w:r>
              <w:t>17.81</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30.30</w:t>
            </w:r>
          </w:p>
        </w:tc>
        <w:tc>
          <w:tcPr>
            <w:tcW w:w="2551" w:type="dxa"/>
            <w:tcBorders>
              <w:left w:val="single" w:sz="6" w:space="0" w:color="000000"/>
              <w:right w:val="single" w:sz="6" w:space="0" w:color="000000"/>
            </w:tcBorders>
            <w:vAlign w:val="center"/>
          </w:tcPr>
          <w:p>
            <w:pPr>
              <w:pStyle w:val="19"/>
            </w:pPr>
            <w:r>
              <w:t>30.30</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36.56</w:t>
            </w:r>
          </w:p>
        </w:tc>
        <w:tc>
          <w:tcPr>
            <w:tcW w:w="2551" w:type="dxa"/>
            <w:tcBorders>
              <w:left w:val="single" w:sz="6" w:space="0" w:color="000000"/>
              <w:right w:val="single" w:sz="6" w:space="0" w:color="000000"/>
            </w:tcBorders>
            <w:vAlign w:val="center"/>
          </w:tcPr>
          <w:p>
            <w:pPr>
              <w:pStyle w:val="19"/>
            </w:pPr>
            <w:r>
              <w:t>36.56</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36.56</w:t>
            </w:r>
          </w:p>
        </w:tc>
        <w:tc>
          <w:tcPr>
            <w:tcW w:w="2551" w:type="dxa"/>
            <w:tcBorders>
              <w:left w:val="single" w:sz="6" w:space="0" w:color="000000"/>
              <w:right w:val="single" w:sz="6" w:space="0" w:color="000000"/>
            </w:tcBorders>
            <w:vAlign w:val="center"/>
          </w:tcPr>
          <w:p>
            <w:pPr>
              <w:pStyle w:val="19"/>
            </w:pPr>
            <w:r>
              <w:t>36.56</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36.56</w:t>
            </w:r>
          </w:p>
        </w:tc>
        <w:tc>
          <w:tcPr>
            <w:tcW w:w="2551" w:type="dxa"/>
            <w:tcBorders>
              <w:left w:val="single" w:sz="6" w:space="0" w:color="000000"/>
              <w:right w:val="single" w:sz="6" w:space="0" w:color="000000"/>
            </w:tcBorders>
            <w:vAlign w:val="center"/>
          </w:tcPr>
          <w:p>
            <w:pPr>
              <w:pStyle w:val="19"/>
            </w:pPr>
            <w:r>
              <w:t>36.56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780.28</w:t>
            </w:r>
          </w:p>
        </w:tc>
        <w:tc>
          <w:tcPr>
            <w:tcW w:w="2551" w:type="dxa"/>
            <w:tcBorders>
              <w:left w:val="single" w:sz="6" w:space="0" w:color="000000"/>
              <w:right w:val="single" w:sz="6" w:space="0" w:color="000000"/>
            </w:tcBorders>
            <w:vAlign w:val="center"/>
          </w:tcPr>
          <w:p>
            <w:pPr>
              <w:pStyle w:val="23"/>
            </w:pPr>
            <w:r>
              <w:t>733.92</w:t>
            </w:r>
          </w:p>
        </w:tc>
        <w:tc>
          <w:tcPr>
            <w:tcW w:w="2551" w:type="dxa"/>
            <w:vAlign w:val="center"/>
          </w:tcPr>
          <w:p>
            <w:pPr>
              <w:pStyle w:val="23"/>
            </w:pPr>
            <w:r>
              <w:t>46.36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589.73</w:t>
            </w:r>
          </w:p>
        </w:tc>
        <w:tc>
          <w:tcPr>
            <w:tcW w:w="2551" w:type="dxa"/>
            <w:tcBorders>
              <w:left w:val="single" w:sz="6" w:space="0" w:color="000000"/>
              <w:right w:val="single" w:sz="6" w:space="0" w:color="000000"/>
            </w:tcBorders>
            <w:vAlign w:val="center"/>
          </w:tcPr>
          <w:p>
            <w:pPr>
              <w:pStyle w:val="19"/>
            </w:pPr>
            <w:r>
              <w:t>589.73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122.87</w:t>
            </w:r>
          </w:p>
        </w:tc>
        <w:tc>
          <w:tcPr>
            <w:tcW w:w="2551" w:type="dxa"/>
            <w:tcBorders>
              <w:left w:val="single" w:sz="6" w:space="0" w:color="000000"/>
              <w:right w:val="single" w:sz="6" w:space="0" w:color="000000"/>
            </w:tcBorders>
            <w:vAlign w:val="center"/>
          </w:tcPr>
          <w:p>
            <w:pPr>
              <w:pStyle w:val="19"/>
            </w:pPr>
            <w:r>
              <w:t>122.87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67.66</w:t>
            </w:r>
          </w:p>
        </w:tc>
        <w:tc>
          <w:tcPr>
            <w:tcW w:w="2551" w:type="dxa"/>
            <w:tcBorders>
              <w:left w:val="single" w:sz="6" w:space="0" w:color="000000"/>
              <w:right w:val="single" w:sz="6" w:space="0" w:color="000000"/>
            </w:tcBorders>
            <w:vAlign w:val="center"/>
          </w:tcPr>
          <w:p>
            <w:pPr>
              <w:pStyle w:val="19"/>
            </w:pPr>
            <w:r>
              <w:t>67.66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27.02</w:t>
            </w:r>
          </w:p>
        </w:tc>
        <w:tc>
          <w:tcPr>
            <w:tcW w:w="2551" w:type="dxa"/>
            <w:tcBorders>
              <w:left w:val="single" w:sz="6" w:space="0" w:color="000000"/>
              <w:right w:val="single" w:sz="6" w:space="0" w:color="000000"/>
            </w:tcBorders>
            <w:vAlign w:val="center"/>
          </w:tcPr>
          <w:p>
            <w:pPr>
              <w:pStyle w:val="19"/>
            </w:pPr>
            <w:r>
              <w:t>27.02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79.04</w:t>
            </w:r>
          </w:p>
        </w:tc>
        <w:tc>
          <w:tcPr>
            <w:tcW w:w="2551" w:type="dxa"/>
            <w:tcBorders>
              <w:left w:val="single" w:sz="6" w:space="0" w:color="000000"/>
              <w:right w:val="single" w:sz="6" w:space="0" w:color="000000"/>
            </w:tcBorders>
            <w:vAlign w:val="center"/>
          </w:tcPr>
          <w:p>
            <w:pPr>
              <w:pStyle w:val="19"/>
            </w:pPr>
            <w:r>
              <w:t>79.04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44.94</w:t>
            </w:r>
          </w:p>
        </w:tc>
        <w:tc>
          <w:tcPr>
            <w:tcW w:w="2551" w:type="dxa"/>
            <w:tcBorders>
              <w:left w:val="single" w:sz="6" w:space="0" w:color="000000"/>
              <w:right w:val="single" w:sz="6" w:space="0" w:color="000000"/>
            </w:tcBorders>
            <w:vAlign w:val="center"/>
          </w:tcPr>
          <w:p>
            <w:pPr>
              <w:pStyle w:val="19"/>
            </w:pPr>
            <w:r>
              <w:t>44.94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17.81</w:t>
            </w:r>
          </w:p>
        </w:tc>
        <w:tc>
          <w:tcPr>
            <w:tcW w:w="2551" w:type="dxa"/>
            <w:tcBorders>
              <w:left w:val="single" w:sz="6" w:space="0" w:color="000000"/>
              <w:right w:val="single" w:sz="6" w:space="0" w:color="000000"/>
            </w:tcBorders>
            <w:vAlign w:val="center"/>
          </w:tcPr>
          <w:p>
            <w:pPr>
              <w:pStyle w:val="19"/>
            </w:pPr>
            <w:r>
              <w:t>17.81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48.30</w:t>
            </w:r>
          </w:p>
        </w:tc>
        <w:tc>
          <w:tcPr>
            <w:tcW w:w="2551" w:type="dxa"/>
            <w:tcBorders>
              <w:left w:val="single" w:sz="6" w:space="0" w:color="000000"/>
              <w:right w:val="single" w:sz="6" w:space="0" w:color="000000"/>
            </w:tcBorders>
            <w:vAlign w:val="center"/>
          </w:tcPr>
          <w:p>
            <w:pPr>
              <w:pStyle w:val="19"/>
            </w:pPr>
            <w:r>
              <w:t>48.30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r>
              <w:t>2.70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36.56</w:t>
            </w:r>
          </w:p>
        </w:tc>
        <w:tc>
          <w:tcPr>
            <w:tcW w:w="2551" w:type="dxa"/>
            <w:tcBorders>
              <w:left w:val="single" w:sz="6" w:space="0" w:color="000000"/>
              <w:right w:val="single" w:sz="6" w:space="0" w:color="000000"/>
            </w:tcBorders>
            <w:vAlign w:val="center"/>
          </w:tcPr>
          <w:p>
            <w:pPr>
              <w:pStyle w:val="19"/>
            </w:pPr>
            <w:r>
              <w:t>36.56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142.83</w:t>
            </w:r>
          </w:p>
        </w:tc>
        <w:tc>
          <w:tcPr>
            <w:tcW w:w="2551" w:type="dxa"/>
            <w:tcBorders>
              <w:left w:val="single" w:sz="6" w:space="0" w:color="000000"/>
              <w:right w:val="single" w:sz="6" w:space="0" w:color="000000"/>
            </w:tcBorders>
            <w:vAlign w:val="center"/>
          </w:tcPr>
          <w:p>
            <w:pPr>
              <w:pStyle w:val="19"/>
            </w:pPr>
            <w:r>
              <w:t>142.83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46.36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46.36</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7.32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7.32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7.30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7.02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7.02</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3.65</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4.57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4.57</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144.19</w:t>
            </w:r>
          </w:p>
        </w:tc>
        <w:tc>
          <w:tcPr>
            <w:tcW w:w="2551" w:type="dxa"/>
            <w:tcBorders>
              <w:left w:val="single" w:sz="6" w:space="0" w:color="000000"/>
              <w:right w:val="single" w:sz="6" w:space="0" w:color="000000"/>
            </w:tcBorders>
            <w:vAlign w:val="center"/>
          </w:tcPr>
          <w:p>
            <w:pPr>
              <w:pStyle w:val="19"/>
            </w:pPr>
            <w:r>
              <w:t>144.19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141.66</w:t>
            </w:r>
          </w:p>
        </w:tc>
        <w:tc>
          <w:tcPr>
            <w:tcW w:w="2551" w:type="dxa"/>
            <w:tcBorders>
              <w:left w:val="single" w:sz="6" w:space="0" w:color="000000"/>
              <w:right w:val="single" w:sz="6" w:space="0" w:color="000000"/>
            </w:tcBorders>
            <w:vAlign w:val="center"/>
          </w:tcPr>
          <w:p>
            <w:pPr>
              <w:pStyle w:val="19"/>
            </w:pPr>
            <w:r>
              <w:t>141.66</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r>
              <w:t>2.50</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0.03</w:t>
            </w:r>
          </w:p>
        </w:tc>
        <w:tc>
          <w:tcPr>
            <w:tcW w:w="2551" w:type="dxa"/>
            <w:tcBorders>
              <w:left w:val="single" w:sz="6" w:space="0" w:color="000000"/>
              <w:right w:val="single" w:sz="6" w:space="0" w:color="000000"/>
            </w:tcBorders>
            <w:vAlign w:val="center"/>
          </w:tcPr>
          <w:p>
            <w:pPr>
              <w:pStyle w:val="19"/>
            </w:pPr>
            <w:r>
              <w:t>0.03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1643"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1643"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1643"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70.00</w:t>
            </w:r>
          </w:p>
        </w:tc>
        <w:tc>
          <w:tcPr>
            <w:tcW w:w="2381" w:type="dxa"/>
            <w:tcBorders>
              <w:left w:val="single" w:sz="6" w:space="0" w:color="000000"/>
              <w:right w:val="single" w:sz="6" w:space="0" w:color="000000"/>
            </w:tcBorders>
            <w:vAlign w:val="center"/>
          </w:tcPr>
          <w:p>
            <w:pPr>
              <w:pStyle w:val="23"/>
            </w:pPr>
            <w:r>
              <w:t>70.00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1643"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bookmarkStart w:id="9" w:name="_GoBack"/>
            <w:bookmarkEnd w:id="9"/>
          </w:p>
        </w:tc>
      </w:tr>
      <w:tr>
        <w:trPr>
          <w:trHeight w:val="567"/>
        </w:trPr>
        <w:tc>
          <w:tcPr>
            <w:tcW w:w="1643"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唐山市丰南区商务和投资促进局2023年部门预算信息公开情况说明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唐山市丰南区商务和投资促进局2023年部门预算信息公开情况说明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按照《预算法》、《地方预决算公开操作规程》和《关于进一步推进预算公开工作的实施意见》规定，现将唐山市丰南区商务和投资促进局2023年部门预算公开如下：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25"/>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5"/>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25"/>
      </w:pPr>
      <w:r>
        <w:t>（四）牵头推进商务领域信用体系建设，规范商贸企业交易行为。牵头推动重要产品追溯体系建设。按有关规定对特殊流通行业进行监督管理。</w:t>
      </w:r>
    </w:p>
    <w:p>
      <w:pPr>
        <w:pStyle w:val="25"/>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25"/>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25"/>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25"/>
      </w:pPr>
      <w:r>
        <w:t>（八）会同有关部门贯彻执行国家和省市区促进服务出口和服务外包发展的规划、政策，牵头拟订全区服务贸易发展规划并组织实施。</w:t>
      </w:r>
    </w:p>
    <w:p>
      <w:pPr>
        <w:pStyle w:val="25"/>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25"/>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25"/>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5"/>
      </w:pPr>
      <w:r>
        <w:t>（十二）负责全区商务系统涉及世贸组织相关事务的研究、指导和服务工作，配合商务部和商务厅、市商务局解决世贸组织框架下涉及全区的贸易争端，负责推进全区进出口贸易的标准化建设。</w:t>
      </w:r>
    </w:p>
    <w:p>
      <w:pPr>
        <w:pStyle w:val="25"/>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25"/>
      </w:pPr>
      <w:r>
        <w:t>（十四）指导、管理境内外对外经济技术展览会和赴境外非商业性办展活动。</w:t>
      </w:r>
    </w:p>
    <w:p>
      <w:pPr>
        <w:pStyle w:val="25"/>
      </w:pPr>
      <w:r>
        <w:t>（十五）监测分析全区商务运行情况，承担全区商务系统对外宣传和信息发布工作。</w:t>
      </w:r>
    </w:p>
    <w:p>
      <w:pPr>
        <w:pStyle w:val="25"/>
      </w:pPr>
      <w:r>
        <w:t>（十六）负责监督管理所属企业国有资产；负责企业职工安置管理与服务。</w:t>
      </w:r>
    </w:p>
    <w:p>
      <w:pPr>
        <w:pStyle w:val="25"/>
      </w:pPr>
      <w:r>
        <w:t>（十七）承办区政府交办的其他事项。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唐山市丰南区商务和投资促进局本级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按照预算管理有关规定，目前部门预算的编制实行综合预算管理，即全部收入和支出都反映在预算中。唐山市丰南区商务和投资促进局机关及所属事业单位的收支包含在部门预算中。</w:t>
      </w:r>
    </w:p>
    <w:p>
      <w:pPr>
        <w:pStyle w:val="26"/>
      </w:pPr>
      <w:r>
        <w:t>（一）收入说明</w:t>
      </w:r>
    </w:p>
    <w:p>
      <w:pPr>
        <w:pStyle w:val="26"/>
      </w:pPr>
      <w:r>
        <w:t>反映本部门当年全部收入。2023年预算收入1464.13万元，其中：一般公共预算收入1464.13万元，基金预算收入0.00万元，国有资本经营预算收入0.00万元，财政专户核拨收入0.00万元，单位资金收入0.00万元，上年结转结余0.00万元。</w:t>
      </w:r>
    </w:p>
    <w:p>
      <w:pPr>
        <w:pStyle w:val="26"/>
      </w:pPr>
      <w:r>
        <w:t>（二）支出说明</w:t>
      </w:r>
    </w:p>
    <w:p>
      <w:pPr>
        <w:pStyle w:val="26"/>
      </w:pPr>
      <w:r>
        <w:t>收支预算总表支出栏、基本支出表、项目支出表按经济分类和支出功能分类科目编制，反映唐山市丰南区商务和投资促进局年度部门预算中支出预算的总体情况。2023年部门预算支出1464.13万元，其中基本支出780.28万元，包括人员经费733.92万元和日常公用经费46.36万元，项目支出683.85万元，主要为招商经费、商业总公司企业改制遗留问题资金、退役军人公益性岗位安置费用、劳务派遣人员经费（劳务费）、就业见习补贴等。</w:t>
      </w:r>
    </w:p>
    <w:p>
      <w:pPr>
        <w:pStyle w:val="26"/>
      </w:pPr>
      <w:r>
        <w:t>（三）比上年增减情况</w:t>
      </w:r>
    </w:p>
    <w:p>
      <w:pPr>
        <w:pStyle w:val="26"/>
      </w:pPr>
      <w:r>
        <w:t>2023年预算收支安排1464.13万元，较2022年预算增加136.64万元，其中：基本支出增加222.35万元，主要为人员经费增加213.57万元，日常公用经费增加8.78万元；项目支出减少85.71万元，主要为减少</w:t>
      </w:r>
      <w:r>
        <w:rPr>
          <w:rFonts w:cs="方正仿宋_GBK"/>
        </w:rPr>
        <w:t xml:space="preserve">2021年第二批省外贸发展专项资金 </w:t>
      </w:r>
      <w:r>
        <w:t>。</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2023年机关运行经费共计安排46.36万元，主要包括用于保证机关正常运转的办公及印刷费、邮电费、差旅费、日常维修费、公务用车运行维护费、工会费、福利费、移动通讯补贴、交通补贴及其他费用等支出。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2023年部门“三公”经费预算安排70万元，比2022年增加0万元。具体增减情况为：</w:t>
      </w:r>
    </w:p>
    <w:p>
      <w:pPr>
        <w:pStyle w:val="28"/>
      </w:pPr>
      <w:r>
        <w:t>（一）公务用车购置及运行费5万元，比2022年增加0万元，无增减变化</w:t>
      </w:r>
    </w:p>
    <w:p>
      <w:pPr>
        <w:pStyle w:val="28"/>
      </w:pPr>
      <w:r>
        <w:t>（二）公务接待费55万元，比2022年增加0万元，无增减变化</w:t>
      </w:r>
    </w:p>
    <w:p>
      <w:pPr>
        <w:pStyle w:val="28"/>
      </w:pPr>
      <w:r>
        <w:t>（三）因公出国（境）费10万元，比2022年增加0万元，无增减变化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围绕“择商选资、招大引强”，引进一批有带动作用的重大项目；突出科技兴贸战略，加快外贸转型升级步伐；重点抓好商贸项目建设，加快商贸流通快速发展；坚持勤政务实、真抓实干，以“四个干”机制和抓铁留痕的工作作风推进各项工作再上新台阶。积极传达各种政策，帮助企业减少疫情带来的影响，加快转变外贸发展方式，推动企业转型升级，加大市场开拓力度，促进外贸平稳健康发展，为完成“十四五”规划目标任务打下坚实基础。</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1、按照区委、区政府关于搞活商贸流通的相关要求，完成任务分解、资金安排等相关工作。</w:t>
      </w:r>
    </w:p>
    <w:p>
      <w:pPr>
        <w:pStyle w:val="30"/>
      </w:pPr>
      <w:r>
        <w:t>绩效目标:打造一批商贸聚集区，支持商贸企业连锁经营和建设电子商务平台，支持商贸服务业电子商务综合信息平台建设、电子商务平台企业运营和电子商务进社区、电子商务进小微商贸企业等项目建设。指导商业网点规划、体系建设;汽车流通行业监督管理;促进商业预付卡管理;推动零售供应商公平交易。</w:t>
      </w:r>
    </w:p>
    <w:p>
      <w:pPr>
        <w:pStyle w:val="30"/>
      </w:pPr>
      <w:r>
        <w:t>绩效指标:新增限额以上贸易企业个数，反映鼓励贸易企业由规下转规上和新增贸易企业入流。指标值(优&gt;=3 个、良=2个、中=1个、差=0个)</w:t>
      </w:r>
    </w:p>
    <w:p>
      <w:pPr>
        <w:pStyle w:val="30"/>
      </w:pPr>
      <w:r>
        <w:t>2、促进对外贸易稳定增长，优化产品结构。完成上级下达的外贸进出口指标。</w:t>
      </w:r>
    </w:p>
    <w:p>
      <w:pPr>
        <w:pStyle w:val="30"/>
      </w:pPr>
      <w:r>
        <w:t>绩效目标:组织企业参加国内国际专业展会。不断优化产品结构和市场结构、稳步推进全区高新技术产业国际化。确保对外经济合作业务稳定发展，确保对外经济合作业务稳定发展。</w:t>
      </w:r>
    </w:p>
    <w:p>
      <w:pPr>
        <w:pStyle w:val="30"/>
      </w:pPr>
      <w:r>
        <w:t>绩效指标:走访境内对外投资主体企业次数，反映走访境内对外投资主体企业情况，指标值(优&gt;=3 个，良=2个、中=1个、差=0个)</w:t>
      </w:r>
    </w:p>
    <w:p>
      <w:pPr>
        <w:pStyle w:val="30"/>
      </w:pPr>
      <w:r>
        <w:t>3、机关日常工作运转及协调工作绩效目标:保障机关正常工作有效运转。</w:t>
      </w:r>
    </w:p>
    <w:p>
      <w:pPr>
        <w:pStyle w:val="30"/>
      </w:pPr>
      <w:r>
        <w:t>绩效指标:党务管理工作完成率。反映务管理工作完成情况。指标值(优&gt;=95%、良=90%-95%、中=85%-80%、差=80%以下)</w:t>
      </w:r>
    </w:p>
    <w:p>
      <w:pPr>
        <w:pStyle w:val="30"/>
      </w:pPr>
      <w:r>
        <w:t>4、组织协调全区招商工作，完成上级下达的招商任务。</w:t>
      </w:r>
    </w:p>
    <w:p>
      <w:pPr>
        <w:pStyle w:val="30"/>
      </w:pPr>
      <w:r>
        <w:t>绩效目标:瞄准重点区域、重点客商和商务机构，加强企业对接、园区对接，项目对接，宣传我区投资环境，力争在精品钢铁、装备制造、精细化工等重点产业寻求投资合作。</w:t>
      </w:r>
    </w:p>
    <w:p>
      <w:pPr>
        <w:pStyle w:val="30"/>
      </w:pPr>
      <w:r>
        <w:t>绩效指标:招商签约数量，反映招商计划组织实施情况。指标值(优&gt;=9 次、良=6-8 次、中=4-5 次、差 3 次以下)</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1、一以贯之抓招商。</w:t>
      </w:r>
    </w:p>
    <w:p>
      <w:pPr>
        <w:pStyle w:val="31"/>
      </w:pPr>
      <w:r>
        <w:t>一是注重招商选资，重点突出新兴产业项目的招商，积极引进那些发展前景好、税收高、能耗低的项目来我区发展，提升项目质量，促进结构调整。二是突出外资项目和有外资背景项目的引进。加强外资项目的储备、培育，加快在建项目的建设速度；进一步相关项目取得实质性进展，弥补我区利用外资的不足。三是实施产业链招商，发挥集群效应。影响大项目、好项目落地的因素很多，但产业链配套尤为重要。综观排在全国前列的工业园区，都有自己的主打产品，而且在国际、国内市场占有相当大的份额，企业产业链接紧密，互为上下游，名牌企业集聚效应明显。借鉴先进地区经验，我区化工园、陶瓷园、冷轧镀锌园等特色工业园招商，在确定重点发展的产业同时，注重引进领军企业，培育自身主打产品，通过主导产业纵向链接、侧向配套，引导上中下游产业集群发展，同类产品、同类企业协作发展，制造业与生产性服务业融合发展，壮大产业集群。围绕“把项目抓成企业，把企业抓成产业，把产业抓成集群”的思路，实现“大项目—产业链—产业集群—产业基地”的发展模式。四是把以商招商作为重要抓手。我区以商招商引进项目的占比逐年增加，已成为招引项目的重要渠道。要进一步突出企业主体作用，借助企业口碑，把对来我区投资的感受宣传、推介给朋友、伙伴，增强感召力和可信度；借助企业的信息渠道、商务渠道、人脉资源，通过企业招引企业。进一步营造亲商、稳商、富商的良好环境，推动本土优质骨干企业靠大联强，通过与国内外行业龙头企业联合重组，实现借梯上楼、做大图强。五是继续把京津冀地区作为招商主战场。借势京津转移，引进高端项目。京津产业转移现正值“窗口期”和“机遇期”，机会难得。京津产业转移，我区具有独特的区位优势。除此以外，我区传统的六大产业，与京津所迁出企业，存在着一定的上下游关系和业务联系。我们应在摸清“家底”的基础上，替迁出企业算好经济账、成本账，从而推动相关企业来我区发展。</w:t>
      </w:r>
    </w:p>
    <w:p>
      <w:pPr>
        <w:pStyle w:val="31"/>
      </w:pPr>
      <w:r>
        <w:t>2、千方百计扩大出口。</w:t>
      </w:r>
    </w:p>
    <w:p>
      <w:pPr>
        <w:pStyle w:val="31"/>
      </w:pPr>
      <w:r>
        <w:t>（1）加快转变外贸发展方式。一是深入实施科技兴贸战略。深入实施“以质取胜”“科技兴贸”战略和技术、品牌、营销、服务带动出口战略，鼓励企业引进技术、自主创新、开展境外商标注册、专利申请，积极参与各类国际标准、技术标准的制定，自主建立全球营销网络，将贸易链延伸到境外批发和零售终端，提高贸易附加值，培育产业、技术和品牌、营销竞争新优势，加快形成高新、机电产品带动外贸整体出口的新格局，鼓励企业与跨境电商平台合作，增加产品销售方式。二是做强服务贸易。加大对服务贸易政策支持力度，积极拓展技术、软件等新领域，培育对外贸易新的增长点。</w:t>
      </w:r>
    </w:p>
    <w:p>
      <w:pPr>
        <w:pStyle w:val="31"/>
      </w:pPr>
      <w:r>
        <w:t>（2）积极开拓新兴市场。扩大与东盟、东欧、大洋洲、非洲、拉美等新兴市场的经贸交流与合作，充分利用区域合作机制，组织企业参加国际知名展会和专业博览会，加大对企业开拓新兴市场的资金扶持，提高重点企业、重点产品知名度，扩大适销对路商品的出口规模，提高新兴市场比重，拓展外贸发展空间。</w:t>
      </w:r>
    </w:p>
    <w:p>
      <w:pPr>
        <w:pStyle w:val="31"/>
      </w:pPr>
      <w:r>
        <w:t>（3）落实企业联系服务制度，开展送政策到企业活动。对全区外贸企业在技改、研发、基地建设等方面进行摸底，了解企业申报项目的进展情况，指导企业用好用活鼓励政策，扩产扩能，提高外贸水平。以参展参会、外贸公共服务平台、项目建设等为载体，为企业提供市场开拓建议、项目申报、行业展会参展、信用保险推荐等针对性服务，切实帮助企业解决困难，促进企业提高外贸业绩。</w:t>
      </w:r>
    </w:p>
    <w:p>
      <w:pPr>
        <w:pStyle w:val="31"/>
      </w:pPr>
      <w:r>
        <w:t>（4）实施市场多元化战略。实施市场多元化战略，针对我区企业和产业特点，鼓励外贸企业调整全球布局，深化欧亚合作，积极响应“一带一路”倡议开辟新兴市场。加大对华通线缆哈萨克斯坦和韩国项目、毕氏集团印尼项目进展情况的跟踪，鼓励企业发挥境外主体转口贸易作用，规避贸易摩擦。同时，组织企业参加省、市专场专题活动，引导帮助企业融入“一带一路”建设。</w:t>
      </w:r>
    </w:p>
    <w:p>
      <w:pPr>
        <w:pStyle w:val="31"/>
      </w:pPr>
      <w:r>
        <w:t>（5）培育外贸新业态。作为落实对外贸易“稳中有进”的必要措施，大力培育外贸新业态、新模式，依托唐山市跨境电子商务综合试验区建设，以B2B发展重点，将发展跨境电商，培育外贸新业态，作为外贸稳增长的新抓手。不断加大新业态宣传推广力度，依托唐山市跨境电子商务综合试验区建设，以B2B发展为重点，鼓励企业依托跨境电商综合服务平台开展线上交易，拓展出口市场，推动传统产业转型升级。</w:t>
      </w:r>
    </w:p>
    <w:p>
      <w:pPr>
        <w:pStyle w:val="31"/>
      </w:pPr>
      <w:r>
        <w:t>3、努力提高利用外资储备。</w:t>
      </w:r>
    </w:p>
    <w:p>
      <w:pPr>
        <w:pStyle w:val="31"/>
      </w:pPr>
      <w:r>
        <w:t>一是积极引进外资项目并加快落地。推进在建外资项目的工程进度，加大境外投资的资金数额。二是加强外资督导入统。</w:t>
      </w:r>
    </w:p>
    <w:p>
      <w:pPr>
        <w:pStyle w:val="31"/>
      </w:pPr>
      <w:r>
        <w:t>4、集中精力发展进内贸流通。</w:t>
      </w:r>
    </w:p>
    <w:p>
      <w:pPr>
        <w:pStyle w:val="31"/>
      </w:pPr>
      <w:r>
        <w:t>一是大力推进重点楼宇经济项目。及时跟进时代广场项目、港岛中心项目等重点在建项目进度。二是积极推进电子商务产业健康发展。三是抓好限额以上批零住餐企业的新增工作。</w:t>
      </w:r>
    </w:p>
    <w:p>
      <w:pPr>
        <w:pStyle w:val="31"/>
      </w:pPr>
      <w:r>
        <w:t>5、完善制度建设。制定完善预算绩效管理制度、资金管理办法、工作保障制度等，为全年预算绩效目标的实现奠定制度基础。</w:t>
      </w:r>
    </w:p>
    <w:p>
      <w:pPr>
        <w:pStyle w:val="31"/>
      </w:pPr>
      <w:r>
        <w:t>6、加强支出管理。通过优化支出结构、编细编实预算、加快履行政府采购手续、尽快启动项目、及时支付资金、6月底前细化代编预算、按规定及时下达资金等多种措施，确保支出进度达标。</w:t>
      </w:r>
    </w:p>
    <w:p>
      <w:pPr>
        <w:pStyle w:val="31"/>
      </w:pPr>
      <w:r>
        <w:t>7、加强绩效运行监控。按要求开展绩效运行监控，发现问题及时采取措施，确保绩效目标如期保质实现。</w:t>
      </w:r>
    </w:p>
    <w:p>
      <w:pPr>
        <w:pStyle w:val="31"/>
      </w:pPr>
      <w:r>
        <w:t>8、做好绩效自评。按要求开展上年度部门预算绩效自评和重点评价工作，对评价中发现的问题及时整改，调整优化支出结构，提高财政资金使用效益。</w:t>
      </w:r>
    </w:p>
    <w:p>
      <w:pPr>
        <w:pStyle w:val="31"/>
      </w:pPr>
      <w:r>
        <w:t>9、规范财务资产管理。完善财务管理制度，严格审批程序，加强固定资产登记、使用和报废处置管理，做到支出合理，物尽其用。</w:t>
      </w:r>
    </w:p>
    <w:p>
      <w:pPr>
        <w:pStyle w:val="31"/>
      </w:pPr>
      <w:r>
        <w:t>10、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11、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1"/>
      </w:pPr>
    </w:p>
    <w:p>
      <w:pPr>
        <w:pStyle w:val="31"/>
      </w:pPr>
    </w:p>
    <w:p>
      <w:pPr>
        <w:ind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pStyle w:val="31"/>
        <w:rPr>
          <w:rFonts w:eastAsia="方正仿宋_GBK"/>
          <w:sz w:val="28"/>
        </w:rPr>
        <w:sectPr>
          <w:pgSz w:w="16840" w:h="11900" w:orient="landscape"/>
          <w:pgMar w:top="1361" w:right="1020" w:bottom="1361" w:left="1020" w:header="720" w:footer="720" w:gutter="0"/>
          <w:docGrid w:linePitch="326" w:charSpace="0"/>
        </w:sectPr>
      </w:pPr>
      <w:r>
        <w:rPr>
          <w:rFonts w:cs="方正楷体_GBK" w:hAnsi="方正楷体_GBK"/>
        </w:rPr>
        <w:t>无</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spacing w:before="0" w:after="0"/>
        <w:ind w:firstLine="560"/>
        <w:jc w:val="left"/>
        <w:outlineLvl w:val="9"/>
      </w:pPr>
      <w:r>
        <w:rPr>
          <w:rFonts w:ascii="方正仿宋_GBK" w:eastAsia="方正仿宋_GBK" w:cs="方正仿宋_GBK" w:hAnsi="方正仿宋_GBK"/>
          <w:b/>
          <w:color w:val="000000"/>
          <w:sz w:val="28"/>
        </w:rPr>
        <w:t>1、就业见习补贴绩效目标表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1.确保就业见习生工资保险及时拨付。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2835" w:type="dxa"/>
            <w:tcBorders>
              <w:left w:val="single" w:sz="6" w:space="0" w:color="000000"/>
              <w:right w:val="single" w:sz="6" w:space="0" w:color="000000"/>
            </w:tcBorders>
            <w:vAlign w:val="center"/>
          </w:tcPr>
          <w:p>
            <w:pPr>
              <w:pStyle w:val="20"/>
            </w:pPr>
            <w:r>
              <w:t>聘用的见习生人数</w:t>
            </w:r>
          </w:p>
        </w:tc>
        <w:tc>
          <w:tcPr>
            <w:tcW w:w="2551" w:type="dxa"/>
            <w:tcBorders>
              <w:left w:val="single" w:sz="6" w:space="0" w:color="000000"/>
              <w:right w:val="single" w:sz="6" w:space="0" w:color="000000"/>
            </w:tcBorders>
            <w:vAlign w:val="center"/>
          </w:tcPr>
          <w:p>
            <w:pPr>
              <w:pStyle w:val="20"/>
            </w:pPr>
            <w:r>
              <w:t>2人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2人</w:t>
            </w:r>
          </w:p>
        </w:tc>
        <w:tc>
          <w:tcPr>
            <w:tcW w:w="2268" w:type="dxa"/>
            <w:vAlign w:val="center"/>
          </w:tcPr>
          <w:p>
            <w:pPr>
              <w:pStyle w:val="20"/>
            </w:pPr>
            <w:r>
              <w:t>实际见习人员情况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2835" w:type="dxa"/>
            <w:tcBorders>
              <w:left w:val="single" w:sz="6" w:space="0" w:color="000000"/>
              <w:right w:val="single" w:sz="6" w:space="0" w:color="000000"/>
            </w:tcBorders>
            <w:vAlign w:val="center"/>
          </w:tcPr>
          <w:p>
            <w:pPr>
              <w:pStyle w:val="20"/>
            </w:pPr>
            <w:r>
              <w:t>见习生人员对工资待遇的满意度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1.确保就业见习生工资保险及时拨付。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2835" w:type="dxa"/>
            <w:tcBorders>
              <w:left w:val="single" w:sz="6" w:space="0" w:color="000000"/>
              <w:right w:val="single" w:sz="6" w:space="0" w:color="000000"/>
            </w:tcBorders>
            <w:vAlign w:val="center"/>
          </w:tcPr>
          <w:p>
            <w:pPr>
              <w:pStyle w:val="20"/>
            </w:pPr>
            <w:r>
              <w:t>聘用的见习生人数</w:t>
            </w:r>
          </w:p>
        </w:tc>
        <w:tc>
          <w:tcPr>
            <w:tcW w:w="2551" w:type="dxa"/>
            <w:tcBorders>
              <w:left w:val="single" w:sz="6" w:space="0" w:color="000000"/>
              <w:right w:val="single" w:sz="6" w:space="0" w:color="000000"/>
            </w:tcBorders>
            <w:vAlign w:val="center"/>
          </w:tcPr>
          <w:p>
            <w:pPr>
              <w:pStyle w:val="20"/>
            </w:pPr>
            <w:r>
              <w:t>2人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2人</w:t>
            </w:r>
          </w:p>
        </w:tc>
        <w:tc>
          <w:tcPr>
            <w:tcW w:w="2268" w:type="dxa"/>
            <w:vAlign w:val="center"/>
          </w:tcPr>
          <w:p>
            <w:pPr>
              <w:pStyle w:val="20"/>
            </w:pPr>
            <w:r>
              <w:t>实际见习人员情况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2835" w:type="dxa"/>
            <w:tcBorders>
              <w:left w:val="single" w:sz="6" w:space="0" w:color="000000"/>
              <w:right w:val="single" w:sz="6" w:space="0" w:color="000000"/>
            </w:tcBorders>
            <w:vAlign w:val="center"/>
          </w:tcPr>
          <w:p>
            <w:pPr>
              <w:pStyle w:val="20"/>
            </w:pPr>
            <w:r>
              <w:t>见习生人员对工资待遇的满意度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18人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18人</w:t>
            </w:r>
          </w:p>
        </w:tc>
        <w:tc>
          <w:tcPr>
            <w:tcW w:w="2268" w:type="dxa"/>
            <w:vAlign w:val="center"/>
          </w:tcPr>
          <w:p>
            <w:pPr>
              <w:pStyle w:val="20"/>
            </w:pPr>
            <w:r>
              <w:t>实际劳务派遣人员情况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4、商业总公司企业改制遗留问题资金绩效目标表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1.及时发放企业改制人员工资。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企业改制人员数量</w:t>
            </w:r>
          </w:p>
        </w:tc>
        <w:tc>
          <w:tcPr>
            <w:tcW w:w="2835" w:type="dxa"/>
            <w:tcBorders>
              <w:left w:val="single" w:sz="6" w:space="0" w:color="000000"/>
              <w:right w:val="single" w:sz="6" w:space="0" w:color="000000"/>
            </w:tcBorders>
            <w:vAlign w:val="center"/>
          </w:tcPr>
          <w:p>
            <w:pPr>
              <w:pStyle w:val="20"/>
            </w:pPr>
            <w:r>
              <w:t>聘用的企业改制人员人数</w:t>
            </w:r>
          </w:p>
        </w:tc>
        <w:tc>
          <w:tcPr>
            <w:tcW w:w="2551" w:type="dxa"/>
            <w:tcBorders>
              <w:left w:val="single" w:sz="6" w:space="0" w:color="000000"/>
              <w:right w:val="single" w:sz="6" w:space="0" w:color="000000"/>
            </w:tcBorders>
            <w:vAlign w:val="center"/>
          </w:tcPr>
          <w:p>
            <w:pPr>
              <w:pStyle w:val="20"/>
            </w:pPr>
            <w:r>
              <w:t>13人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13人</w:t>
            </w:r>
          </w:p>
        </w:tc>
        <w:tc>
          <w:tcPr>
            <w:tcW w:w="2268" w:type="dxa"/>
            <w:vAlign w:val="center"/>
          </w:tcPr>
          <w:p>
            <w:pPr>
              <w:pStyle w:val="20"/>
            </w:pPr>
            <w:r>
              <w:t>实际改制人员情况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企业改制人员满意度（%）</w:t>
            </w:r>
          </w:p>
        </w:tc>
        <w:tc>
          <w:tcPr>
            <w:tcW w:w="2835" w:type="dxa"/>
            <w:tcBorders>
              <w:left w:val="single" w:sz="6" w:space="0" w:color="000000"/>
              <w:right w:val="single" w:sz="6" w:space="0" w:color="000000"/>
            </w:tcBorders>
            <w:vAlign w:val="center"/>
          </w:tcPr>
          <w:p>
            <w:pPr>
              <w:pStyle w:val="20"/>
            </w:pPr>
            <w:r>
              <w:t>企业改制人员对工资待遇的满意度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2835" w:type="dxa"/>
            <w:tcBorders>
              <w:left w:val="single" w:sz="6" w:space="0" w:color="000000"/>
              <w:right w:val="single" w:sz="6" w:space="0" w:color="000000"/>
            </w:tcBorders>
            <w:vAlign w:val="center"/>
          </w:tcPr>
          <w:p>
            <w:pPr>
              <w:pStyle w:val="20"/>
            </w:pPr>
            <w:r>
              <w:t>反映享受公益性岗位补贴人数</w:t>
            </w:r>
          </w:p>
        </w:tc>
        <w:tc>
          <w:tcPr>
            <w:tcW w:w="2551" w:type="dxa"/>
            <w:tcBorders>
              <w:left w:val="single" w:sz="6" w:space="0" w:color="000000"/>
              <w:right w:val="single" w:sz="6" w:space="0" w:color="000000"/>
            </w:tcBorders>
            <w:vAlign w:val="center"/>
          </w:tcPr>
          <w:p>
            <w:pPr>
              <w:pStyle w:val="20"/>
            </w:pPr>
            <w:r>
              <w:t>20人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20人</w:t>
            </w:r>
          </w:p>
        </w:tc>
        <w:tc>
          <w:tcPr>
            <w:tcW w:w="2268" w:type="dxa"/>
            <w:vAlign w:val="center"/>
          </w:tcPr>
          <w:p>
            <w:pPr>
              <w:pStyle w:val="20"/>
            </w:pPr>
            <w:r>
              <w:t>实际公益岗人员情况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2835" w:type="dxa"/>
            <w:tcBorders>
              <w:left w:val="single" w:sz="6" w:space="0" w:color="000000"/>
              <w:right w:val="single" w:sz="6" w:space="0" w:color="000000"/>
            </w:tcBorders>
            <w:vAlign w:val="center"/>
          </w:tcPr>
          <w:p>
            <w:pPr>
              <w:pStyle w:val="20"/>
            </w:pPr>
            <w:r>
              <w:t>公益岗人员对工资待遇的满意度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6、招商经费绩效目标表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招商签约数量</w:t>
            </w:r>
          </w:p>
        </w:tc>
        <w:tc>
          <w:tcPr>
            <w:tcW w:w="2835" w:type="dxa"/>
            <w:tcBorders>
              <w:left w:val="single" w:sz="6" w:space="0" w:color="000000"/>
              <w:right w:val="single" w:sz="6" w:space="0" w:color="000000"/>
            </w:tcBorders>
            <w:vAlign w:val="center"/>
          </w:tcPr>
          <w:p>
            <w:pPr>
              <w:pStyle w:val="20"/>
            </w:pPr>
            <w:r>
              <w:t>招商计划组织实施</w:t>
            </w:r>
          </w:p>
        </w:tc>
        <w:tc>
          <w:tcPr>
            <w:tcW w:w="2551" w:type="dxa"/>
            <w:tcBorders>
              <w:left w:val="single" w:sz="6" w:space="0" w:color="000000"/>
              <w:right w:val="single" w:sz="6" w:space="0" w:color="000000"/>
            </w:tcBorders>
            <w:vAlign w:val="center"/>
          </w:tcPr>
          <w:p>
            <w:pPr>
              <w:pStyle w:val="20"/>
            </w:pPr>
            <w:r>
              <w:t>≥9个</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招商项目落地个数</w:t>
            </w:r>
          </w:p>
        </w:tc>
        <w:tc>
          <w:tcPr>
            <w:tcW w:w="2835" w:type="dxa"/>
            <w:tcBorders>
              <w:left w:val="single" w:sz="6" w:space="0" w:color="000000"/>
              <w:right w:val="single" w:sz="6" w:space="0" w:color="000000"/>
            </w:tcBorders>
            <w:vAlign w:val="center"/>
          </w:tcPr>
          <w:p>
            <w:pPr>
              <w:pStyle w:val="20"/>
            </w:pPr>
            <w:r>
              <w:t>招商项目落地个数</w:t>
            </w:r>
          </w:p>
        </w:tc>
        <w:tc>
          <w:tcPr>
            <w:tcW w:w="2551" w:type="dxa"/>
            <w:tcBorders>
              <w:left w:val="single" w:sz="6" w:space="0" w:color="000000"/>
              <w:right w:val="single" w:sz="6" w:space="0" w:color="000000"/>
            </w:tcBorders>
            <w:vAlign w:val="center"/>
          </w:tcPr>
          <w:p>
            <w:pPr>
              <w:pStyle w:val="20"/>
            </w:pPr>
            <w:r>
              <w:t>≥9个</w:t>
            </w:r>
          </w:p>
        </w:tc>
        <w:tc>
          <w:tcPr>
            <w:tcW w:w="2268" w:type="dxa"/>
            <w:vAlign w:val="center"/>
          </w:tcPr>
          <w:p>
            <w:pPr>
              <w:pStyle w:val="20"/>
            </w:pPr>
            <w:r>
              <w:t>签约意向书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年底前</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引进项目</w:t>
            </w:r>
          </w:p>
        </w:tc>
        <w:tc>
          <w:tcPr>
            <w:tcW w:w="2835" w:type="dxa"/>
            <w:tcBorders>
              <w:left w:val="single" w:sz="6" w:space="0" w:color="000000"/>
              <w:right w:val="single" w:sz="6" w:space="0" w:color="000000"/>
            </w:tcBorders>
            <w:vAlign w:val="center"/>
          </w:tcPr>
          <w:p>
            <w:pPr>
              <w:pStyle w:val="20"/>
            </w:pPr>
            <w:r>
              <w:t>引进战略新兴产业项目</w:t>
            </w:r>
          </w:p>
        </w:tc>
        <w:tc>
          <w:tcPr>
            <w:tcW w:w="2551" w:type="dxa"/>
            <w:tcBorders>
              <w:left w:val="single" w:sz="6" w:space="0" w:color="000000"/>
              <w:right w:val="single" w:sz="6" w:space="0" w:color="000000"/>
            </w:tcBorders>
            <w:vAlign w:val="center"/>
          </w:tcPr>
          <w:p>
            <w:pPr>
              <w:pStyle w:val="20"/>
            </w:pPr>
            <w:r>
              <w:t>≥3个</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反映服务对象满意程度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hAnsi="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2023年，唐山市丰南区商务和投资促进局安排政府采购预算0.00万元。具体内容见下表。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3"/>
        <w:gridCol w:w="923"/>
        <w:gridCol w:w="923"/>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hAnsi="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唐山市丰南区商务和投资促进局（含所属单位）上年末固定资产金额为137.89万元（详见下表）。本年度拟购置固定资产总额为5.00万元，已按要求列入政府采购预算，详见政府采购预算表。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W w:w="49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4933"/>
        <w:gridCol w:w="546"/>
        <w:gridCol w:w="988"/>
        <w:gridCol w:w="8542"/>
      </w:tblGrid>
      <w:tr>
        <w:trPr>
          <w:tblHeader/>
        </w:trPr>
        <w:tc>
          <w:tcPr>
            <w:tcW w:w="1825" w:type="pct"/>
            <w:gridSpan w:val="2"/>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174" w:type="pct"/>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1643" w:type="pct"/>
            <w:vAlign w:val="center"/>
          </w:tcPr>
          <w:p>
            <w:pPr>
              <w:pStyle w:val="18"/>
            </w:pPr>
            <w:r>
              <w:t>项   目</w:t>
            </w:r>
          </w:p>
        </w:tc>
        <w:tc>
          <w:tcPr>
            <w:tcW w:w="511" w:type="pct"/>
            <w:gridSpan w:val="2"/>
            <w:tcBorders>
              <w:left w:val="single" w:sz="6" w:space="0" w:color="000000"/>
              <w:right w:val="single" w:sz="6" w:space="0" w:color="000000"/>
            </w:tcBorders>
            <w:vAlign w:val="center"/>
          </w:tcPr>
          <w:p>
            <w:pPr>
              <w:pStyle w:val="18"/>
            </w:pPr>
            <w:r>
              <w:t>数量</w:t>
            </w:r>
          </w:p>
        </w:tc>
        <w:tc>
          <w:tcPr>
            <w:tcW w:w="2844" w:type="pct"/>
            <w:vAlign w:val="center"/>
          </w:tcPr>
          <w:p>
            <w:pPr>
              <w:pStyle w:val="18"/>
            </w:pPr>
            <w:r>
              <w:t>价值（金额单位：万元）</w:t>
            </w:r>
          </w:p>
        </w:tc>
      </w:tr>
      <w:tr>
        <w:tc>
          <w:tcPr>
            <w:tcW w:w="1643" w:type="pct"/>
            <w:vAlign w:val="center"/>
          </w:tcPr>
          <w:p>
            <w:pPr>
              <w:pStyle w:val="20"/>
            </w:pPr>
            <w:r>
              <w:t>资产总额</w:t>
            </w:r>
          </w:p>
        </w:tc>
        <w:tc>
          <w:tcPr>
            <w:tcW w:w="511" w:type="pct"/>
            <w:gridSpan w:val="2"/>
            <w:tcBorders>
              <w:left w:val="single" w:sz="6" w:space="0" w:color="000000"/>
              <w:right w:val="single" w:sz="6" w:space="0" w:color="000000"/>
            </w:tcBorders>
            <w:vAlign w:val="center"/>
          </w:tcPr>
          <w:p>
            <w:pPr>
              <w:pStyle w:val="21"/>
            </w:pPr>
            <w:r>
              <w:t>557</w:t>
            </w:r>
          </w:p>
        </w:tc>
        <w:tc>
          <w:tcPr>
            <w:tcW w:w="2844" w:type="pct"/>
            <w:vAlign w:val="center"/>
          </w:tcPr>
          <w:p>
            <w:pPr>
              <w:pStyle w:val="19"/>
            </w:pPr>
            <w:r>
              <w:t>137.89</w:t>
            </w:r>
          </w:p>
        </w:tc>
      </w:tr>
      <w:tr>
        <w:tc>
          <w:tcPr>
            <w:tcW w:w="1643" w:type="pct"/>
            <w:vAlign w:val="center"/>
          </w:tcPr>
          <w:p>
            <w:pPr>
              <w:pStyle w:val="20"/>
            </w:pPr>
            <w:r>
              <w:t>1、房屋（平方米）</w:t>
            </w:r>
          </w:p>
        </w:tc>
        <w:tc>
          <w:tcPr>
            <w:tcW w:w="511" w:type="pct"/>
            <w:gridSpan w:val="2"/>
            <w:tcBorders>
              <w:left w:val="single" w:sz="6" w:space="0" w:color="000000"/>
              <w:right w:val="single" w:sz="6" w:space="0" w:color="000000"/>
            </w:tcBorders>
            <w:vAlign w:val="center"/>
          </w:tcPr>
          <w:p>
            <w:pPr>
              <w:pStyle w:val="21"/>
            </w:pPr>
          </w:p>
        </w:tc>
        <w:tc>
          <w:tcPr>
            <w:tcW w:w="2844" w:type="pct"/>
            <w:vAlign w:val="center"/>
          </w:tcPr>
          <w:p>
            <w:pPr>
              <w:pStyle w:val="19"/>
            </w:pPr>
          </w:p>
        </w:tc>
      </w:tr>
      <w:tr>
        <w:tc>
          <w:tcPr>
            <w:tcW w:w="1643" w:type="pct"/>
            <w:vAlign w:val="center"/>
          </w:tcPr>
          <w:p>
            <w:pPr>
              <w:pStyle w:val="20"/>
            </w:pPr>
            <w:r>
              <w:t>　　其中：办公用房（平方米）</w:t>
            </w:r>
          </w:p>
        </w:tc>
        <w:tc>
          <w:tcPr>
            <w:tcW w:w="511" w:type="pct"/>
            <w:gridSpan w:val="2"/>
            <w:tcBorders>
              <w:left w:val="single" w:sz="6" w:space="0" w:color="000000"/>
              <w:right w:val="single" w:sz="6" w:space="0" w:color="000000"/>
            </w:tcBorders>
            <w:vAlign w:val="center"/>
          </w:tcPr>
          <w:p>
            <w:pPr>
              <w:pStyle w:val="21"/>
            </w:pPr>
          </w:p>
        </w:tc>
        <w:tc>
          <w:tcPr>
            <w:tcW w:w="2844" w:type="pct"/>
            <w:vAlign w:val="center"/>
          </w:tcPr>
          <w:p>
            <w:pPr>
              <w:pStyle w:val="19"/>
            </w:pPr>
          </w:p>
        </w:tc>
      </w:tr>
      <w:tr>
        <w:tc>
          <w:tcPr>
            <w:tcW w:w="1643" w:type="pct"/>
            <w:vAlign w:val="center"/>
          </w:tcPr>
          <w:p>
            <w:pPr>
              <w:pStyle w:val="20"/>
            </w:pPr>
            <w:r>
              <w:t>2、车辆（台、辆）</w:t>
            </w:r>
          </w:p>
        </w:tc>
        <w:tc>
          <w:tcPr>
            <w:tcW w:w="511" w:type="pct"/>
            <w:gridSpan w:val="2"/>
            <w:tcBorders>
              <w:left w:val="single" w:sz="6" w:space="0" w:color="000000"/>
              <w:right w:val="single" w:sz="6" w:space="0" w:color="000000"/>
            </w:tcBorders>
            <w:vAlign w:val="center"/>
          </w:tcPr>
          <w:p>
            <w:pPr>
              <w:pStyle w:val="21"/>
            </w:pPr>
            <w:r>
              <w:t>2</w:t>
            </w:r>
          </w:p>
        </w:tc>
        <w:tc>
          <w:tcPr>
            <w:tcW w:w="2844" w:type="pct"/>
            <w:vAlign w:val="center"/>
          </w:tcPr>
          <w:p>
            <w:pPr>
              <w:pStyle w:val="19"/>
            </w:pPr>
            <w:r>
              <w:t>35.36</w:t>
            </w:r>
          </w:p>
        </w:tc>
      </w:tr>
      <w:tr>
        <w:tc>
          <w:tcPr>
            <w:tcW w:w="1643" w:type="pct"/>
            <w:vAlign w:val="center"/>
          </w:tcPr>
          <w:p>
            <w:pPr>
              <w:pStyle w:val="20"/>
            </w:pPr>
            <w:r>
              <w:t>3、单价在20万元以上的设备</w:t>
            </w:r>
          </w:p>
        </w:tc>
        <w:tc>
          <w:tcPr>
            <w:tcW w:w="511" w:type="pct"/>
            <w:gridSpan w:val="2"/>
            <w:tcBorders>
              <w:left w:val="single" w:sz="6" w:space="0" w:color="000000"/>
              <w:right w:val="single" w:sz="6" w:space="0" w:color="000000"/>
            </w:tcBorders>
            <w:vAlign w:val="center"/>
          </w:tcPr>
          <w:p>
            <w:pPr>
              <w:pStyle w:val="21"/>
            </w:pPr>
          </w:p>
        </w:tc>
        <w:tc>
          <w:tcPr>
            <w:tcW w:w="2844" w:type="pct"/>
            <w:vAlign w:val="center"/>
          </w:tcPr>
          <w:p>
            <w:pPr>
              <w:pStyle w:val="19"/>
            </w:pPr>
          </w:p>
        </w:tc>
      </w:tr>
      <w:tr>
        <w:tc>
          <w:tcPr>
            <w:tcW w:w="1643" w:type="pct"/>
            <w:vAlign w:val="center"/>
          </w:tcPr>
          <w:p>
            <w:pPr>
              <w:pStyle w:val="20"/>
            </w:pPr>
            <w:r>
              <w:t>4、其他固定资产</w:t>
            </w:r>
          </w:p>
        </w:tc>
        <w:tc>
          <w:tcPr>
            <w:tcW w:w="511" w:type="pct"/>
            <w:gridSpan w:val="2"/>
            <w:tcBorders>
              <w:left w:val="single" w:sz="6" w:space="0" w:color="000000"/>
              <w:right w:val="single" w:sz="6" w:space="0" w:color="000000"/>
            </w:tcBorders>
            <w:vAlign w:val="center"/>
          </w:tcPr>
          <w:p>
            <w:pPr>
              <w:pStyle w:val="21"/>
            </w:pPr>
            <w:r>
              <w:t>555</w:t>
            </w:r>
          </w:p>
        </w:tc>
        <w:tc>
          <w:tcPr>
            <w:tcW w:w="2844" w:type="pct"/>
            <w:vAlign w:val="center"/>
          </w:tcPr>
          <w:p>
            <w:pPr>
              <w:pStyle w:val="19"/>
            </w:pPr>
            <w:r>
              <w:t>102.53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hAnsi="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一般公共预算拨款收入”、</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事业收入</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三公</w:t>
      </w:r>
      <w:r>
        <w:rPr>
          <w:rFonts w:ascii="Times New Roman" w:eastAsia="方正仿宋_GBK" w:cs="Times New Roman" w:hAnsi="Times New Roman" w:hint="eastAsia"/>
          <w:b w:val="0"/>
          <w:color w:val="000000"/>
          <w:sz w:val="28"/>
        </w:rPr>
        <w:t>”</w:t>
      </w:r>
      <w:r>
        <w:rPr>
          <w:rFonts w:ascii="Times New Roman" w:eastAsia="方正仿宋_GBK" w:cs="Times New Roman" w:hAnsi="Times New Roman"/>
          <w:b w:val="0"/>
          <w:color w:val="000000"/>
          <w:sz w:val="28"/>
        </w:rPr>
        <w:t>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hAnsi="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ind w:firstLine="0"/>
        <w:jc w:val="both"/>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9CF67BA-CE81-447D-BF93-8045E206399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89</TotalTime>
  <Application>Yozo_Office27021597764231179</Application>
  <Pages>38</Pages>
  <Words>0</Words>
  <Characters>12923</Characters>
  <Lines>0</Lines>
  <Paragraphs>196</Paragraphs>
  <CharactersWithSpaces>17231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2023-02-02T14:57:38Z</dcterms:created>
  <dcterms:modified xsi:type="dcterms:W3CDTF">2024-10-21T02:56:01Z</dcterms:modified>
</cp:coreProperties>
</file>