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第二部分  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一、中国共产党唐山市丰南区委员会机构编制委员会办公室本级收支预算</w:t>
      </w:r>
      <w:r>
        <w:tab/>
      </w:r>
      <w:r>
        <w:rPr>
          <w:rFonts w:hint="eastAsia"/>
          <w:lang w:val="en-US" w:eastAsia="zh-CN"/>
        </w:rPr>
        <w:t>2</w:t>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一、中国共产党唐山市丰南区委员会机构编制委员会办公室本级收支预算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224.71</w:t>
            </w:r>
          </w:p>
        </w:tc>
        <w:tc>
          <w:tcPr>
            <w:tcW w:w="4535" w:type="dxa"/>
            <w:vAlign w:val="center"/>
          </w:tcPr>
          <w:p>
            <w:pPr>
              <w:pStyle w:val="14"/>
            </w:pPr>
            <w:r>
              <w:t>一、一般公共服务支出</w:t>
            </w:r>
          </w:p>
        </w:tc>
        <w:tc>
          <w:tcPr>
            <w:tcW w:w="2126" w:type="dxa"/>
            <w:vAlign w:val="center"/>
          </w:tcPr>
          <w:p>
            <w:pPr>
              <w:pStyle w:val="13"/>
            </w:pPr>
            <w:r>
              <w:t>168.17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224.71</w:t>
            </w:r>
          </w:p>
        </w:tc>
        <w:tc>
          <w:tcPr>
            <w:tcW w:w="4535" w:type="dxa"/>
            <w:vAlign w:val="center"/>
          </w:tcPr>
          <w:p>
            <w:pPr>
              <w:pStyle w:val="16"/>
            </w:pPr>
            <w:r>
              <w:t>本年支出合计</w:t>
            </w:r>
          </w:p>
        </w:tc>
        <w:tc>
          <w:tcPr>
            <w:tcW w:w="2126" w:type="dxa"/>
            <w:vAlign w:val="center"/>
          </w:tcPr>
          <w:p>
            <w:pPr>
              <w:pStyle w:val="17"/>
            </w:pPr>
            <w:r>
              <w:t>224.71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224.71</w:t>
            </w:r>
          </w:p>
        </w:tc>
        <w:tc>
          <w:tcPr>
            <w:tcW w:w="4535" w:type="dxa"/>
            <w:vAlign w:val="center"/>
          </w:tcPr>
          <w:p>
            <w:pPr>
              <w:pStyle w:val="16"/>
            </w:pPr>
            <w:r>
              <w:t>支出总计</w:t>
            </w:r>
          </w:p>
        </w:tc>
        <w:tc>
          <w:tcPr>
            <w:tcW w:w="2126" w:type="dxa"/>
            <w:vAlign w:val="center"/>
          </w:tcPr>
          <w:p>
            <w:pPr>
              <w:pStyle w:val="17"/>
            </w:pPr>
            <w:r>
              <w:t>224.71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224.71</w:t>
            </w:r>
          </w:p>
        </w:tc>
        <w:tc>
          <w:tcPr>
            <w:tcW w:w="1134" w:type="dxa"/>
            <w:vAlign w:val="center"/>
          </w:tcPr>
          <w:p>
            <w:pPr>
              <w:pStyle w:val="17"/>
            </w:pPr>
            <w:r>
              <w:t>224.71</w:t>
            </w:r>
          </w:p>
        </w:tc>
        <w:tc>
          <w:tcPr>
            <w:tcW w:w="1134" w:type="dxa"/>
            <w:vAlign w:val="center"/>
          </w:tcPr>
          <w:p>
            <w:pPr>
              <w:pStyle w:val="17"/>
            </w:pPr>
            <w:r>
              <w:t>224.71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168.17</w:t>
            </w:r>
          </w:p>
        </w:tc>
        <w:tc>
          <w:tcPr>
            <w:tcW w:w="1134" w:type="dxa"/>
            <w:vAlign w:val="center"/>
          </w:tcPr>
          <w:p>
            <w:pPr>
              <w:pStyle w:val="13"/>
            </w:pPr>
            <w:r>
              <w:t>168.17</w:t>
            </w:r>
          </w:p>
        </w:tc>
        <w:tc>
          <w:tcPr>
            <w:tcW w:w="1134" w:type="dxa"/>
            <w:vAlign w:val="center"/>
          </w:tcPr>
          <w:p>
            <w:pPr>
              <w:pStyle w:val="13"/>
            </w:pPr>
            <w:r>
              <w:t>168.17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168.17</w:t>
            </w:r>
          </w:p>
        </w:tc>
        <w:tc>
          <w:tcPr>
            <w:tcW w:w="1134" w:type="dxa"/>
            <w:vAlign w:val="center"/>
          </w:tcPr>
          <w:p>
            <w:pPr>
              <w:pStyle w:val="13"/>
            </w:pPr>
            <w:r>
              <w:t>168.17</w:t>
            </w:r>
          </w:p>
        </w:tc>
        <w:tc>
          <w:tcPr>
            <w:tcW w:w="1134" w:type="dxa"/>
            <w:vAlign w:val="center"/>
          </w:tcPr>
          <w:p>
            <w:pPr>
              <w:pStyle w:val="13"/>
            </w:pPr>
            <w:r>
              <w:t>168.17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82.31</w:t>
            </w:r>
          </w:p>
        </w:tc>
        <w:tc>
          <w:tcPr>
            <w:tcW w:w="1134" w:type="dxa"/>
            <w:vAlign w:val="center"/>
          </w:tcPr>
          <w:p>
            <w:pPr>
              <w:pStyle w:val="13"/>
            </w:pPr>
            <w:r>
              <w:t>82.31</w:t>
            </w:r>
          </w:p>
        </w:tc>
        <w:tc>
          <w:tcPr>
            <w:tcW w:w="1134" w:type="dxa"/>
            <w:vAlign w:val="center"/>
          </w:tcPr>
          <w:p>
            <w:pPr>
              <w:pStyle w:val="13"/>
            </w:pPr>
            <w:r>
              <w:t>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2013202</w:t>
            </w:r>
          </w:p>
        </w:tc>
        <w:tc>
          <w:tcPr>
            <w:tcW w:w="1559" w:type="dxa"/>
            <w:vAlign w:val="center"/>
          </w:tcPr>
          <w:p>
            <w:pPr>
              <w:pStyle w:val="14"/>
            </w:pPr>
            <w:r>
              <w:t>一般行政管理事务</w:t>
            </w:r>
          </w:p>
        </w:tc>
        <w:tc>
          <w:tcPr>
            <w:tcW w:w="1134" w:type="dxa"/>
            <w:vAlign w:val="center"/>
          </w:tcPr>
          <w:p>
            <w:pPr>
              <w:pStyle w:val="13"/>
            </w:pPr>
            <w:r>
              <w:t>18.60</w:t>
            </w:r>
          </w:p>
        </w:tc>
        <w:tc>
          <w:tcPr>
            <w:tcW w:w="1134" w:type="dxa"/>
            <w:vAlign w:val="center"/>
          </w:tcPr>
          <w:p>
            <w:pPr>
              <w:pStyle w:val="13"/>
            </w:pPr>
            <w:r>
              <w:t>18.60</w:t>
            </w:r>
          </w:p>
        </w:tc>
        <w:tc>
          <w:tcPr>
            <w:tcW w:w="1134" w:type="dxa"/>
            <w:vAlign w:val="center"/>
          </w:tcPr>
          <w:p>
            <w:pPr>
              <w:pStyle w:val="13"/>
            </w:pPr>
            <w:r>
              <w:t>18.60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2013250</w:t>
            </w:r>
          </w:p>
        </w:tc>
        <w:tc>
          <w:tcPr>
            <w:tcW w:w="1559" w:type="dxa"/>
            <w:vAlign w:val="center"/>
          </w:tcPr>
          <w:p>
            <w:pPr>
              <w:pStyle w:val="14"/>
            </w:pPr>
            <w:r>
              <w:t>事业运行</w:t>
            </w:r>
          </w:p>
        </w:tc>
        <w:tc>
          <w:tcPr>
            <w:tcW w:w="1134" w:type="dxa"/>
            <w:vAlign w:val="center"/>
          </w:tcPr>
          <w:p>
            <w:pPr>
              <w:pStyle w:val="13"/>
            </w:pPr>
            <w:r>
              <w:t>67.26</w:t>
            </w:r>
          </w:p>
        </w:tc>
        <w:tc>
          <w:tcPr>
            <w:tcW w:w="1134" w:type="dxa"/>
            <w:vAlign w:val="center"/>
          </w:tcPr>
          <w:p>
            <w:pPr>
              <w:pStyle w:val="13"/>
            </w:pPr>
            <w:r>
              <w:t>67.26</w:t>
            </w:r>
          </w:p>
        </w:tc>
        <w:tc>
          <w:tcPr>
            <w:tcW w:w="1134" w:type="dxa"/>
            <w:vAlign w:val="center"/>
          </w:tcPr>
          <w:p>
            <w:pPr>
              <w:pStyle w:val="13"/>
            </w:pPr>
            <w:r>
              <w:t>67.26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23.28</w:t>
            </w:r>
          </w:p>
        </w:tc>
        <w:tc>
          <w:tcPr>
            <w:tcW w:w="1134" w:type="dxa"/>
            <w:vAlign w:val="center"/>
          </w:tcPr>
          <w:p>
            <w:pPr>
              <w:pStyle w:val="13"/>
            </w:pPr>
            <w:r>
              <w:t>23.28</w:t>
            </w:r>
          </w:p>
        </w:tc>
        <w:tc>
          <w:tcPr>
            <w:tcW w:w="1134" w:type="dxa"/>
            <w:vAlign w:val="center"/>
          </w:tcPr>
          <w:p>
            <w:pPr>
              <w:pStyle w:val="13"/>
            </w:pPr>
            <w:r>
              <w:t>23.28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23.28</w:t>
            </w:r>
          </w:p>
        </w:tc>
        <w:tc>
          <w:tcPr>
            <w:tcW w:w="1134" w:type="dxa"/>
            <w:vAlign w:val="center"/>
          </w:tcPr>
          <w:p>
            <w:pPr>
              <w:pStyle w:val="13"/>
            </w:pPr>
            <w:r>
              <w:t>23.28</w:t>
            </w:r>
          </w:p>
        </w:tc>
        <w:tc>
          <w:tcPr>
            <w:tcW w:w="1134" w:type="dxa"/>
            <w:vAlign w:val="center"/>
          </w:tcPr>
          <w:p>
            <w:pPr>
              <w:pStyle w:val="13"/>
            </w:pPr>
            <w:r>
              <w:t>23.28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3.80</w:t>
            </w:r>
          </w:p>
        </w:tc>
        <w:tc>
          <w:tcPr>
            <w:tcW w:w="1134" w:type="dxa"/>
            <w:vAlign w:val="center"/>
          </w:tcPr>
          <w:p>
            <w:pPr>
              <w:pStyle w:val="13"/>
            </w:pPr>
            <w:r>
              <w:t>3.80</w:t>
            </w:r>
          </w:p>
        </w:tc>
        <w:tc>
          <w:tcPr>
            <w:tcW w:w="1134" w:type="dxa"/>
            <w:vAlign w:val="center"/>
          </w:tcPr>
          <w:p>
            <w:pPr>
              <w:pStyle w:val="13"/>
            </w:pPr>
            <w:r>
              <w:t>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19.48</w:t>
            </w:r>
          </w:p>
        </w:tc>
        <w:tc>
          <w:tcPr>
            <w:tcW w:w="1134" w:type="dxa"/>
            <w:vAlign w:val="center"/>
          </w:tcPr>
          <w:p>
            <w:pPr>
              <w:pStyle w:val="13"/>
            </w:pPr>
            <w:r>
              <w:t>19.48</w:t>
            </w:r>
          </w:p>
        </w:tc>
        <w:tc>
          <w:tcPr>
            <w:tcW w:w="1134" w:type="dxa"/>
            <w:vAlign w:val="center"/>
          </w:tcPr>
          <w:p>
            <w:pPr>
              <w:pStyle w:val="13"/>
            </w:pPr>
            <w:r>
              <w:t>19.48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8.83</w:t>
            </w:r>
          </w:p>
        </w:tc>
        <w:tc>
          <w:tcPr>
            <w:tcW w:w="1134" w:type="dxa"/>
            <w:vAlign w:val="center"/>
          </w:tcPr>
          <w:p>
            <w:pPr>
              <w:pStyle w:val="13"/>
            </w:pPr>
            <w:r>
              <w:t>8.83</w:t>
            </w:r>
          </w:p>
        </w:tc>
        <w:tc>
          <w:tcPr>
            <w:tcW w:w="1134" w:type="dxa"/>
            <w:vAlign w:val="center"/>
          </w:tcPr>
          <w:p>
            <w:pPr>
              <w:pStyle w:val="13"/>
            </w:pPr>
            <w:r>
              <w:t>8.83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9.74</w:t>
            </w:r>
          </w:p>
        </w:tc>
        <w:tc>
          <w:tcPr>
            <w:tcW w:w="1134" w:type="dxa"/>
            <w:vAlign w:val="center"/>
          </w:tcPr>
          <w:p>
            <w:pPr>
              <w:pStyle w:val="13"/>
            </w:pPr>
            <w:r>
              <w:t>9.74</w:t>
            </w:r>
          </w:p>
        </w:tc>
        <w:tc>
          <w:tcPr>
            <w:tcW w:w="1134" w:type="dxa"/>
            <w:vAlign w:val="center"/>
          </w:tcPr>
          <w:p>
            <w:pPr>
              <w:pStyle w:val="13"/>
            </w:pPr>
            <w:r>
              <w:t>9.74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14.69</w:t>
            </w:r>
          </w:p>
        </w:tc>
        <w:tc>
          <w:tcPr>
            <w:tcW w:w="1134" w:type="dxa"/>
            <w:vAlign w:val="center"/>
          </w:tcPr>
          <w:p>
            <w:pPr>
              <w:pStyle w:val="13"/>
            </w:pPr>
            <w:r>
              <w:t>14.69</w:t>
            </w:r>
          </w:p>
        </w:tc>
        <w:tc>
          <w:tcPr>
            <w:tcW w:w="1134" w:type="dxa"/>
            <w:vAlign w:val="center"/>
          </w:tcPr>
          <w:p>
            <w:pPr>
              <w:pStyle w:val="13"/>
            </w:pPr>
            <w:r>
              <w:t>14.69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14.69</w:t>
            </w:r>
          </w:p>
        </w:tc>
        <w:tc>
          <w:tcPr>
            <w:tcW w:w="1134" w:type="dxa"/>
            <w:vAlign w:val="center"/>
          </w:tcPr>
          <w:p>
            <w:pPr>
              <w:pStyle w:val="13"/>
            </w:pPr>
            <w:r>
              <w:t>14.69</w:t>
            </w:r>
          </w:p>
        </w:tc>
        <w:tc>
          <w:tcPr>
            <w:tcW w:w="1134" w:type="dxa"/>
            <w:vAlign w:val="center"/>
          </w:tcPr>
          <w:p>
            <w:pPr>
              <w:pStyle w:val="13"/>
            </w:pPr>
            <w:r>
              <w:t>14.69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14.69</w:t>
            </w:r>
          </w:p>
        </w:tc>
        <w:tc>
          <w:tcPr>
            <w:tcW w:w="1134" w:type="dxa"/>
            <w:vAlign w:val="center"/>
          </w:tcPr>
          <w:p>
            <w:pPr>
              <w:pStyle w:val="13"/>
            </w:pPr>
            <w:r>
              <w:t>14.69</w:t>
            </w:r>
          </w:p>
        </w:tc>
        <w:tc>
          <w:tcPr>
            <w:tcW w:w="1134" w:type="dxa"/>
            <w:vAlign w:val="center"/>
          </w:tcPr>
          <w:p>
            <w:pPr>
              <w:pStyle w:val="13"/>
            </w:pPr>
            <w:r>
              <w:t>14.69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224.71</w:t>
            </w:r>
          </w:p>
        </w:tc>
        <w:tc>
          <w:tcPr>
            <w:tcW w:w="1361" w:type="dxa"/>
            <w:vAlign w:val="center"/>
          </w:tcPr>
          <w:p>
            <w:pPr>
              <w:pStyle w:val="17"/>
            </w:pPr>
            <w:r>
              <w:t>206.11</w:t>
            </w:r>
          </w:p>
        </w:tc>
        <w:tc>
          <w:tcPr>
            <w:tcW w:w="1361" w:type="dxa"/>
            <w:vAlign w:val="center"/>
          </w:tcPr>
          <w:p>
            <w:pPr>
              <w:pStyle w:val="17"/>
            </w:pPr>
            <w:r>
              <w:t>18.60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168.17</w:t>
            </w:r>
          </w:p>
        </w:tc>
        <w:tc>
          <w:tcPr>
            <w:tcW w:w="1361" w:type="dxa"/>
            <w:vAlign w:val="center"/>
          </w:tcPr>
          <w:p>
            <w:pPr>
              <w:pStyle w:val="13"/>
            </w:pPr>
            <w:r>
              <w:t>149.57</w:t>
            </w:r>
          </w:p>
        </w:tc>
        <w:tc>
          <w:tcPr>
            <w:tcW w:w="1361" w:type="dxa"/>
            <w:vAlign w:val="center"/>
          </w:tcPr>
          <w:p>
            <w:pPr>
              <w:pStyle w:val="13"/>
            </w:pPr>
            <w:r>
              <w:t>18.60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168.17</w:t>
            </w:r>
          </w:p>
        </w:tc>
        <w:tc>
          <w:tcPr>
            <w:tcW w:w="1361" w:type="dxa"/>
            <w:vAlign w:val="center"/>
          </w:tcPr>
          <w:p>
            <w:pPr>
              <w:pStyle w:val="13"/>
            </w:pPr>
            <w:r>
              <w:t>149.57</w:t>
            </w:r>
          </w:p>
        </w:tc>
        <w:tc>
          <w:tcPr>
            <w:tcW w:w="1361" w:type="dxa"/>
            <w:vAlign w:val="center"/>
          </w:tcPr>
          <w:p>
            <w:pPr>
              <w:pStyle w:val="13"/>
            </w:pPr>
            <w:r>
              <w:t>18.60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82.31</w:t>
            </w:r>
          </w:p>
        </w:tc>
        <w:tc>
          <w:tcPr>
            <w:tcW w:w="1361" w:type="dxa"/>
            <w:vAlign w:val="center"/>
          </w:tcPr>
          <w:p>
            <w:pPr>
              <w:pStyle w:val="13"/>
            </w:pPr>
            <w:r>
              <w:t>82.31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4535" w:type="dxa"/>
            <w:vAlign w:val="center"/>
          </w:tcPr>
          <w:p>
            <w:pPr>
              <w:pStyle w:val="14"/>
            </w:pPr>
            <w:r>
              <w:t>一般行政管理事务</w:t>
            </w:r>
          </w:p>
        </w:tc>
        <w:tc>
          <w:tcPr>
            <w:tcW w:w="1361" w:type="dxa"/>
            <w:vAlign w:val="center"/>
          </w:tcPr>
          <w:p>
            <w:pPr>
              <w:pStyle w:val="13"/>
            </w:pPr>
            <w:r>
              <w:t>18.60</w:t>
            </w:r>
          </w:p>
        </w:tc>
        <w:tc>
          <w:tcPr>
            <w:tcW w:w="1361" w:type="dxa"/>
            <w:vAlign w:val="center"/>
          </w:tcPr>
          <w:p>
            <w:pPr>
              <w:pStyle w:val="13"/>
            </w:pPr>
          </w:p>
        </w:tc>
        <w:tc>
          <w:tcPr>
            <w:tcW w:w="1361" w:type="dxa"/>
            <w:vAlign w:val="center"/>
          </w:tcPr>
          <w:p>
            <w:pPr>
              <w:pStyle w:val="13"/>
            </w:pPr>
            <w:r>
              <w:t>18.60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2013250</w:t>
            </w:r>
          </w:p>
        </w:tc>
        <w:tc>
          <w:tcPr>
            <w:tcW w:w="4535" w:type="dxa"/>
            <w:vAlign w:val="center"/>
          </w:tcPr>
          <w:p>
            <w:pPr>
              <w:pStyle w:val="14"/>
            </w:pPr>
            <w:r>
              <w:t>事业运行</w:t>
            </w:r>
          </w:p>
        </w:tc>
        <w:tc>
          <w:tcPr>
            <w:tcW w:w="1361" w:type="dxa"/>
            <w:vAlign w:val="center"/>
          </w:tcPr>
          <w:p>
            <w:pPr>
              <w:pStyle w:val="13"/>
            </w:pPr>
            <w:r>
              <w:t>67.26</w:t>
            </w:r>
          </w:p>
        </w:tc>
        <w:tc>
          <w:tcPr>
            <w:tcW w:w="1361" w:type="dxa"/>
            <w:vAlign w:val="center"/>
          </w:tcPr>
          <w:p>
            <w:pPr>
              <w:pStyle w:val="13"/>
            </w:pPr>
            <w:r>
              <w:t>67.26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23.28</w:t>
            </w:r>
          </w:p>
        </w:tc>
        <w:tc>
          <w:tcPr>
            <w:tcW w:w="1361" w:type="dxa"/>
            <w:vAlign w:val="center"/>
          </w:tcPr>
          <w:p>
            <w:pPr>
              <w:pStyle w:val="13"/>
            </w:pPr>
            <w:r>
              <w:t>23.28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23.28</w:t>
            </w:r>
          </w:p>
        </w:tc>
        <w:tc>
          <w:tcPr>
            <w:tcW w:w="1361" w:type="dxa"/>
            <w:vAlign w:val="center"/>
          </w:tcPr>
          <w:p>
            <w:pPr>
              <w:pStyle w:val="13"/>
            </w:pPr>
            <w:r>
              <w:t>23.28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3.80</w:t>
            </w:r>
          </w:p>
        </w:tc>
        <w:tc>
          <w:tcPr>
            <w:tcW w:w="1361" w:type="dxa"/>
            <w:vAlign w:val="center"/>
          </w:tcPr>
          <w:p>
            <w:pPr>
              <w:pStyle w:val="13"/>
            </w:pPr>
            <w:r>
              <w:t>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19.48</w:t>
            </w:r>
          </w:p>
        </w:tc>
        <w:tc>
          <w:tcPr>
            <w:tcW w:w="1361" w:type="dxa"/>
            <w:vAlign w:val="center"/>
          </w:tcPr>
          <w:p>
            <w:pPr>
              <w:pStyle w:val="13"/>
            </w:pPr>
            <w:r>
              <w:t>19.48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18.57</w:t>
            </w:r>
          </w:p>
        </w:tc>
        <w:tc>
          <w:tcPr>
            <w:tcW w:w="1361" w:type="dxa"/>
            <w:vAlign w:val="center"/>
          </w:tcPr>
          <w:p>
            <w:pPr>
              <w:pStyle w:val="13"/>
            </w:pPr>
            <w:r>
              <w:t>18.57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18.57</w:t>
            </w:r>
          </w:p>
        </w:tc>
        <w:tc>
          <w:tcPr>
            <w:tcW w:w="1361" w:type="dxa"/>
            <w:vAlign w:val="center"/>
          </w:tcPr>
          <w:p>
            <w:pPr>
              <w:pStyle w:val="13"/>
            </w:pPr>
            <w:r>
              <w:t>18.57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8.83</w:t>
            </w:r>
          </w:p>
        </w:tc>
        <w:tc>
          <w:tcPr>
            <w:tcW w:w="1361" w:type="dxa"/>
            <w:vAlign w:val="center"/>
          </w:tcPr>
          <w:p>
            <w:pPr>
              <w:pStyle w:val="13"/>
            </w:pPr>
            <w:r>
              <w:t>8.83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9.74</w:t>
            </w:r>
          </w:p>
        </w:tc>
        <w:tc>
          <w:tcPr>
            <w:tcW w:w="1361" w:type="dxa"/>
            <w:vAlign w:val="center"/>
          </w:tcPr>
          <w:p>
            <w:pPr>
              <w:pStyle w:val="13"/>
            </w:pPr>
            <w:r>
              <w:t>9.74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14.69</w:t>
            </w:r>
          </w:p>
        </w:tc>
        <w:tc>
          <w:tcPr>
            <w:tcW w:w="1361" w:type="dxa"/>
            <w:vAlign w:val="center"/>
          </w:tcPr>
          <w:p>
            <w:pPr>
              <w:pStyle w:val="13"/>
            </w:pPr>
            <w:r>
              <w:t>14.69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14.69</w:t>
            </w:r>
          </w:p>
        </w:tc>
        <w:tc>
          <w:tcPr>
            <w:tcW w:w="1361" w:type="dxa"/>
            <w:vAlign w:val="center"/>
          </w:tcPr>
          <w:p>
            <w:pPr>
              <w:pStyle w:val="13"/>
            </w:pPr>
            <w:r>
              <w:t>14.69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14.69</w:t>
            </w:r>
          </w:p>
        </w:tc>
        <w:tc>
          <w:tcPr>
            <w:tcW w:w="1361" w:type="dxa"/>
            <w:vAlign w:val="center"/>
          </w:tcPr>
          <w:p>
            <w:pPr>
              <w:pStyle w:val="13"/>
            </w:pPr>
            <w:r>
              <w:t>14.69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224.71</w:t>
            </w:r>
          </w:p>
        </w:tc>
        <w:tc>
          <w:tcPr>
            <w:tcW w:w="3402" w:type="dxa"/>
            <w:vAlign w:val="center"/>
          </w:tcPr>
          <w:p>
            <w:pPr>
              <w:pStyle w:val="14"/>
            </w:pPr>
            <w:r>
              <w:t>一、一般公共服务支出</w:t>
            </w:r>
          </w:p>
        </w:tc>
        <w:tc>
          <w:tcPr>
            <w:tcW w:w="1474" w:type="dxa"/>
            <w:vAlign w:val="center"/>
          </w:tcPr>
          <w:p>
            <w:pPr>
              <w:pStyle w:val="13"/>
            </w:pPr>
            <w:r>
              <w:t>168.17</w:t>
            </w:r>
          </w:p>
        </w:tc>
        <w:tc>
          <w:tcPr>
            <w:tcW w:w="1474" w:type="dxa"/>
            <w:vAlign w:val="center"/>
          </w:tcPr>
          <w:p>
            <w:pPr>
              <w:pStyle w:val="13"/>
            </w:pPr>
            <w:r>
              <w:t>168.17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23.28</w:t>
            </w:r>
          </w:p>
        </w:tc>
        <w:tc>
          <w:tcPr>
            <w:tcW w:w="1474" w:type="dxa"/>
            <w:vAlign w:val="center"/>
          </w:tcPr>
          <w:p>
            <w:pPr>
              <w:pStyle w:val="13"/>
            </w:pPr>
            <w:r>
              <w:t>23.28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18.57</w:t>
            </w:r>
          </w:p>
        </w:tc>
        <w:tc>
          <w:tcPr>
            <w:tcW w:w="1474" w:type="dxa"/>
            <w:vAlign w:val="center"/>
          </w:tcPr>
          <w:p>
            <w:pPr>
              <w:pStyle w:val="13"/>
            </w:pPr>
            <w:r>
              <w:t>18.57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14.69</w:t>
            </w:r>
          </w:p>
        </w:tc>
        <w:tc>
          <w:tcPr>
            <w:tcW w:w="1474" w:type="dxa"/>
            <w:vAlign w:val="center"/>
          </w:tcPr>
          <w:p>
            <w:pPr>
              <w:pStyle w:val="13"/>
            </w:pPr>
            <w:r>
              <w:t>14.69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224.71</w:t>
            </w:r>
          </w:p>
        </w:tc>
        <w:tc>
          <w:tcPr>
            <w:tcW w:w="3402" w:type="dxa"/>
            <w:vAlign w:val="center"/>
          </w:tcPr>
          <w:p>
            <w:pPr>
              <w:pStyle w:val="16"/>
            </w:pPr>
            <w:r>
              <w:t>本年支出合计</w:t>
            </w:r>
          </w:p>
        </w:tc>
        <w:tc>
          <w:tcPr>
            <w:tcW w:w="1474" w:type="dxa"/>
            <w:vAlign w:val="center"/>
          </w:tcPr>
          <w:p>
            <w:pPr>
              <w:pStyle w:val="17"/>
            </w:pPr>
            <w:r>
              <w:t>224.71</w:t>
            </w:r>
          </w:p>
        </w:tc>
        <w:tc>
          <w:tcPr>
            <w:tcW w:w="1474" w:type="dxa"/>
            <w:vAlign w:val="center"/>
          </w:tcPr>
          <w:p>
            <w:pPr>
              <w:pStyle w:val="17"/>
            </w:pPr>
            <w:r>
              <w:t>224.71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224.71</w:t>
            </w:r>
          </w:p>
        </w:tc>
        <w:tc>
          <w:tcPr>
            <w:tcW w:w="3402" w:type="dxa"/>
            <w:vAlign w:val="center"/>
          </w:tcPr>
          <w:p>
            <w:pPr>
              <w:pStyle w:val="16"/>
            </w:pPr>
            <w:r>
              <w:t>支出总计</w:t>
            </w:r>
          </w:p>
        </w:tc>
        <w:tc>
          <w:tcPr>
            <w:tcW w:w="1474" w:type="dxa"/>
            <w:vAlign w:val="center"/>
          </w:tcPr>
          <w:p>
            <w:pPr>
              <w:pStyle w:val="17"/>
            </w:pPr>
            <w:r>
              <w:t>224.71</w:t>
            </w:r>
          </w:p>
        </w:tc>
        <w:tc>
          <w:tcPr>
            <w:tcW w:w="1474" w:type="dxa"/>
            <w:vAlign w:val="center"/>
          </w:tcPr>
          <w:p>
            <w:pPr>
              <w:pStyle w:val="17"/>
            </w:pPr>
            <w:r>
              <w:t>224.71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224.71</w:t>
            </w:r>
          </w:p>
        </w:tc>
        <w:tc>
          <w:tcPr>
            <w:tcW w:w="2551" w:type="dxa"/>
            <w:vAlign w:val="center"/>
          </w:tcPr>
          <w:p>
            <w:pPr>
              <w:pStyle w:val="17"/>
            </w:pPr>
            <w:r>
              <w:t>206.11</w:t>
            </w:r>
          </w:p>
        </w:tc>
        <w:tc>
          <w:tcPr>
            <w:tcW w:w="2551" w:type="dxa"/>
            <w:vAlign w:val="center"/>
          </w:tcPr>
          <w:p>
            <w:pPr>
              <w:pStyle w:val="17"/>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168.17</w:t>
            </w:r>
          </w:p>
        </w:tc>
        <w:tc>
          <w:tcPr>
            <w:tcW w:w="2551" w:type="dxa"/>
            <w:vAlign w:val="center"/>
          </w:tcPr>
          <w:p>
            <w:pPr>
              <w:pStyle w:val="13"/>
            </w:pPr>
            <w:r>
              <w:t>149.57</w:t>
            </w:r>
          </w:p>
        </w:tc>
        <w:tc>
          <w:tcPr>
            <w:tcW w:w="2551" w:type="dxa"/>
            <w:vAlign w:val="center"/>
          </w:tcPr>
          <w:p>
            <w:pPr>
              <w:pStyle w:val="13"/>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168.17</w:t>
            </w:r>
          </w:p>
        </w:tc>
        <w:tc>
          <w:tcPr>
            <w:tcW w:w="2551" w:type="dxa"/>
            <w:vAlign w:val="center"/>
          </w:tcPr>
          <w:p>
            <w:pPr>
              <w:pStyle w:val="13"/>
            </w:pPr>
            <w:r>
              <w:t>149.57</w:t>
            </w:r>
          </w:p>
        </w:tc>
        <w:tc>
          <w:tcPr>
            <w:tcW w:w="2551" w:type="dxa"/>
            <w:vAlign w:val="center"/>
          </w:tcPr>
          <w:p>
            <w:pPr>
              <w:pStyle w:val="13"/>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82.31</w:t>
            </w:r>
          </w:p>
        </w:tc>
        <w:tc>
          <w:tcPr>
            <w:tcW w:w="2551" w:type="dxa"/>
            <w:vAlign w:val="center"/>
          </w:tcPr>
          <w:p>
            <w:pPr>
              <w:pStyle w:val="13"/>
            </w:pPr>
            <w:r>
              <w:t>82.31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2013202</w:t>
            </w:r>
          </w:p>
        </w:tc>
        <w:tc>
          <w:tcPr>
            <w:tcW w:w="4535" w:type="dxa"/>
            <w:vAlign w:val="center"/>
          </w:tcPr>
          <w:p>
            <w:pPr>
              <w:pStyle w:val="14"/>
            </w:pPr>
            <w:r>
              <w:t>一般行政管理事务</w:t>
            </w:r>
          </w:p>
        </w:tc>
        <w:tc>
          <w:tcPr>
            <w:tcW w:w="2551" w:type="dxa"/>
            <w:vAlign w:val="center"/>
          </w:tcPr>
          <w:p>
            <w:pPr>
              <w:pStyle w:val="13"/>
            </w:pPr>
            <w:r>
              <w:t>18.60</w:t>
            </w:r>
          </w:p>
        </w:tc>
        <w:tc>
          <w:tcPr>
            <w:tcW w:w="2551" w:type="dxa"/>
            <w:vAlign w:val="center"/>
          </w:tcPr>
          <w:p>
            <w:pPr>
              <w:pStyle w:val="13"/>
            </w:pPr>
          </w:p>
        </w:tc>
        <w:tc>
          <w:tcPr>
            <w:tcW w:w="2551" w:type="dxa"/>
            <w:vAlign w:val="center"/>
          </w:tcPr>
          <w:p>
            <w:pPr>
              <w:pStyle w:val="13"/>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2013250</w:t>
            </w:r>
          </w:p>
        </w:tc>
        <w:tc>
          <w:tcPr>
            <w:tcW w:w="4535" w:type="dxa"/>
            <w:vAlign w:val="center"/>
          </w:tcPr>
          <w:p>
            <w:pPr>
              <w:pStyle w:val="14"/>
            </w:pPr>
            <w:r>
              <w:t>事业运行</w:t>
            </w:r>
          </w:p>
        </w:tc>
        <w:tc>
          <w:tcPr>
            <w:tcW w:w="2551" w:type="dxa"/>
            <w:vAlign w:val="center"/>
          </w:tcPr>
          <w:p>
            <w:pPr>
              <w:pStyle w:val="13"/>
            </w:pPr>
            <w:r>
              <w:t>67.26</w:t>
            </w:r>
          </w:p>
        </w:tc>
        <w:tc>
          <w:tcPr>
            <w:tcW w:w="2551" w:type="dxa"/>
            <w:vAlign w:val="center"/>
          </w:tcPr>
          <w:p>
            <w:pPr>
              <w:pStyle w:val="13"/>
            </w:pPr>
            <w:r>
              <w:t>67.26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23.28</w:t>
            </w:r>
          </w:p>
        </w:tc>
        <w:tc>
          <w:tcPr>
            <w:tcW w:w="2551" w:type="dxa"/>
            <w:vAlign w:val="center"/>
          </w:tcPr>
          <w:p>
            <w:pPr>
              <w:pStyle w:val="13"/>
            </w:pPr>
            <w:r>
              <w:t>23.28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23.28</w:t>
            </w:r>
          </w:p>
        </w:tc>
        <w:tc>
          <w:tcPr>
            <w:tcW w:w="2551" w:type="dxa"/>
            <w:vAlign w:val="center"/>
          </w:tcPr>
          <w:p>
            <w:pPr>
              <w:pStyle w:val="13"/>
            </w:pPr>
            <w:r>
              <w:t>23.28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3.80</w:t>
            </w:r>
          </w:p>
        </w:tc>
        <w:tc>
          <w:tcPr>
            <w:tcW w:w="2551" w:type="dxa"/>
            <w:vAlign w:val="center"/>
          </w:tcPr>
          <w:p>
            <w:pPr>
              <w:pStyle w:val="13"/>
            </w:pPr>
            <w:r>
              <w:t>3.80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19.48</w:t>
            </w:r>
          </w:p>
        </w:tc>
        <w:tc>
          <w:tcPr>
            <w:tcW w:w="2551" w:type="dxa"/>
            <w:vAlign w:val="center"/>
          </w:tcPr>
          <w:p>
            <w:pPr>
              <w:pStyle w:val="13"/>
            </w:pPr>
            <w:r>
              <w:t>19.48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18.57</w:t>
            </w:r>
          </w:p>
        </w:tc>
        <w:tc>
          <w:tcPr>
            <w:tcW w:w="2551" w:type="dxa"/>
            <w:vAlign w:val="center"/>
          </w:tcPr>
          <w:p>
            <w:pPr>
              <w:pStyle w:val="13"/>
            </w:pPr>
            <w:r>
              <w:t>18.57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18.57</w:t>
            </w:r>
          </w:p>
        </w:tc>
        <w:tc>
          <w:tcPr>
            <w:tcW w:w="2551" w:type="dxa"/>
            <w:vAlign w:val="center"/>
          </w:tcPr>
          <w:p>
            <w:pPr>
              <w:pStyle w:val="13"/>
            </w:pPr>
            <w:r>
              <w:t>18.57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8.83</w:t>
            </w:r>
          </w:p>
        </w:tc>
        <w:tc>
          <w:tcPr>
            <w:tcW w:w="2551" w:type="dxa"/>
            <w:vAlign w:val="center"/>
          </w:tcPr>
          <w:p>
            <w:pPr>
              <w:pStyle w:val="13"/>
            </w:pPr>
            <w:r>
              <w:t>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9.74</w:t>
            </w:r>
          </w:p>
        </w:tc>
        <w:tc>
          <w:tcPr>
            <w:tcW w:w="2551" w:type="dxa"/>
            <w:vAlign w:val="center"/>
          </w:tcPr>
          <w:p>
            <w:pPr>
              <w:pStyle w:val="13"/>
            </w:pPr>
            <w:r>
              <w:t>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14.69</w:t>
            </w:r>
          </w:p>
        </w:tc>
        <w:tc>
          <w:tcPr>
            <w:tcW w:w="2551" w:type="dxa"/>
            <w:vAlign w:val="center"/>
          </w:tcPr>
          <w:p>
            <w:pPr>
              <w:pStyle w:val="13"/>
            </w:pPr>
            <w:r>
              <w:t>14.69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14.69</w:t>
            </w:r>
          </w:p>
        </w:tc>
        <w:tc>
          <w:tcPr>
            <w:tcW w:w="2551" w:type="dxa"/>
            <w:vAlign w:val="center"/>
          </w:tcPr>
          <w:p>
            <w:pPr>
              <w:pStyle w:val="13"/>
            </w:pPr>
            <w:r>
              <w:t>14.69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14.69</w:t>
            </w:r>
          </w:p>
        </w:tc>
        <w:tc>
          <w:tcPr>
            <w:tcW w:w="2551" w:type="dxa"/>
            <w:vAlign w:val="center"/>
          </w:tcPr>
          <w:p>
            <w:pPr>
              <w:pStyle w:val="13"/>
            </w:pPr>
            <w:r>
              <w:t>14.69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206.11</w:t>
            </w:r>
          </w:p>
        </w:tc>
        <w:tc>
          <w:tcPr>
            <w:tcW w:w="2551" w:type="dxa"/>
            <w:vAlign w:val="center"/>
          </w:tcPr>
          <w:p>
            <w:pPr>
              <w:pStyle w:val="17"/>
            </w:pPr>
            <w:r>
              <w:t>188.05</w:t>
            </w:r>
          </w:p>
        </w:tc>
        <w:tc>
          <w:tcPr>
            <w:tcW w:w="2551" w:type="dxa"/>
            <w:vAlign w:val="center"/>
          </w:tcPr>
          <w:p>
            <w:pPr>
              <w:pStyle w:val="17"/>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184.21</w:t>
            </w:r>
          </w:p>
        </w:tc>
        <w:tc>
          <w:tcPr>
            <w:tcW w:w="2551" w:type="dxa"/>
            <w:vAlign w:val="center"/>
          </w:tcPr>
          <w:p>
            <w:pPr>
              <w:pStyle w:val="13"/>
            </w:pPr>
            <w:r>
              <w:t>184.21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60.27</w:t>
            </w:r>
          </w:p>
        </w:tc>
        <w:tc>
          <w:tcPr>
            <w:tcW w:w="2551" w:type="dxa"/>
            <w:vAlign w:val="center"/>
          </w:tcPr>
          <w:p>
            <w:pPr>
              <w:pStyle w:val="13"/>
            </w:pPr>
            <w:r>
              <w:t>60.27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34.06</w:t>
            </w:r>
          </w:p>
        </w:tc>
        <w:tc>
          <w:tcPr>
            <w:tcW w:w="2551" w:type="dxa"/>
            <w:vAlign w:val="center"/>
          </w:tcPr>
          <w:p>
            <w:pPr>
              <w:pStyle w:val="13"/>
            </w:pPr>
            <w:r>
              <w:t>34.06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33.42</w:t>
            </w:r>
          </w:p>
        </w:tc>
        <w:tc>
          <w:tcPr>
            <w:tcW w:w="2551" w:type="dxa"/>
            <w:vAlign w:val="center"/>
          </w:tcPr>
          <w:p>
            <w:pPr>
              <w:pStyle w:val="13"/>
            </w:pPr>
            <w:r>
              <w:t>33.42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19.48</w:t>
            </w:r>
          </w:p>
        </w:tc>
        <w:tc>
          <w:tcPr>
            <w:tcW w:w="2551" w:type="dxa"/>
            <w:vAlign w:val="center"/>
          </w:tcPr>
          <w:p>
            <w:pPr>
              <w:pStyle w:val="13"/>
            </w:pPr>
            <w:r>
              <w:t>19.48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8.83</w:t>
            </w:r>
          </w:p>
        </w:tc>
        <w:tc>
          <w:tcPr>
            <w:tcW w:w="2551" w:type="dxa"/>
            <w:vAlign w:val="center"/>
          </w:tcPr>
          <w:p>
            <w:pPr>
              <w:pStyle w:val="13"/>
            </w:pPr>
            <w:r>
              <w:t>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9.74</w:t>
            </w:r>
          </w:p>
        </w:tc>
        <w:tc>
          <w:tcPr>
            <w:tcW w:w="2551" w:type="dxa"/>
            <w:vAlign w:val="center"/>
          </w:tcPr>
          <w:p>
            <w:pPr>
              <w:pStyle w:val="13"/>
            </w:pPr>
            <w:r>
              <w:t>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14.69</w:t>
            </w:r>
          </w:p>
        </w:tc>
        <w:tc>
          <w:tcPr>
            <w:tcW w:w="2551" w:type="dxa"/>
            <w:vAlign w:val="center"/>
          </w:tcPr>
          <w:p>
            <w:pPr>
              <w:pStyle w:val="13"/>
            </w:pPr>
            <w:r>
              <w:t>14.69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18.06</w:t>
            </w:r>
          </w:p>
        </w:tc>
        <w:tc>
          <w:tcPr>
            <w:tcW w:w="2551" w:type="dxa"/>
            <w:vAlign w:val="center"/>
          </w:tcPr>
          <w:p>
            <w:pPr>
              <w:pStyle w:val="13"/>
            </w:pPr>
          </w:p>
        </w:tc>
        <w:tc>
          <w:tcPr>
            <w:tcW w:w="2551" w:type="dxa"/>
            <w:vAlign w:val="center"/>
          </w:tcPr>
          <w:p>
            <w:pPr>
              <w:pStyle w:val="13"/>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3.30</w:t>
            </w:r>
          </w:p>
        </w:tc>
        <w:tc>
          <w:tcPr>
            <w:tcW w:w="2551" w:type="dxa"/>
            <w:vAlign w:val="center"/>
          </w:tcPr>
          <w:p>
            <w:pPr>
              <w:pStyle w:val="13"/>
            </w:pPr>
          </w:p>
        </w:tc>
        <w:tc>
          <w:tcPr>
            <w:tcW w:w="2551"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4.30</w:t>
            </w:r>
          </w:p>
        </w:tc>
        <w:tc>
          <w:tcPr>
            <w:tcW w:w="2551" w:type="dxa"/>
            <w:vAlign w:val="center"/>
          </w:tcPr>
          <w:p>
            <w:pPr>
              <w:pStyle w:val="13"/>
            </w:pPr>
          </w:p>
        </w:tc>
        <w:tc>
          <w:tcPr>
            <w:tcW w:w="2551" w:type="dxa"/>
            <w:vAlign w:val="center"/>
          </w:tcPr>
          <w:p>
            <w:pPr>
              <w:pStyle w:val="13"/>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3.84</w:t>
            </w:r>
          </w:p>
        </w:tc>
        <w:tc>
          <w:tcPr>
            <w:tcW w:w="2551" w:type="dxa"/>
            <w:vAlign w:val="center"/>
          </w:tcPr>
          <w:p>
            <w:pPr>
              <w:pStyle w:val="13"/>
            </w:pPr>
            <w:r>
              <w:t>3.84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3.80</w:t>
            </w:r>
          </w:p>
        </w:tc>
        <w:tc>
          <w:tcPr>
            <w:tcW w:w="2551" w:type="dxa"/>
            <w:vAlign w:val="center"/>
          </w:tcPr>
          <w:p>
            <w:pPr>
              <w:pStyle w:val="13"/>
            </w:pPr>
            <w:r>
              <w:t>3.80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2.80</w:t>
            </w:r>
          </w:p>
        </w:tc>
        <w:tc>
          <w:tcPr>
            <w:tcW w:w="2381" w:type="dxa"/>
            <w:vAlign w:val="center"/>
          </w:tcPr>
          <w:p>
            <w:pPr>
              <w:pStyle w:val="17"/>
            </w:pPr>
            <w:r>
              <w:t>2.80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2.80</w:t>
            </w:r>
          </w:p>
        </w:tc>
        <w:tc>
          <w:tcPr>
            <w:tcW w:w="2381" w:type="dxa"/>
            <w:vAlign w:val="center"/>
          </w:tcPr>
          <w:p>
            <w:pPr>
              <w:pStyle w:val="13"/>
            </w:pPr>
            <w:r>
              <w:t>2.80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二、公务用车购置及维护费</w:t>
            </w:r>
          </w:p>
        </w:tc>
        <w:tc>
          <w:tcPr>
            <w:tcW w:w="2381"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0.30</w:t>
            </w:r>
          </w:p>
        </w:tc>
        <w:tc>
          <w:tcPr>
            <w:tcW w:w="2381" w:type="dxa"/>
            <w:vAlign w:val="center"/>
          </w:tcPr>
          <w:p>
            <w:pPr>
              <w:pStyle w:val="13"/>
            </w:pPr>
            <w:r>
              <w:t>0.30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中国共产党唐山市丰南区委员会机构编制委员会办公室本级2022年单位预算信息公开情况说明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按照《预算法》、《地方预决算公开操作规程》和《关于进一步推进预算公开工作的实施意见》规定，现将中国共产党唐山市丰南区委员会机构编制委员会办公室本级2022年单位预算公开如下：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单位职责：根据《中国共产党唐山市丰南区委员会机构编制委员会办公室职能配置、内设机构和人员编制规定》， 中国共产党唐山市丰南区委员会机构编制委员会办公室的主要职责是：</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1、贯彻落实党中央和省委、市委、区委关于行政管理体制和机构改革以及机构编制管理的政策法规，组织拟订相关政策规定并监督实施。管理和指导各级党委、人大、政府、政协、监察委机关，各人民团体机关以及全区事业单位的机构编制工作。</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2、组织拟订全区行政管理体制改革和区委、区政府机构改革方案并组织实施。负责全区行政管理体制和机构改革以及机构编制管理工作；负责行政执法体制改革工作。</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3、协调区委、区政府各</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的职能配置及其调整。协调区委、区政府</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之间以及区直</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与各乡镇、开发区之间的职责分工。</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4、审核或审批区委、区政府各</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及各</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派出机构的职能配置、机构设置、人员编制和领导职数；审核区人大、区政协、区监察委机关和区级各人民团体机关的职能配置、机构设置、人员编制和领导职数。</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5、负责请示上报区委、区政府副科级以上机构设置和调整事宜；负责请示上报区人大、区政协、区监察委和各人民团体机关副科级以上机构设置和调整事宜；负责请示上报区、乡镇机构编制分类；负责需要承办的双重管理</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（单位）机构编制有关事宜。</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6、组织拟订全区事业单位管理体制和机构改革方案。制定各类事业单位机构编制管理办法，负责推进事业单位机构编制标准体系建设；审核或审批区委、区政府直属事业单位和区直</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所属事业单位的机构编制事宜；负责全区事业单位管理体制改革和机构编制管理工作；负责请示上报全区股级以上事业单位的机构编制事宜；负责全区党政群机关统一社会信用代码赋码管理工作，负责全区事业单位法人登记管理和监督检查工作。</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7、指导开发区行政管理体制改革工作。组织拟订开发区机构编制管理办法并组织实施，审核开发区职能配置、机构设置、人员编制和领导职数。</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8、负责全区机构编制的总量控制和动态管理。牵头负责机构编制实名制工作；负责区直机关、事业单位编制使用核准；建立健全机构编制</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与有关</w:t>
      </w:r>
      <w:r>
        <w:rPr>
          <w:rFonts w:hint="eastAsia" w:asciiTheme="minorEastAsia" w:hAnsiTheme="minorEastAsia" w:eastAsiaTheme="minorEastAsia" w:cstheme="minorEastAsia"/>
          <w:b w:val="0"/>
          <w:bCs/>
          <w:color w:val="000000"/>
          <w:sz w:val="28"/>
          <w:szCs w:val="28"/>
          <w:lang w:eastAsia="zh-CN"/>
        </w:rPr>
        <w:t>单位</w:t>
      </w:r>
      <w:r>
        <w:rPr>
          <w:rFonts w:hint="eastAsia" w:asciiTheme="minorEastAsia" w:hAnsiTheme="minorEastAsia" w:eastAsiaTheme="minorEastAsia" w:cstheme="minorEastAsia"/>
          <w:b w:val="0"/>
          <w:bCs/>
          <w:color w:val="000000"/>
          <w:sz w:val="28"/>
          <w:szCs w:val="28"/>
        </w:rPr>
        <w:t>间的协调配合约束机制。</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9、负责对各级行政、事业单位管理体制和机构改革及机构编制执行情况的跟踪评估和监督检查。负责受理违反机构编制法规、纪律的检举、控告和投诉、对违反机构编制法规、纪律问题进行调查处理。</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10、负责全区机构编制电子政务和信息化工作。负责全区机构编制统计工作；负责机构编制网站的建设管理以及网络安全工作；指导全区党政群机关、事业单位和其他非营利性单位网上名称管理工作。</w:t>
      </w:r>
    </w:p>
    <w:p>
      <w:pPr>
        <w:spacing w:before="0" w:after="0" w:line="240" w:lineRule="auto"/>
        <w:ind w:firstLine="640"/>
        <w:jc w:val="left"/>
        <w:outlineLvl w:val="9"/>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11、组织开展行政体制改革及机构编制管理创新基础性和前瞻性研究。</w:t>
      </w:r>
    </w:p>
    <w:p>
      <w:pPr>
        <w:spacing w:before="0" w:after="0" w:line="240" w:lineRule="auto"/>
        <w:ind w:firstLine="640"/>
        <w:jc w:val="left"/>
        <w:outlineLvl w:val="9"/>
        <w:rPr>
          <w:b w:val="0"/>
          <w:bCs/>
        </w:rPr>
      </w:pPr>
      <w:r>
        <w:rPr>
          <w:rFonts w:hint="eastAsia" w:asciiTheme="minorEastAsia" w:hAnsiTheme="minorEastAsia" w:eastAsiaTheme="minorEastAsia" w:cstheme="minorEastAsia"/>
          <w:b w:val="0"/>
          <w:bCs/>
          <w:color w:val="000000"/>
          <w:sz w:val="28"/>
          <w:szCs w:val="28"/>
        </w:rPr>
        <w:t>12、完成区委、区政府和区委机构编制委员会交办的其他任务。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中国共产党唐山市丰南区委员会机构编制委员会办公室本级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（一）收入说明</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2022年</w:t>
      </w:r>
      <w:r>
        <w:rPr>
          <w:rFonts w:hint="eastAsia" w:asciiTheme="minorEastAsia" w:hAnsiTheme="minorEastAsia" w:eastAsiaTheme="minorEastAsia" w:cstheme="minorEastAsia"/>
          <w:color w:val="000000"/>
          <w:sz w:val="28"/>
          <w:szCs w:val="28"/>
          <w:lang w:val="en-US" w:eastAsia="zh-CN"/>
        </w:rPr>
        <w:t>单位</w:t>
      </w:r>
      <w:r>
        <w:rPr>
          <w:rFonts w:hint="eastAsia" w:asciiTheme="minorEastAsia" w:hAnsiTheme="minorEastAsia" w:eastAsiaTheme="minorEastAsia" w:cstheme="minorEastAsia"/>
          <w:color w:val="000000"/>
          <w:sz w:val="28"/>
          <w:szCs w:val="28"/>
        </w:rPr>
        <w:t>预算收入224.71万元，其中：一般公共预算拨款224.71万元，政府性基金预算拨款0万元，国有资本经营预算拨款0万元，财政专户核拨0万元，单位资金0万元。</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（二）支出说明</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2022年</w:t>
      </w:r>
      <w:r>
        <w:rPr>
          <w:rFonts w:hint="eastAsia" w:asciiTheme="minorEastAsia" w:hAnsiTheme="minorEastAsia" w:eastAsiaTheme="minorEastAsia" w:cstheme="minorEastAsia"/>
          <w:color w:val="000000"/>
          <w:sz w:val="28"/>
          <w:szCs w:val="28"/>
          <w:lang w:val="en-US" w:eastAsia="zh-CN"/>
        </w:rPr>
        <w:t>单位</w:t>
      </w:r>
      <w:r>
        <w:rPr>
          <w:rFonts w:hint="eastAsia" w:asciiTheme="minorEastAsia" w:hAnsiTheme="minorEastAsia" w:eastAsiaTheme="minorEastAsia" w:cstheme="minorEastAsia"/>
          <w:color w:val="000000"/>
          <w:sz w:val="28"/>
          <w:szCs w:val="28"/>
        </w:rPr>
        <w:t>预算支出224.71万元，其中：人员经费188.05万元，日常公用经费18.06万元，项目支出18.6万元。</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（三）比上年增减情况</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2022年</w:t>
      </w:r>
      <w:r>
        <w:rPr>
          <w:rFonts w:hint="eastAsia" w:asciiTheme="minorEastAsia" w:hAnsiTheme="minorEastAsia" w:eastAsiaTheme="minorEastAsia" w:cstheme="minorEastAsia"/>
          <w:color w:val="000000"/>
          <w:sz w:val="28"/>
          <w:szCs w:val="28"/>
          <w:lang w:val="en-US" w:eastAsia="zh-CN"/>
        </w:rPr>
        <w:t>单位</w:t>
      </w:r>
      <w:r>
        <w:rPr>
          <w:rFonts w:hint="eastAsia" w:asciiTheme="minorEastAsia" w:hAnsiTheme="minorEastAsia" w:eastAsiaTheme="minorEastAsia" w:cstheme="minorEastAsia"/>
          <w:color w:val="000000"/>
          <w:sz w:val="28"/>
          <w:szCs w:val="28"/>
        </w:rPr>
        <w:t>预算较2021年3.33万元，其中：人员经费增加4.38万元，日常公用经费减少1.05万元，项目经费增加0万元。</w:t>
      </w:r>
    </w:p>
    <w:p>
      <w:pPr>
        <w:pStyle w:val="28"/>
      </w:pPr>
    </w:p>
    <w:p>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numPr>
          <w:ilvl w:val="0"/>
          <w:numId w:val="0"/>
        </w:numPr>
        <w:spacing w:before="10" w:after="10" w:line="240" w:lineRule="auto"/>
        <w:ind w:firstLine="560" w:firstLineChars="200"/>
        <w:jc w:val="left"/>
        <w:outlineLvl w:val="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2022年机关运行经费共计安排224.71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numPr>
          <w:ilvl w:val="0"/>
          <w:numId w:val="0"/>
        </w:numPr>
        <w:spacing w:before="10" w:after="10" w:line="240" w:lineRule="auto"/>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numPr>
          <w:ilvl w:val="0"/>
          <w:numId w:val="0"/>
        </w:numPr>
        <w:spacing w:before="10" w:after="10" w:line="240" w:lineRule="auto"/>
        <w:ind w:left="640" w:leftChars="0"/>
        <w:jc w:val="left"/>
        <w:outlineLvl w:val="2"/>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2022年</w:t>
      </w:r>
      <w:r>
        <w:rPr>
          <w:rFonts w:hint="eastAsia" w:asciiTheme="minorEastAsia" w:hAnsiTheme="minorEastAsia" w:eastAsiaTheme="minorEastAsia" w:cstheme="minorEastAsia"/>
          <w:color w:val="000000"/>
          <w:sz w:val="28"/>
          <w:szCs w:val="28"/>
          <w:lang w:val="en-US" w:eastAsia="zh-CN"/>
        </w:rPr>
        <w:t>单位</w:t>
      </w:r>
      <w:r>
        <w:rPr>
          <w:rFonts w:hint="eastAsia" w:asciiTheme="minorEastAsia" w:hAnsiTheme="minorEastAsia" w:eastAsiaTheme="minorEastAsia" w:cstheme="minorEastAsia"/>
          <w:color w:val="000000"/>
          <w:sz w:val="28"/>
          <w:szCs w:val="28"/>
        </w:rPr>
        <w:t>“三公”经费预算安排2.8万元，与2021无增减变化。</w:t>
      </w:r>
    </w:p>
    <w:p>
      <w:pPr>
        <w:numPr>
          <w:ilvl w:val="0"/>
          <w:numId w:val="0"/>
        </w:numPr>
        <w:spacing w:before="10" w:after="10" w:line="240" w:lineRule="auto"/>
        <w:ind w:left="640" w:leftChars="0"/>
        <w:jc w:val="left"/>
        <w:outlineLvl w:val="2"/>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（一）公务用车购置及运行费2.5万元，与2021年无增减变化。</w:t>
      </w:r>
    </w:p>
    <w:p>
      <w:pPr>
        <w:spacing w:before="10" w:after="10" w:line="240" w:lineRule="auto"/>
        <w:ind w:firstLine="640"/>
        <w:jc w:val="left"/>
        <w:outlineLvl w:val="2"/>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（二）公务接待费0.3万元，与2021年无增减变化。</w:t>
      </w:r>
    </w:p>
    <w:p>
      <w:pPr>
        <w:spacing w:before="10" w:after="10" w:line="240" w:lineRule="auto"/>
        <w:ind w:firstLine="640"/>
        <w:jc w:val="left"/>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（三）因公出国（境）费0万元，与2021年无增减变化。</w:t>
      </w:r>
    </w:p>
    <w:p>
      <w:pPr>
        <w:spacing w:before="0" w:after="0" w:line="500" w:lineRule="exact"/>
        <w:ind w:firstLine="560"/>
        <w:jc w:val="left"/>
        <w:outlineLvl w:val="9"/>
        <w:rPr>
          <w:rFonts w:ascii="黑体" w:hAnsi="黑体" w:eastAsia="黑体" w:cs="黑体"/>
          <w:color w:val="000000"/>
          <w:sz w:val="32"/>
        </w:rPr>
      </w:pPr>
      <w:r>
        <w:rPr>
          <w:rFonts w:ascii="黑体" w:hAnsi="黑体" w:eastAsia="黑体" w:cs="黑体"/>
          <w:color w:val="000000"/>
          <w:sz w:val="32"/>
        </w:rPr>
        <w:t>五、预算绩效信息</w:t>
      </w:r>
    </w:p>
    <w:p>
      <w:pPr>
        <w:spacing w:before="0" w:after="0" w:line="500" w:lineRule="exact"/>
        <w:ind w:firstLine="280" w:firstLineChars="10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一）总体绩效目标</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1、巩固改革成果，维护市批方案的严肃性。严格执行“三定”规定的主要职责和编制数额，切实维护机构改革方案和机构编制纪律的严肃性，防止机构编制出现反弹。</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2、继续推进行政管理体制和行政审批制度改革。通过简政放权，切实建立起 “责权一致、分工合理、决策科学、执行顺畅、监督有力”的行政管理体制。</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3、继续推进事业单位改革。结合事业单位人事制度改革，进一步贯彻落实国务院《事业单位登记管理暂行条例》，完善事业单位法人治理结构，推进事业单位的社会化进程。</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4、继续做好事业单位登记管理工作。做好事业法人证书“三证合一、一照一码”工作。统一社会信用代码和相关基本信息作为法人和其他组织的“数字身份证”。</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5、加强和完善机构编制日常管理。进一步完善机构编制管理信息平台建设，规范机构编制实名制管理业务流程，确保统计数据的真实性；加强对中文域名注册管理及网站开办资格审核、统一网站标识宣传推广工作。</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6、进一步加强机构编制</w:t>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自身建设。坚持用科学发展观指导机构编制工作，做科学发展观的忠实执行者，做社会和谐的积极促进者，把我区的机构编制管理推向一个新的阶段，以适应社会主义市场经济体制和全面建设小康社会的新形势，促进丰南经济社会科学发展、和谐发展。</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绩效目标：1、推进乡镇和街道改革,党群政法</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体制改革,乡镇行政体制改革,功能园区管理体制机制改革。2、完善开发区管理体制机制，为提高开发区发展活力和承载能力，促进开发区创新发展提升能级，加快建设高质量发展示范区、生态宜居样板区提供坚实的体制机制保障。3、扎实推进承担行政职能事业单位改革工作，按时下发各</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所属事业单位批复；扎实推进事业单位分类改革,扎实推进事业单位法人治理结构试点工作；扎实推进承担行政职能事业单位改革工作，按时下发各</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所属事业单位批复。</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绩效指标：改革行政单位对改革实施的满意程度达到100%；事业单位改革目标完成量占年度计划完成量的比例达到100%；年内完成开发区机构调整，配齐各类编制人员，完成薪酬制度改革。</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（二）审核或审批区委、区政府、人大、政协、法院、检察院机关，人民团体机关的机构编制管理事宜；负责全区事业单位法人登记管理和监督检查工作。</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绩效目标：全面推行实名制管理和编制使用核准；加强机构编制标准化管理，确保完成全区2022年度机构编制统计上报工作；加强完善事业单位登记管理工作。</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绩效指标：机构编制实有数与核定数一致率；实有在编人员数与实际数一致率；变更登记完成率达到100%，监督检查完成、年度报告向社会公开、注销登记完成率达到100%。</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（三）加强机关党组织建设，严格组织生活制度，丰富党建活动内容，做好党员发展、教育、管理和党务干部的教育培训工作，充分发挥党组织的战斗堡垒作用和党员的先锋模范作用。</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绩效目标：机构编制信息平台运行。</w:t>
      </w:r>
    </w:p>
    <w:p>
      <w:pPr>
        <w:pStyle w:val="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绩效指标：绩效系统网络平台维护和有效运行率达到100%；各项综合事务工作完成率达到98%；机构编制实名制覆盖率、机构编制信息平台维护率、机构编制实名制信息管理双平台制度覆盖率达到100%。</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（三）工作保障措施</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1、明确</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职责，优化机构结构。按照宏观调控</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、市场监管</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、社会管理和公共服务</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的职责定位，合理界定</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职能分工，明确和强化责任，坚持一件事情原则上由一个</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负责，确需多个</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管理的事项，明确牵头</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，分清主次责任，建立健全</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 xml:space="preserve">间协调配合机制，形成工作合力，提高工作效率。同时撤销职能消失和弱化的单位，优化结构布局，把有限的机构编制资源用于保重点、保民生、保发展。 </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2、服务中心工作，配置编制资源。在严控机构编制总量的前提下，动态调整、合理配置编制资源，优先保障全区中心工作和改善民生等重点领域的编制使用，更好地服务区域经济社会发展。</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严控编制总量，挖掘人员潜力。严格按照中央、省、市编办要求，严格控制编制总量。对于确需增加编制的单位，一般要求在系统内部进行调剂，有增有减，实现总量控制。对于一些被撤销、被整合单位的人员，实行编随事走，人随编走，充分挖掘现有人员编制潜力，按照“一岗双责、一岗多责”的要求，进一步明确和细化职责，实现编制资源使用最大化，在保证财政供养人员增减不增的同时，将更多的人力、物力、财力向全区中心工作、重点工作和民生保障等领域倾斜。 </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完善制度建设。制定完善预算绩效管理制度、资金管理办法、工作保障制度等，为全年预算绩效目标的实现奠定制度基础。</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加强支出管理。优化支出结构、编细编实预算、加快履行政府采购手续、尽快启动项目、及时支付资金、6月底前细化代编预算、按规定及时下达资金等多种措施，确保支出进度达标。</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加强绩效运行监控。按要求开展绩效运行监控，发现问题及时采取措施，确保绩效目标如期保质实现。</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做好绩效自评。按要求开展上年度</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预算绩效自评和重点评价工作，对评价中发现的问题及时整改，调整优化支出结构，提高财政资金使用效益。</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规范财务资产管理。完善财务管理制度，严格审批程序，加强固定资产登记、使用和报废处置管理，做到支出合理，物尽其用。</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p>
    <w:p>
      <w:pPr>
        <w:numPr>
          <w:ilvl w:val="0"/>
          <w:numId w:val="0"/>
        </w:numPr>
        <w:spacing w:before="0" w:after="0" w:line="240" w:lineRule="auto"/>
        <w:jc w:val="left"/>
        <w:outlineLvl w:val="9"/>
        <w:rPr>
          <w:rFonts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lang w:val="en-US" w:eastAsia="zh-CN"/>
        </w:rPr>
        <w:t>第二部分</w:t>
      </w:r>
      <w:r>
        <w:rPr>
          <w:rFonts w:ascii="方正楷体_GBK" w:hAnsi="方正楷体_GBK" w:eastAsia="方正楷体_GBK" w:cs="方正楷体_GBK"/>
          <w:b w:val="0"/>
          <w:bCs/>
          <w:color w:val="000000"/>
          <w:sz w:val="32"/>
        </w:rPr>
        <w:t xml:space="preserve"> 专项资金绩效目标</w:t>
      </w: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24"/>
          <w:szCs w:val="24"/>
        </w:rPr>
      </w:pPr>
      <w:r>
        <w:rPr>
          <w:rFonts w:hint="eastAsia" w:ascii="方正楷体_GBK" w:hAnsi="方正楷体_GBK" w:eastAsia="方正楷体_GBK" w:cs="方正楷体_GBK"/>
          <w:b w:val="0"/>
          <w:bCs/>
          <w:color w:val="000000"/>
          <w:sz w:val="24"/>
          <w:szCs w:val="24"/>
        </w:rPr>
        <w:t>312中国共产党唐山市丰南区委员会机构编制委员会办公室（专项资金）绩效目标表</w:t>
      </w: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24"/>
          <w:szCs w:val="24"/>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p>
        </w:tc>
      </w:tr>
    </w:tbl>
    <w:p>
      <w:pPr>
        <w:pStyle w:val="33"/>
        <w:numPr>
          <w:ilvl w:val="0"/>
          <w:numId w:val="1"/>
        </w:num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方正书宋_GBK" w:eastAsia="方正书宋_GBK" w:cs="方正书宋_GBK"/>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方正书宋_GBK" w:eastAsia="方正书宋_GBK" w:cs="方正书宋_GBK"/>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方正书宋_GBK" w:eastAsia="方正书宋_GBK" w:cs="方正书宋_GBK"/>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lang w:eastAsia="zh-CN"/>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spacing w:before="0" w:after="0"/>
        <w:ind w:firstLine="560"/>
        <w:jc w:val="left"/>
        <w:outlineLvl w:val="9"/>
        <w:rPr>
          <w:rFonts w:hint="eastAsia" w:ascii="等线 Light" w:hAnsi="等线 Light" w:eastAsia="等线 Light" w:cs="等线 Light"/>
          <w:b/>
          <w:color w:val="000000"/>
          <w:sz w:val="32"/>
          <w:lang w:val="en-US" w:eastAsia="zh-CN"/>
        </w:rPr>
      </w:pPr>
      <w:r>
        <w:rPr>
          <w:rFonts w:hint="eastAsia" w:ascii="等线 Light" w:hAnsi="等线 Light" w:eastAsia="等线 Light" w:cs="等线 Light"/>
          <w:b/>
          <w:color w:val="000000"/>
          <w:sz w:val="32"/>
          <w:lang w:val="en-US" w:eastAsia="zh-CN"/>
        </w:rPr>
        <w:t>2022年无专项资金</w:t>
      </w:r>
    </w:p>
    <w:p>
      <w:pPr>
        <w:spacing w:before="0" w:after="0"/>
        <w:ind w:firstLine="560"/>
        <w:jc w:val="left"/>
        <w:outlineLvl w:val="9"/>
        <w:rPr>
          <w:rFonts w:ascii="方正楷体_GBK" w:hAnsi="方正楷体_GBK" w:eastAsia="方正楷体_GBK" w:cs="方正楷体_GBK"/>
          <w:b/>
          <w:color w:val="000000"/>
          <w:sz w:val="32"/>
        </w:rPr>
      </w:pPr>
    </w:p>
    <w:p>
      <w:pPr>
        <w:spacing w:before="0" w:after="0"/>
        <w:ind w:firstLine="560"/>
        <w:jc w:val="left"/>
        <w:outlineLvl w:val="9"/>
        <w:rPr>
          <w:rFonts w:ascii="方正楷体_GBK" w:hAnsi="方正楷体_GBK" w:eastAsia="方正楷体_GBK" w:cs="方正楷体_GBK"/>
          <w:b/>
          <w:color w:val="000000"/>
          <w:sz w:val="32"/>
        </w:rPr>
      </w:pPr>
    </w:p>
    <w:p>
      <w:pPr>
        <w:spacing w:before="0" w:after="0"/>
        <w:ind w:firstLine="560"/>
        <w:jc w:val="left"/>
        <w:outlineLvl w:val="9"/>
        <w:rPr>
          <w:rFonts w:ascii="方正楷体_GBK" w:hAnsi="方正楷体_GBK" w:eastAsia="方正楷体_GBK" w:cs="方正楷体_GBK"/>
          <w:b/>
          <w:color w:val="000000"/>
          <w:sz w:val="32"/>
        </w:rPr>
      </w:pPr>
    </w:p>
    <w:p>
      <w:pPr>
        <w:spacing w:before="0" w:after="0"/>
        <w:ind w:firstLine="560"/>
        <w:jc w:val="left"/>
        <w:outlineLvl w:val="9"/>
        <w:rPr>
          <w:rFonts w:ascii="方正仿宋_GBK" w:hAnsi="方正仿宋_GBK" w:eastAsia="方正仿宋_GBK" w:cs="方正仿宋_GBK"/>
          <w:b w:val="0"/>
          <w:bCs/>
          <w:color w:val="000000"/>
          <w:sz w:val="28"/>
        </w:rPr>
      </w:pPr>
      <w:r>
        <w:rPr>
          <w:rFonts w:ascii="方正楷体_GBK" w:hAnsi="方正楷体_GBK" w:eastAsia="方正楷体_GBK" w:cs="方正楷体_GBK"/>
          <w:b w:val="0"/>
          <w:bCs/>
          <w:color w:val="000000"/>
          <w:sz w:val="32"/>
        </w:rPr>
        <w:t>第三部分  预算项目绩效目</w:t>
      </w:r>
    </w:p>
    <w:p>
      <w:pPr>
        <w:spacing w:before="0" w:after="0"/>
        <w:ind w:firstLine="560"/>
        <w:jc w:val="left"/>
        <w:outlineLvl w:val="9"/>
      </w:pPr>
      <w:r>
        <w:rPr>
          <w:rFonts w:ascii="方正仿宋_GBK" w:hAnsi="方正仿宋_GBK" w:eastAsia="方正仿宋_GBK" w:cs="方正仿宋_GBK"/>
          <w:b/>
          <w:color w:val="000000"/>
          <w:sz w:val="28"/>
        </w:rPr>
        <w:t>1、机构编制改革经费绩效目标表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1.促使提升乡镇街道改革工作的成效</w:t>
            </w:r>
          </w:p>
          <w:p>
            <w:pPr>
              <w:pStyle w:val="14"/>
            </w:pPr>
            <w:r>
              <w:t>2.促使机构编制信息平台正常运行，能够更好的加强系统网络平台维护和有效运行。</w:t>
            </w:r>
          </w:p>
          <w:p>
            <w:pPr>
              <w:pStyle w:val="14"/>
            </w:pPr>
            <w:r>
              <w:t>3.促使加强开发区机构编制管理，促进开发区体制机制创新，推动开发区高质量发展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各项综合事务工作完成率</w:t>
            </w:r>
          </w:p>
        </w:tc>
        <w:tc>
          <w:tcPr>
            <w:tcW w:w="2835" w:type="dxa"/>
            <w:vAlign w:val="center"/>
          </w:tcPr>
          <w:p>
            <w:pPr>
              <w:pStyle w:val="14"/>
            </w:pPr>
            <w:r>
              <w:t>综合事务工作完成情况占综合事务工作的比例</w:t>
            </w:r>
          </w:p>
        </w:tc>
        <w:tc>
          <w:tcPr>
            <w:tcW w:w="2551" w:type="dxa"/>
            <w:vAlign w:val="center"/>
          </w:tcPr>
          <w:p>
            <w:pPr>
              <w:pStyle w:val="14"/>
            </w:pPr>
            <w:r>
              <w:t>≥95%</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系统网络平台有效运行率</w:t>
            </w:r>
          </w:p>
        </w:tc>
        <w:tc>
          <w:tcPr>
            <w:tcW w:w="2835" w:type="dxa"/>
            <w:vAlign w:val="center"/>
          </w:tcPr>
          <w:p>
            <w:pPr>
              <w:pStyle w:val="14"/>
            </w:pPr>
            <w:r>
              <w:t>系统网络平台有效运行情况占系统网络平台运行情况的比例</w:t>
            </w:r>
          </w:p>
        </w:tc>
        <w:tc>
          <w:tcPr>
            <w:tcW w:w="2551" w:type="dxa"/>
            <w:vAlign w:val="center"/>
          </w:tcPr>
          <w:p>
            <w:pPr>
              <w:pStyle w:val="14"/>
            </w:pPr>
            <w:r>
              <w:t>≥95%</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系统网络平台及时率</w:t>
            </w:r>
          </w:p>
        </w:tc>
        <w:tc>
          <w:tcPr>
            <w:tcW w:w="2835" w:type="dxa"/>
            <w:vAlign w:val="center"/>
          </w:tcPr>
          <w:p>
            <w:pPr>
              <w:pStyle w:val="14"/>
            </w:pPr>
            <w:r>
              <w:t>系统网络平台及时运行维护情况占系统网络平台情况的比例</w:t>
            </w:r>
          </w:p>
        </w:tc>
        <w:tc>
          <w:tcPr>
            <w:tcW w:w="2551" w:type="dxa"/>
            <w:vAlign w:val="center"/>
          </w:tcPr>
          <w:p>
            <w:pPr>
              <w:pStyle w:val="14"/>
            </w:pPr>
            <w:r>
              <w:t>≥95%</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≥90%</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机构编制实名制覆盖率</w:t>
            </w:r>
          </w:p>
        </w:tc>
        <w:tc>
          <w:tcPr>
            <w:tcW w:w="2835" w:type="dxa"/>
            <w:vAlign w:val="center"/>
          </w:tcPr>
          <w:p>
            <w:pPr>
              <w:pStyle w:val="14"/>
            </w:pPr>
            <w:r>
              <w:t>机构编制实名制覆盖情况</w:t>
            </w:r>
          </w:p>
        </w:tc>
        <w:tc>
          <w:tcPr>
            <w:tcW w:w="2551" w:type="dxa"/>
            <w:vAlign w:val="center"/>
          </w:tcPr>
          <w:p>
            <w:pPr>
              <w:pStyle w:val="14"/>
            </w:pPr>
            <w:r>
              <w:t>100%</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机构编制实名制双平台制度覆盖</w:t>
            </w:r>
          </w:p>
        </w:tc>
        <w:tc>
          <w:tcPr>
            <w:tcW w:w="2835" w:type="dxa"/>
            <w:vAlign w:val="center"/>
          </w:tcPr>
          <w:p>
            <w:pPr>
              <w:pStyle w:val="14"/>
            </w:pPr>
            <w:r>
              <w:t>机构编制实名制信息管理双平台制度覆盖的比例</w:t>
            </w:r>
          </w:p>
        </w:tc>
        <w:tc>
          <w:tcPr>
            <w:tcW w:w="2551" w:type="dxa"/>
            <w:vAlign w:val="center"/>
          </w:tcPr>
          <w:p>
            <w:pPr>
              <w:pStyle w:val="14"/>
            </w:pPr>
            <w:r>
              <w:t>100%</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机构编制改革满意度</w:t>
            </w:r>
          </w:p>
        </w:tc>
        <w:tc>
          <w:tcPr>
            <w:tcW w:w="2835" w:type="dxa"/>
            <w:vAlign w:val="center"/>
          </w:tcPr>
          <w:p>
            <w:pPr>
              <w:pStyle w:val="14"/>
            </w:pPr>
            <w:r>
              <w:t>各单位机构编制改革的满意度</w:t>
            </w:r>
          </w:p>
        </w:tc>
        <w:tc>
          <w:tcPr>
            <w:tcW w:w="2551" w:type="dxa"/>
            <w:vAlign w:val="center"/>
          </w:tcPr>
          <w:p>
            <w:pPr>
              <w:pStyle w:val="14"/>
            </w:pPr>
            <w:r>
              <w:t>≥95%</w:t>
            </w:r>
          </w:p>
        </w:tc>
        <w:tc>
          <w:tcPr>
            <w:tcW w:w="2268"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2、网上名称注册及维护费绩效目标表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1.根据市编办印发《关于做好网上名称管理工作的紧急通知》精神，我区现有党政群机关单位注册域名总数57个，2021年实现党政机关互联网网站挂标“全覆盖”。</w:t>
            </w:r>
          </w:p>
          <w:p>
            <w:pPr>
              <w:pStyle w:val="14"/>
            </w:pPr>
            <w:r>
              <w:t>2.根据市编办印发《关于做好网上名称管理工作的紧急通知》精神，我区现有事业单位注册域名总数373个，2021年实现事业单位互联网网站挂标“全覆盖”。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各项综合事务工作完成率</w:t>
            </w:r>
          </w:p>
        </w:tc>
        <w:tc>
          <w:tcPr>
            <w:tcW w:w="2835" w:type="dxa"/>
            <w:vAlign w:val="center"/>
          </w:tcPr>
          <w:p>
            <w:pPr>
              <w:pStyle w:val="14"/>
            </w:pPr>
            <w:r>
              <w:t>各项综合事务完成情况</w:t>
            </w:r>
          </w:p>
        </w:tc>
        <w:tc>
          <w:tcPr>
            <w:tcW w:w="2551" w:type="dxa"/>
            <w:vAlign w:val="center"/>
          </w:tcPr>
          <w:p>
            <w:pPr>
              <w:pStyle w:val="14"/>
            </w:pPr>
            <w:r>
              <w:t>≥95%</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≥90%</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系统网络平台有效运行率</w:t>
            </w:r>
          </w:p>
        </w:tc>
        <w:tc>
          <w:tcPr>
            <w:tcW w:w="2835" w:type="dxa"/>
            <w:vAlign w:val="center"/>
          </w:tcPr>
          <w:p>
            <w:pPr>
              <w:pStyle w:val="14"/>
            </w:pPr>
            <w:r>
              <w:t>系统网络平台有效运行情况占系统平台综合事务完成情况</w:t>
            </w:r>
          </w:p>
        </w:tc>
        <w:tc>
          <w:tcPr>
            <w:tcW w:w="2551" w:type="dxa"/>
            <w:vAlign w:val="center"/>
          </w:tcPr>
          <w:p>
            <w:pPr>
              <w:pStyle w:val="14"/>
            </w:pPr>
            <w:r>
              <w:t>≥95%</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系统网络平台维护率</w:t>
            </w:r>
          </w:p>
        </w:tc>
        <w:tc>
          <w:tcPr>
            <w:tcW w:w="2835" w:type="dxa"/>
            <w:vAlign w:val="center"/>
          </w:tcPr>
          <w:p>
            <w:pPr>
              <w:pStyle w:val="14"/>
            </w:pPr>
            <w:r>
              <w:t>系统网络平台维护占系统网络平台维护运行情况的比例</w:t>
            </w:r>
          </w:p>
        </w:tc>
        <w:tc>
          <w:tcPr>
            <w:tcW w:w="2551" w:type="dxa"/>
            <w:vAlign w:val="center"/>
          </w:tcPr>
          <w:p>
            <w:pPr>
              <w:pStyle w:val="14"/>
            </w:pPr>
            <w:r>
              <w:t>≥95%</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内网网络平台互联互通覆盖率</w:t>
            </w:r>
          </w:p>
        </w:tc>
        <w:tc>
          <w:tcPr>
            <w:tcW w:w="2835" w:type="dxa"/>
            <w:vAlign w:val="center"/>
          </w:tcPr>
          <w:p>
            <w:pPr>
              <w:pStyle w:val="14"/>
            </w:pPr>
            <w:r>
              <w:t>内网网络平台互联互通覆盖率</w:t>
            </w:r>
          </w:p>
        </w:tc>
        <w:tc>
          <w:tcPr>
            <w:tcW w:w="2551" w:type="dxa"/>
            <w:vAlign w:val="center"/>
          </w:tcPr>
          <w:p>
            <w:pPr>
              <w:pStyle w:val="14"/>
            </w:pPr>
            <w:r>
              <w:t>100%</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机构编制实名制覆盖率</w:t>
            </w:r>
          </w:p>
        </w:tc>
        <w:tc>
          <w:tcPr>
            <w:tcW w:w="2835" w:type="dxa"/>
            <w:vAlign w:val="center"/>
          </w:tcPr>
          <w:p>
            <w:pPr>
              <w:pStyle w:val="14"/>
            </w:pPr>
            <w:r>
              <w:t>机构编制实名制覆盖情况</w:t>
            </w:r>
          </w:p>
        </w:tc>
        <w:tc>
          <w:tcPr>
            <w:tcW w:w="2551" w:type="dxa"/>
            <w:vAlign w:val="center"/>
          </w:tcPr>
          <w:p>
            <w:pPr>
              <w:pStyle w:val="14"/>
            </w:pPr>
            <w:r>
              <w:t>100%</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机构编制实名制信息管理双平台制度覆盖</w:t>
            </w:r>
          </w:p>
        </w:tc>
        <w:tc>
          <w:tcPr>
            <w:tcW w:w="2835" w:type="dxa"/>
            <w:vAlign w:val="center"/>
          </w:tcPr>
          <w:p>
            <w:pPr>
              <w:pStyle w:val="14"/>
            </w:pPr>
            <w:r>
              <w:t>机构编制实名制信息管理双平台制度覆盖的比例</w:t>
            </w:r>
          </w:p>
        </w:tc>
        <w:tc>
          <w:tcPr>
            <w:tcW w:w="2551" w:type="dxa"/>
            <w:vAlign w:val="center"/>
          </w:tcPr>
          <w:p>
            <w:pPr>
              <w:pStyle w:val="14"/>
            </w:pPr>
            <w:r>
              <w:t>100%</w:t>
            </w:r>
          </w:p>
        </w:tc>
        <w:tc>
          <w:tcPr>
            <w:tcW w:w="2268"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党政群机关及事业单位域名注册维护满意度</w:t>
            </w:r>
          </w:p>
        </w:tc>
        <w:tc>
          <w:tcPr>
            <w:tcW w:w="2835" w:type="dxa"/>
            <w:vAlign w:val="center"/>
          </w:tcPr>
          <w:p>
            <w:pPr>
              <w:pStyle w:val="14"/>
            </w:pPr>
            <w:r>
              <w:t>党政群机关及事业单位域名注册维护满意程度</w:t>
            </w:r>
          </w:p>
        </w:tc>
        <w:tc>
          <w:tcPr>
            <w:tcW w:w="2551" w:type="dxa"/>
            <w:vAlign w:val="center"/>
          </w:tcPr>
          <w:p>
            <w:pPr>
              <w:pStyle w:val="14"/>
            </w:pPr>
            <w:r>
              <w:t>≥95%</w:t>
            </w:r>
          </w:p>
        </w:tc>
        <w:tc>
          <w:tcPr>
            <w:tcW w:w="2268"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2022年，中国共产党唐山市丰南区委员会机构编制委员会办公室本级安排政府采购预算</w:t>
      </w:r>
      <w:r>
        <w:rPr>
          <w:rFonts w:hint="eastAsia" w:asciiTheme="minorEastAsia" w:hAnsiTheme="minorEastAsia" w:eastAsiaTheme="minorEastAsia" w:cstheme="minorEastAsia"/>
          <w:b w:val="0"/>
          <w:color w:val="000000"/>
          <w:sz w:val="28"/>
          <w:szCs w:val="28"/>
          <w:lang w:val="en-US" w:eastAsia="zh-CN"/>
        </w:rPr>
        <w:t>2.9</w:t>
      </w:r>
      <w:r>
        <w:rPr>
          <w:rFonts w:hint="eastAsia" w:asciiTheme="minorEastAsia" w:hAnsiTheme="minorEastAsia" w:eastAsiaTheme="minorEastAsia" w:cstheme="minorEastAsia"/>
          <w:b w:val="0"/>
          <w:color w:val="000000"/>
          <w:sz w:val="28"/>
          <w:szCs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748"/>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0" w:type="dxa"/>
            <w:vAlign w:val="center"/>
          </w:tcPr>
          <w:p>
            <w:pPr>
              <w:pStyle w:val="12"/>
            </w:pPr>
            <w:r>
              <w:t>项目名称</w:t>
            </w:r>
          </w:p>
        </w:tc>
        <w:tc>
          <w:tcPr>
            <w:tcW w:w="748"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pPr>
              <w:pStyle w:val="14"/>
              <w:rPr>
                <w:rFonts w:hint="eastAsia" w:eastAsia="方正书宋_GBK"/>
                <w:lang w:val="en-US" w:eastAsia="zh-CN"/>
              </w:rPr>
            </w:pPr>
            <w:r>
              <w:rPr>
                <w:rFonts w:hint="eastAsia"/>
                <w:lang w:val="en-US" w:eastAsia="zh-CN"/>
              </w:rPr>
              <w:t>合计</w:t>
            </w:r>
          </w:p>
        </w:tc>
        <w:tc>
          <w:tcPr>
            <w:tcW w:w="748" w:type="dxa"/>
            <w:vAlign w:val="center"/>
          </w:tcPr>
          <w:p>
            <w:pPr>
              <w:pStyle w:val="13"/>
              <w:rPr>
                <w:rFonts w:hint="default" w:eastAsia="方正书宋_GBK"/>
                <w:lang w:val="en-US" w:eastAsia="zh-CN"/>
              </w:rPr>
            </w:pPr>
          </w:p>
        </w:tc>
        <w:tc>
          <w:tcPr>
            <w:tcW w:w="924" w:type="dxa"/>
            <w:vAlign w:val="center"/>
          </w:tcPr>
          <w:p>
            <w:pPr>
              <w:pStyle w:val="14"/>
              <w:rPr>
                <w:rFonts w:hint="eastAsia" w:eastAsia="方正书宋_GBK"/>
                <w:lang w:val="en-US" w:eastAsia="zh-CN"/>
              </w:rPr>
            </w:pPr>
          </w:p>
        </w:tc>
        <w:tc>
          <w:tcPr>
            <w:tcW w:w="924" w:type="dxa"/>
            <w:vAlign w:val="center"/>
          </w:tcPr>
          <w:p>
            <w:pPr>
              <w:pStyle w:val="14"/>
            </w:pPr>
          </w:p>
        </w:tc>
        <w:tc>
          <w:tcPr>
            <w:tcW w:w="924" w:type="dxa"/>
            <w:vAlign w:val="center"/>
          </w:tcPr>
          <w:p>
            <w:pPr>
              <w:pStyle w:val="15"/>
              <w:rPr>
                <w:rFonts w:hint="eastAsia" w:eastAsia="方正书宋_GBK"/>
                <w:lang w:val="en-US" w:eastAsia="zh-CN"/>
              </w:rPr>
            </w:pPr>
          </w:p>
        </w:tc>
        <w:tc>
          <w:tcPr>
            <w:tcW w:w="924" w:type="dxa"/>
            <w:vAlign w:val="center"/>
          </w:tcPr>
          <w:p>
            <w:pPr>
              <w:pStyle w:val="13"/>
              <w:rPr>
                <w:rFonts w:hint="eastAsia"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pPr>
              <w:pStyle w:val="14"/>
            </w:pPr>
          </w:p>
        </w:tc>
        <w:tc>
          <w:tcPr>
            <w:tcW w:w="748" w:type="dxa"/>
            <w:vAlign w:val="center"/>
          </w:tcPr>
          <w:p>
            <w:pPr>
              <w:pStyle w:val="13"/>
            </w:pPr>
          </w:p>
        </w:tc>
        <w:tc>
          <w:tcPr>
            <w:tcW w:w="924" w:type="dxa"/>
            <w:vAlign w:val="center"/>
          </w:tcPr>
          <w:p>
            <w:pPr>
              <w:pStyle w:val="14"/>
              <w:rPr>
                <w:rFonts w:hint="eastAsia" w:eastAsia="方正书宋_GBK"/>
                <w:lang w:val="en-US" w:eastAsia="zh-CN"/>
              </w:rPr>
            </w:pPr>
          </w:p>
        </w:tc>
        <w:tc>
          <w:tcPr>
            <w:tcW w:w="924" w:type="dxa"/>
            <w:vAlign w:val="center"/>
          </w:tcPr>
          <w:p>
            <w:pPr>
              <w:pStyle w:val="14"/>
            </w:pPr>
          </w:p>
        </w:tc>
        <w:tc>
          <w:tcPr>
            <w:tcW w:w="924" w:type="dxa"/>
            <w:vAlign w:val="center"/>
          </w:tcPr>
          <w:p>
            <w:pPr>
              <w:pStyle w:val="15"/>
              <w:rPr>
                <w:rFonts w:hint="eastAsia" w:eastAsia="方正书宋_GBK"/>
                <w:lang w:val="en-US" w:eastAsia="zh-CN"/>
              </w:rPr>
            </w:pPr>
          </w:p>
        </w:tc>
        <w:tc>
          <w:tcPr>
            <w:tcW w:w="924" w:type="dxa"/>
            <w:vAlign w:val="center"/>
          </w:tcPr>
          <w:p>
            <w:pPr>
              <w:pStyle w:val="13"/>
              <w:rPr>
                <w:rFonts w:hint="eastAsia"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pPr>
              <w:pStyle w:val="14"/>
              <w:rPr>
                <w:rFonts w:hint="eastAsia" w:eastAsia="方正书宋_GBK"/>
                <w:lang w:val="en-US" w:eastAsia="zh-CN"/>
              </w:rPr>
            </w:pPr>
            <w:r>
              <w:rPr>
                <w:rFonts w:hint="eastAsia"/>
                <w:lang w:val="en-US" w:eastAsia="zh-CN"/>
              </w:rPr>
              <w:t>本级小计</w:t>
            </w:r>
          </w:p>
        </w:tc>
        <w:tc>
          <w:tcPr>
            <w:tcW w:w="748"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rPr>
                <w:rFonts w:hint="default"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color w:val="000000"/>
          <w:sz w:val="28"/>
          <w:szCs w:val="28"/>
        </w:rPr>
        <w:t>中国共产党唐山市丰南区委员会机构编制委员会办公室本级上年末固定资产金额为</w:t>
      </w:r>
      <w:r>
        <w:rPr>
          <w:rFonts w:hint="eastAsia" w:asciiTheme="minorEastAsia" w:hAnsiTheme="minorEastAsia" w:eastAsiaTheme="minorEastAsia" w:cstheme="minorEastAsia"/>
          <w:b w:val="0"/>
          <w:color w:val="000000"/>
          <w:sz w:val="28"/>
          <w:szCs w:val="28"/>
          <w:lang w:val="en-US" w:eastAsia="zh-CN"/>
        </w:rPr>
        <w:t>33.83</w:t>
      </w:r>
      <w:r>
        <w:rPr>
          <w:rFonts w:hint="eastAsia" w:asciiTheme="minorEastAsia" w:hAnsiTheme="minorEastAsia" w:eastAsiaTheme="minorEastAsia" w:cstheme="minorEastAsia"/>
          <w:b w:val="0"/>
          <w:color w:val="000000"/>
          <w:sz w:val="28"/>
          <w:szCs w:val="28"/>
        </w:rPr>
        <w:t>万元（详见下表）</w:t>
      </w:r>
      <w:r>
        <w:rPr>
          <w:rFonts w:hint="eastAsia" w:asciiTheme="minorEastAsia" w:hAnsiTheme="minorEastAsia" w:eastAsiaTheme="minorEastAsia" w:cstheme="minorEastAsia"/>
          <w:b w:val="0"/>
          <w:color w:val="000000"/>
          <w:sz w:val="28"/>
          <w:szCs w:val="28"/>
          <w:lang w:eastAsia="zh-CN"/>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bookmarkStart w:id="1" w:name="_GoBack"/>
      <w:bookmarkEnd w:id="1"/>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312001中国共产党唐山市丰南区委员会机构编制委员会办公室本级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4933" w:type="dxa"/>
            <w:vAlign w:val="center"/>
          </w:tcPr>
          <w:p>
            <w:pPr>
              <w:spacing w:line="300" w:lineRule="exact"/>
              <w:jc w:val="center"/>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33..83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4933" w:type="dxa"/>
            <w:vAlign w:val="center"/>
          </w:tcPr>
          <w:p>
            <w:pPr>
              <w:spacing w:line="300" w:lineRule="exact"/>
              <w:jc w:val="center"/>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p>
        </w:tc>
        <w:tc>
          <w:tcPr>
            <w:tcW w:w="4933" w:type="dxa"/>
            <w:vAlign w:val="center"/>
          </w:tcPr>
          <w:p>
            <w:pPr>
              <w:spacing w:line="300" w:lineRule="exact"/>
              <w:jc w:val="righ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4933" w:type="dxa"/>
            <w:vAlign w:val="center"/>
          </w:tcPr>
          <w:p>
            <w:pPr>
              <w:spacing w:line="300" w:lineRule="exact"/>
              <w:jc w:val="center"/>
              <w:rPr>
                <w:rFonts w:hint="eastAsia"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4933" w:type="dxa"/>
            <w:vAlign w:val="center"/>
          </w:tcPr>
          <w:p>
            <w:pPr>
              <w:spacing w:line="300" w:lineRule="exact"/>
              <w:jc w:val="center"/>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23.54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1、</w:t>
      </w:r>
      <w:r>
        <w:rPr>
          <w:rFonts w:hint="eastAsia" w:asciiTheme="minorEastAsia" w:hAnsiTheme="minorEastAsia" w:eastAsiaTheme="minorEastAsia" w:cstheme="minorEastAsia"/>
          <w:b/>
          <w:color w:val="000000"/>
          <w:sz w:val="28"/>
          <w:szCs w:val="28"/>
        </w:rPr>
        <w:t>一般公共预算拨款收入：</w:t>
      </w:r>
      <w:r>
        <w:rPr>
          <w:rFonts w:hint="eastAsia" w:asciiTheme="minorEastAsia" w:hAnsiTheme="minorEastAsia" w:eastAsiaTheme="minorEastAsia" w:cstheme="minorEastAsia"/>
          <w:b w:val="0"/>
          <w:color w:val="000000"/>
          <w:sz w:val="28"/>
          <w:szCs w:val="28"/>
        </w:rPr>
        <w:t>指</w:t>
      </w:r>
      <w:r>
        <w:rPr>
          <w:rFonts w:hint="eastAsia" w:asciiTheme="minorEastAsia" w:hAnsiTheme="minorEastAsia" w:eastAsiaTheme="minorEastAsia" w:cstheme="minorEastAsia"/>
          <w:b w:val="0"/>
          <w:color w:val="000000"/>
          <w:sz w:val="28"/>
          <w:szCs w:val="28"/>
          <w:lang w:val="en-US" w:eastAsia="zh-CN"/>
        </w:rPr>
        <w:t>区</w:t>
      </w:r>
      <w:r>
        <w:rPr>
          <w:rFonts w:hint="eastAsia" w:asciiTheme="minorEastAsia" w:hAnsiTheme="minorEastAsia" w:eastAsiaTheme="minorEastAsia" w:cstheme="minorEastAsia"/>
          <w:b w:val="0"/>
          <w:color w:val="000000"/>
          <w:sz w:val="28"/>
          <w:szCs w:val="28"/>
        </w:rPr>
        <w:t>级财政当年拨付的资金。</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2、</w:t>
      </w:r>
      <w:r>
        <w:rPr>
          <w:rFonts w:hint="eastAsia" w:asciiTheme="minorEastAsia" w:hAnsiTheme="minorEastAsia" w:eastAsiaTheme="minorEastAsia" w:cstheme="minorEastAsia"/>
          <w:b/>
          <w:color w:val="000000"/>
          <w:sz w:val="28"/>
          <w:szCs w:val="28"/>
        </w:rPr>
        <w:t>事业收入：</w:t>
      </w:r>
      <w:r>
        <w:rPr>
          <w:rFonts w:hint="eastAsia" w:asciiTheme="minorEastAsia" w:hAnsiTheme="minorEastAsia" w:eastAsiaTheme="minorEastAsia" w:cstheme="minorEastAsia"/>
          <w:b w:val="0"/>
          <w:color w:val="000000"/>
          <w:sz w:val="28"/>
          <w:szCs w:val="28"/>
        </w:rPr>
        <w:t>指事业单位开展专业业务活动及辅助活动所取得的收入。</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3、</w:t>
      </w:r>
      <w:r>
        <w:rPr>
          <w:rFonts w:hint="eastAsia" w:asciiTheme="minorEastAsia" w:hAnsiTheme="minorEastAsia" w:eastAsiaTheme="minorEastAsia" w:cstheme="minorEastAsia"/>
          <w:b/>
          <w:color w:val="000000"/>
          <w:sz w:val="28"/>
          <w:szCs w:val="28"/>
        </w:rPr>
        <w:t>其他收入：</w:t>
      </w:r>
      <w:r>
        <w:rPr>
          <w:rFonts w:hint="eastAsia" w:asciiTheme="minorEastAsia" w:hAnsiTheme="minorEastAsia" w:eastAsiaTheme="minorEastAsia" w:cstheme="minorEastAsia"/>
          <w:b w:val="0"/>
          <w:color w:val="000000"/>
          <w:sz w:val="28"/>
          <w:szCs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4、</w:t>
      </w:r>
      <w:r>
        <w:rPr>
          <w:rFonts w:hint="eastAsia" w:asciiTheme="minorEastAsia" w:hAnsiTheme="minorEastAsia" w:eastAsiaTheme="minorEastAsia" w:cstheme="minorEastAsia"/>
          <w:b/>
          <w:color w:val="000000"/>
          <w:sz w:val="28"/>
          <w:szCs w:val="28"/>
        </w:rPr>
        <w:t>基本支出：</w:t>
      </w:r>
      <w:r>
        <w:rPr>
          <w:rFonts w:hint="eastAsia" w:asciiTheme="minorEastAsia" w:hAnsiTheme="minorEastAsia" w:eastAsiaTheme="minorEastAsia" w:cstheme="minorEastAsia"/>
          <w:b w:val="0"/>
          <w:color w:val="000000"/>
          <w:sz w:val="28"/>
          <w:szCs w:val="28"/>
        </w:rPr>
        <w:t>指为保障机构正常运转、完成日常工作任务而发生的人员支出和公用支出。</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5、</w:t>
      </w:r>
      <w:r>
        <w:rPr>
          <w:rFonts w:hint="eastAsia" w:asciiTheme="minorEastAsia" w:hAnsiTheme="minorEastAsia" w:eastAsiaTheme="minorEastAsia" w:cstheme="minorEastAsia"/>
          <w:b/>
          <w:color w:val="000000"/>
          <w:sz w:val="28"/>
          <w:szCs w:val="28"/>
        </w:rPr>
        <w:t>项目支出：</w:t>
      </w:r>
      <w:r>
        <w:rPr>
          <w:rFonts w:hint="eastAsia" w:asciiTheme="minorEastAsia" w:hAnsiTheme="minorEastAsia" w:eastAsiaTheme="minorEastAsia" w:cstheme="minorEastAsia"/>
          <w:b w:val="0"/>
          <w:color w:val="000000"/>
          <w:sz w:val="28"/>
          <w:szCs w:val="28"/>
        </w:rPr>
        <w:t>指在基本支出之外为完成特定行政任务和事业发展目标所发生的支出。</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6、</w:t>
      </w:r>
      <w:r>
        <w:rPr>
          <w:rFonts w:hint="eastAsia" w:asciiTheme="minorEastAsia" w:hAnsiTheme="minorEastAsia" w:eastAsiaTheme="minorEastAsia" w:cstheme="minorEastAsia"/>
          <w:b/>
          <w:color w:val="000000"/>
          <w:sz w:val="28"/>
          <w:szCs w:val="28"/>
        </w:rPr>
        <w:t>上缴上级支出：</w:t>
      </w:r>
      <w:r>
        <w:rPr>
          <w:rFonts w:hint="eastAsia" w:asciiTheme="minorEastAsia" w:hAnsiTheme="minorEastAsia" w:eastAsiaTheme="minorEastAsia" w:cstheme="minorEastAsia"/>
          <w:b w:val="0"/>
          <w:color w:val="000000"/>
          <w:sz w:val="28"/>
          <w:szCs w:val="28"/>
        </w:rPr>
        <w:t>指下级单位上缴上级的支出。</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7、</w:t>
      </w:r>
      <w:r>
        <w:rPr>
          <w:rFonts w:hint="eastAsia" w:asciiTheme="minorEastAsia" w:hAnsiTheme="minorEastAsia" w:eastAsiaTheme="minorEastAsia" w:cstheme="minorEastAsia"/>
          <w:b/>
          <w:color w:val="000000"/>
          <w:sz w:val="28"/>
          <w:szCs w:val="28"/>
        </w:rPr>
        <w:t>“三公”经费：</w:t>
      </w:r>
      <w:r>
        <w:rPr>
          <w:rFonts w:hint="eastAsia" w:asciiTheme="minorEastAsia" w:hAnsiTheme="minorEastAsia" w:eastAsiaTheme="minorEastAsia" w:cstheme="minorEastAsia"/>
          <w:b w:val="0"/>
          <w:color w:val="000000"/>
          <w:sz w:val="28"/>
          <w:szCs w:val="28"/>
        </w:rPr>
        <w:t>纳入</w:t>
      </w:r>
      <w:r>
        <w:rPr>
          <w:rFonts w:hint="eastAsia" w:asciiTheme="minorEastAsia" w:hAnsiTheme="minorEastAsia" w:eastAsiaTheme="minorEastAsia" w:cstheme="minorEastAsia"/>
          <w:b w:val="0"/>
          <w:color w:val="000000"/>
          <w:sz w:val="28"/>
          <w:szCs w:val="28"/>
          <w:lang w:val="en-US" w:eastAsia="zh-CN"/>
        </w:rPr>
        <w:t>区</w:t>
      </w:r>
      <w:r>
        <w:rPr>
          <w:rFonts w:hint="eastAsia" w:asciiTheme="minorEastAsia" w:hAnsiTheme="minorEastAsia" w:eastAsiaTheme="minorEastAsia" w:cstheme="minorEastAsia"/>
          <w:b w:val="0"/>
          <w:color w:val="000000"/>
          <w:sz w:val="28"/>
          <w:szCs w:val="28"/>
        </w:rPr>
        <w:t>级财政预算管理的“三公”经费，是指预算</w:t>
      </w:r>
      <w:r>
        <w:rPr>
          <w:rFonts w:hint="eastAsia" w:asciiTheme="minorEastAsia" w:hAnsiTheme="minorEastAsia" w:eastAsiaTheme="minorEastAsia" w:cstheme="minorEastAsia"/>
          <w:b w:val="0"/>
          <w:color w:val="000000"/>
          <w:sz w:val="28"/>
          <w:szCs w:val="28"/>
          <w:lang w:eastAsia="zh-CN"/>
        </w:rPr>
        <w:t>单位</w:t>
      </w:r>
      <w:r>
        <w:rPr>
          <w:rFonts w:hint="eastAsia" w:asciiTheme="minorEastAsia" w:hAnsiTheme="minorEastAsia" w:eastAsiaTheme="minorEastAsia" w:cstheme="minorEastAsia"/>
          <w:b w:val="0"/>
          <w:color w:val="000000"/>
          <w:sz w:val="28"/>
          <w:szCs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8、</w:t>
      </w:r>
      <w:r>
        <w:rPr>
          <w:rFonts w:hint="eastAsia" w:asciiTheme="minorEastAsia" w:hAnsiTheme="minorEastAsia" w:eastAsiaTheme="minorEastAsia" w:cstheme="minorEastAsia"/>
          <w:b/>
          <w:color w:val="000000"/>
          <w:sz w:val="28"/>
          <w:szCs w:val="28"/>
        </w:rPr>
        <w:t>机关运行费：</w:t>
      </w:r>
      <w:r>
        <w:rPr>
          <w:rFonts w:hint="eastAsia" w:asciiTheme="minorEastAsia" w:hAnsiTheme="minorEastAsia" w:eastAsiaTheme="minorEastAsia" w:cstheme="minorEastAsia"/>
          <w:b w:val="0"/>
          <w:color w:val="000000"/>
          <w:sz w:val="28"/>
          <w:szCs w:val="28"/>
        </w:rPr>
        <w:t>是指各</w:t>
      </w:r>
      <w:r>
        <w:rPr>
          <w:rFonts w:hint="eastAsia" w:asciiTheme="minorEastAsia" w:hAnsiTheme="minorEastAsia" w:eastAsiaTheme="minorEastAsia" w:cstheme="minorEastAsia"/>
          <w:b w:val="0"/>
          <w:color w:val="000000"/>
          <w:sz w:val="28"/>
          <w:szCs w:val="28"/>
          <w:lang w:eastAsia="zh-CN"/>
        </w:rPr>
        <w:t>单位</w:t>
      </w:r>
      <w:r>
        <w:rPr>
          <w:rFonts w:hint="eastAsia" w:asciiTheme="minorEastAsia" w:hAnsiTheme="minorEastAsia" w:eastAsiaTheme="minorEastAsia" w:cstheme="minorEastAsia"/>
          <w:b w:val="0"/>
          <w:color w:val="000000"/>
          <w:sz w:val="28"/>
          <w:szCs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9、</w:t>
      </w:r>
      <w:r>
        <w:rPr>
          <w:rFonts w:hint="eastAsia" w:asciiTheme="minorEastAsia" w:hAnsiTheme="minorEastAsia" w:eastAsiaTheme="minorEastAsia" w:cstheme="minorEastAsia"/>
          <w:b/>
          <w:color w:val="000000"/>
          <w:sz w:val="28"/>
          <w:szCs w:val="28"/>
        </w:rPr>
        <w:t>上年结转：</w:t>
      </w:r>
      <w:r>
        <w:rPr>
          <w:rFonts w:hint="eastAsia" w:asciiTheme="minorEastAsia" w:hAnsiTheme="minorEastAsia" w:eastAsiaTheme="minorEastAsia" w:cstheme="minorEastAsia"/>
          <w:b w:val="0"/>
          <w:color w:val="000000"/>
          <w:sz w:val="28"/>
          <w:szCs w:val="28"/>
        </w:rPr>
        <w:t>指以前年度尚未完成、结转到本年仍按原规定用途继续使用的资金。</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10、</w:t>
      </w:r>
      <w:r>
        <w:rPr>
          <w:rFonts w:hint="eastAsia" w:asciiTheme="minorEastAsia" w:hAnsiTheme="minorEastAsia" w:eastAsiaTheme="minorEastAsia" w:cstheme="minorEastAsia"/>
          <w:b/>
          <w:color w:val="000000"/>
          <w:sz w:val="28"/>
          <w:szCs w:val="28"/>
        </w:rPr>
        <w:t>事业单位经营支出：</w:t>
      </w:r>
      <w:r>
        <w:rPr>
          <w:rFonts w:hint="eastAsia" w:asciiTheme="minorEastAsia" w:hAnsiTheme="minorEastAsia" w:eastAsiaTheme="minorEastAsia" w:cstheme="minorEastAsia"/>
          <w:b w:val="0"/>
          <w:color w:val="000000"/>
          <w:sz w:val="28"/>
          <w:szCs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240" w:lineRule="auto"/>
        <w:ind w:firstLine="840" w:firstLineChars="300"/>
        <w:jc w:val="both"/>
        <w:outlineLvl w:val="9"/>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lang w:eastAsia="zh-CN"/>
        </w:rPr>
        <w:t>单位</w:t>
      </w:r>
      <w:r>
        <w:rPr>
          <w:rFonts w:hint="eastAsia" w:asciiTheme="minorEastAsia" w:hAnsiTheme="minorEastAsia" w:eastAsiaTheme="minorEastAsia" w:cstheme="minorEastAsia"/>
          <w:b w:val="0"/>
          <w:color w:val="000000"/>
          <w:sz w:val="28"/>
          <w:szCs w:val="28"/>
        </w:rPr>
        <w:t>预算政府性基金预算财政拨款支出表，此表无数据，因本单位不涉及政府性基金，因此无数据；</w:t>
      </w:r>
    </w:p>
    <w:p>
      <w:pPr>
        <w:spacing w:before="0" w:after="0" w:line="240" w:lineRule="auto"/>
        <w:ind w:firstLine="840" w:firstLineChars="300"/>
        <w:jc w:val="both"/>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lang w:eastAsia="zh-CN"/>
        </w:rPr>
        <w:t>单位</w:t>
      </w:r>
      <w:r>
        <w:rPr>
          <w:rFonts w:hint="eastAsia" w:asciiTheme="minorEastAsia" w:hAnsiTheme="minorEastAsia" w:eastAsiaTheme="minorEastAsia" w:cstheme="minorEastAsia"/>
          <w:b w:val="0"/>
          <w:color w:val="000000"/>
          <w:sz w:val="28"/>
          <w:szCs w:val="28"/>
        </w:rPr>
        <w:t>预算国有资本经营预算财政拨款支出表，此表无数据，因本单位不涉及国有资本经营，因此无数据</w:t>
      </w:r>
      <w:r>
        <w:rPr>
          <w:rFonts w:hint="eastAsia" w:asciiTheme="minorEastAsia" w:hAnsiTheme="minorEastAsia" w:eastAsiaTheme="minorEastAsia" w:cstheme="minorEastAsia"/>
          <w:color w:val="000000"/>
          <w:sz w:val="28"/>
          <w:szCs w:val="28"/>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60B24"/>
    <w:multiLevelType w:val="multilevel"/>
    <w:tmpl w:val="5C160B24"/>
    <w:lvl w:ilvl="0" w:tentative="0">
      <w:start w:val="1"/>
      <w:numFmt w:val="decimal"/>
      <w:lvlText w:val="%1、"/>
      <w:lvlJc w:val="left"/>
      <w:pPr>
        <w:ind w:left="1570" w:hanging="1008"/>
      </w:pPr>
      <w:rPr>
        <w:color w:val="000000" w:themeColor="text1"/>
        <w14:textFill>
          <w14:solidFill>
            <w14:schemeClr w14:val="tx1"/>
          </w14:solidFill>
        </w14:textFil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MDA2ZTVmNmU1Y2M5YzhmZWEyNzI0YTNlMzgzOWQifQ=="/>
  </w:docVars>
  <w:rsids>
    <w:rsidRoot w:val="00172A27"/>
    <w:rsid w:val="00D72607"/>
    <w:rsid w:val="00F705B3"/>
    <w:rsid w:val="027F0546"/>
    <w:rsid w:val="04A50A57"/>
    <w:rsid w:val="060B398C"/>
    <w:rsid w:val="06D3561E"/>
    <w:rsid w:val="08386081"/>
    <w:rsid w:val="09903C9B"/>
    <w:rsid w:val="0B651A09"/>
    <w:rsid w:val="0E175161"/>
    <w:rsid w:val="0EA55AF2"/>
    <w:rsid w:val="11166833"/>
    <w:rsid w:val="183F0D66"/>
    <w:rsid w:val="1A3A6D2A"/>
    <w:rsid w:val="20344555"/>
    <w:rsid w:val="20971013"/>
    <w:rsid w:val="265359DC"/>
    <w:rsid w:val="29C841B9"/>
    <w:rsid w:val="2B1C6CE5"/>
    <w:rsid w:val="2E9655E6"/>
    <w:rsid w:val="312132A7"/>
    <w:rsid w:val="31A43590"/>
    <w:rsid w:val="31EB1F9F"/>
    <w:rsid w:val="32FE389F"/>
    <w:rsid w:val="347E456C"/>
    <w:rsid w:val="349D494B"/>
    <w:rsid w:val="36594482"/>
    <w:rsid w:val="3F9D5862"/>
    <w:rsid w:val="40273D0A"/>
    <w:rsid w:val="42274495"/>
    <w:rsid w:val="42717F20"/>
    <w:rsid w:val="43CF288E"/>
    <w:rsid w:val="46895B79"/>
    <w:rsid w:val="47484E32"/>
    <w:rsid w:val="49BA174B"/>
    <w:rsid w:val="4A1C3F43"/>
    <w:rsid w:val="4ACC3D24"/>
    <w:rsid w:val="4DBE71F3"/>
    <w:rsid w:val="4EBE20E6"/>
    <w:rsid w:val="502838B2"/>
    <w:rsid w:val="50355FCF"/>
    <w:rsid w:val="518C7E71"/>
    <w:rsid w:val="52AE47A6"/>
    <w:rsid w:val="54063F0A"/>
    <w:rsid w:val="550D12C8"/>
    <w:rsid w:val="5675755A"/>
    <w:rsid w:val="58883A0E"/>
    <w:rsid w:val="5B3F62D1"/>
    <w:rsid w:val="5BEC60DC"/>
    <w:rsid w:val="62732887"/>
    <w:rsid w:val="642E6B65"/>
    <w:rsid w:val="65533DD8"/>
    <w:rsid w:val="66072815"/>
    <w:rsid w:val="663937A1"/>
    <w:rsid w:val="66CF4F88"/>
    <w:rsid w:val="68273FF7"/>
    <w:rsid w:val="686B482C"/>
    <w:rsid w:val="68CA1553"/>
    <w:rsid w:val="6B6379AD"/>
    <w:rsid w:val="6BE12ED5"/>
    <w:rsid w:val="6CFE32CD"/>
    <w:rsid w:val="71BA022B"/>
    <w:rsid w:val="72D33501"/>
    <w:rsid w:val="7590336F"/>
    <w:rsid w:val="76410A9B"/>
    <w:rsid w:val="76E27024"/>
    <w:rsid w:val="76F4069D"/>
    <w:rsid w:val="78201591"/>
    <w:rsid w:val="79005C2B"/>
    <w:rsid w:val="7B7A2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2">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3">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34">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2022-02-22T13:57:46Z</dcterms:created>
  <dcterms:modified xsi:type="dcterms:W3CDTF">2022-02-22T05:57:46Z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2022-02-22T13:57:57Z</dcterms:created>
  <dcterms:modified xsi:type="dcterms:W3CDTF">2022-02-22T05:57:57Z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2022-02-22T13:57:59Z</dcterms:created>
  <dcterms:modified xsi:type="dcterms:W3CDTF">2022-02-22T05:57:59Z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2022-02-22T13:57:46Z</dcterms:created>
  <dcterms:modified xsi:type="dcterms:W3CDTF">2022-02-22T05:57:46Z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2022-02-22T13:57:46Z</dcterms:created>
  <dcterms:modified xsi:type="dcterms:W3CDTF">2022-02-22T05:57:46Z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2022-02-22T13:57:48Z</dcterms:created>
  <dcterms:modified xsi:type="dcterms:W3CDTF">2022-02-22T05:57:48Z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2022-02-22T13:57:41Z</dcterms:created>
  <dcterms:modified xsi:type="dcterms:W3CDTF">2022-02-22T05:57:41Z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2022-02-22T13:57:53Z</dcterms:created>
  <dcterms:modified xsi:type="dcterms:W3CDTF">2022-02-22T05:57:53Z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2022-02-22T13:57:57Z</dcterms:created>
  <dcterms:modified xsi:type="dcterms:W3CDTF">2022-02-22T05:57:57Z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ea951c-56c2-404a-9a4e-f584a36af2b1}">
  <ds:schemaRefs/>
</ds:datastoreItem>
</file>

<file path=customXml/itemProps10.xml><?xml version="1.0" encoding="utf-8"?>
<ds:datastoreItem xmlns:ds="http://schemas.openxmlformats.org/officeDocument/2006/customXml" ds:itemID="{f0383d28-e757-4c77-b6ce-420c3ab46e57}">
  <ds:schemaRefs/>
</ds:datastoreItem>
</file>

<file path=customXml/itemProps11.xml><?xml version="1.0" encoding="utf-8"?>
<ds:datastoreItem xmlns:ds="http://schemas.openxmlformats.org/officeDocument/2006/customXml" ds:itemID="{ab334134-6f2d-4cef-9051-4a812843d3c7}">
  <ds:schemaRefs/>
</ds:datastoreItem>
</file>

<file path=customXml/itemProps12.xml><?xml version="1.0" encoding="utf-8"?>
<ds:datastoreItem xmlns:ds="http://schemas.openxmlformats.org/officeDocument/2006/customXml" ds:itemID="{fd15fd34-dcd2-4b86-9228-55817a2ec124}">
  <ds:schemaRefs/>
</ds:datastoreItem>
</file>

<file path=customXml/itemProps13.xml><?xml version="1.0" encoding="utf-8"?>
<ds:datastoreItem xmlns:ds="http://schemas.openxmlformats.org/officeDocument/2006/customXml" ds:itemID="{1f8e9f0a-7459-4533-8bf4-4741dcde61b2}">
  <ds:schemaRefs/>
</ds:datastoreItem>
</file>

<file path=customXml/itemProps14.xml><?xml version="1.0" encoding="utf-8"?>
<ds:datastoreItem xmlns:ds="http://schemas.openxmlformats.org/officeDocument/2006/customXml" ds:itemID="{17b2ac73-c96e-412c-b87d-053f69c37bd3}">
  <ds:schemaRefs/>
</ds:datastoreItem>
</file>

<file path=customXml/itemProps15.xml><?xml version="1.0" encoding="utf-8"?>
<ds:datastoreItem xmlns:ds="http://schemas.openxmlformats.org/officeDocument/2006/customXml" ds:itemID="{b4fa1ae0-bb5b-4139-bd61-ff4f52dc18e3}">
  <ds:schemaRefs/>
</ds:datastoreItem>
</file>

<file path=customXml/itemProps16.xml><?xml version="1.0" encoding="utf-8"?>
<ds:datastoreItem xmlns:ds="http://schemas.openxmlformats.org/officeDocument/2006/customXml" ds:itemID="{b1b5096a-7d55-4b44-a81f-33f8bbea802e}">
  <ds:schemaRefs/>
</ds:datastoreItem>
</file>

<file path=customXml/itemProps17.xml><?xml version="1.0" encoding="utf-8"?>
<ds:datastoreItem xmlns:ds="http://schemas.openxmlformats.org/officeDocument/2006/customXml" ds:itemID="{d352e20b-afb4-473b-946f-eeb5641d5aa2}">
  <ds:schemaRefs/>
</ds:datastoreItem>
</file>

<file path=customXml/itemProps18.xml><?xml version="1.0" encoding="utf-8"?>
<ds:datastoreItem xmlns:ds="http://schemas.openxmlformats.org/officeDocument/2006/customXml" ds:itemID="{54fa5ded-e5c6-4eec-aedd-d12e3a7d4a85}">
  <ds:schemaRefs/>
</ds:datastoreItem>
</file>

<file path=customXml/itemProps2.xml><?xml version="1.0" encoding="utf-8"?>
<ds:datastoreItem xmlns:ds="http://schemas.openxmlformats.org/officeDocument/2006/customXml" ds:itemID="{18ca83c1-089d-4e98-aac6-b6b4689cac8e}">
  <ds:schemaRefs/>
</ds:datastoreItem>
</file>

<file path=customXml/itemProps3.xml><?xml version="1.0" encoding="utf-8"?>
<ds:datastoreItem xmlns:ds="http://schemas.openxmlformats.org/officeDocument/2006/customXml" ds:itemID="{0fbbc2d2-a385-4a20-98bc-2a7181b34507}">
  <ds:schemaRefs/>
</ds:datastoreItem>
</file>

<file path=customXml/itemProps4.xml><?xml version="1.0" encoding="utf-8"?>
<ds:datastoreItem xmlns:ds="http://schemas.openxmlformats.org/officeDocument/2006/customXml" ds:itemID="{15bbbd76-ee26-40e5-a06d-d0731150a356}">
  <ds:schemaRefs/>
</ds:datastoreItem>
</file>

<file path=customXml/itemProps5.xml><?xml version="1.0" encoding="utf-8"?>
<ds:datastoreItem xmlns:ds="http://schemas.openxmlformats.org/officeDocument/2006/customXml" ds:itemID="{5c542bad-d45a-41bc-88ba-7eafd246211b}">
  <ds:schemaRefs/>
</ds:datastoreItem>
</file>

<file path=customXml/itemProps6.xml><?xml version="1.0" encoding="utf-8"?>
<ds:datastoreItem xmlns:ds="http://schemas.openxmlformats.org/officeDocument/2006/customXml" ds:itemID="{617cf84b-55e9-44ca-8c00-7259e497fbf0}">
  <ds:schemaRefs/>
</ds:datastoreItem>
</file>

<file path=customXml/itemProps7.xml><?xml version="1.0" encoding="utf-8"?>
<ds:datastoreItem xmlns:ds="http://schemas.openxmlformats.org/officeDocument/2006/customXml" ds:itemID="{9b8ee055-8905-4eb9-9f4b-1073a64c446a}">
  <ds:schemaRefs/>
</ds:datastoreItem>
</file>

<file path=customXml/itemProps8.xml><?xml version="1.0" encoding="utf-8"?>
<ds:datastoreItem xmlns:ds="http://schemas.openxmlformats.org/officeDocument/2006/customXml" ds:itemID="{97542b41-b5e3-4385-a36f-5a692ee8f82e}">
  <ds:schemaRefs/>
</ds:datastoreItem>
</file>

<file path=customXml/itemProps9.xml><?xml version="1.0" encoding="utf-8"?>
<ds:datastoreItem xmlns:ds="http://schemas.openxmlformats.org/officeDocument/2006/customXml" ds:itemID="{dc900310-b8d2-4811-9279-6974f63018a3}">
  <ds:schemaRefs/>
</ds:datastoreItem>
</file>

<file path=docProps/app.xml><?xml version="1.0" encoding="utf-8"?>
<Properties xmlns="http://schemas.openxmlformats.org/officeDocument/2006/extended-properties" xmlns:vt="http://schemas.openxmlformats.org/officeDocument/2006/docPropsVTypes">
  <Pages>40</Pages>
  <Words>9301</Words>
  <Characters>10827</Characters>
  <Lines>1</Lines>
  <Paragraphs>1</Paragraphs>
  <TotalTime>0</TotalTime>
  <ScaleCrop>false</ScaleCrop>
  <LinksUpToDate>false</LinksUpToDate>
  <CharactersWithSpaces>10981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2022-02-22T13:57:00Z</dcterms:created>
  <dc:creator>Administrator</dc:creator>
  <cp:lastModifiedBy>。</cp:lastModifiedBy>
  <cp:lastPrinted>2022-02-24T02:37:00Z</cp:lastPrinted>
  <dcterms:modified xsi:type="dcterms:W3CDTF">2023-08-23T07:23:12Z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2BCCD511996644E8A6E602A249383994</vt:lpwstr>
  </property>
</Properties>
</file>