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rPr>
      </w:pPr>
      <w:r>
        <w:rPr>
          <w:rFonts w:hint="eastAsia" w:ascii="宋体" w:hAnsi="宋体"/>
          <w:color w:val="000000" w:themeColor="text1"/>
          <w:sz w:val="30"/>
          <w:szCs w:val="30"/>
        </w:rPr>
        <w:t>附件1</w:t>
      </w:r>
    </w:p>
    <w:p>
      <w:pPr>
        <w:jc w:val="center"/>
        <w:outlineLvl w:val="0"/>
        <w:rPr>
          <w:rFonts w:ascii="Times New Roman" w:hAnsi="宋体"/>
          <w:b/>
          <w:color w:val="000000" w:themeColor="text1"/>
          <w:sz w:val="44"/>
        </w:rPr>
      </w:pPr>
      <w:r>
        <w:rPr>
          <w:rFonts w:hint="eastAsia" w:ascii="黑体" w:eastAsia="黑体"/>
          <w:b/>
          <w:color w:val="000000" w:themeColor="text1"/>
          <w:sz w:val="44"/>
        </w:rPr>
        <w:t>202</w:t>
      </w:r>
      <w:r>
        <w:rPr>
          <w:rFonts w:hint="eastAsia" w:ascii="黑体" w:eastAsia="黑体"/>
          <w:b/>
          <w:color w:val="000000" w:themeColor="text1"/>
          <w:sz w:val="44"/>
          <w:lang w:val="en-US" w:eastAsia="zh-CN"/>
        </w:rPr>
        <w:t>1</w:t>
      </w:r>
      <w:r>
        <w:rPr>
          <w:rFonts w:hint="eastAsia" w:ascii="黑体" w:eastAsia="黑体"/>
          <w:b/>
          <w:color w:val="000000" w:themeColor="text1"/>
          <w:sz w:val="44"/>
        </w:rPr>
        <w:t>年部门预算信息公开目录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第一部分  部门预算</w:t>
      </w:r>
    </w:p>
    <w:p>
      <w:pPr>
        <w:jc w:val="left"/>
        <w:rPr>
          <w:rFonts w:ascii="Times New Roman" w:hAnsi="宋体"/>
          <w:b/>
          <w:color w:val="000000" w:themeColor="text1"/>
          <w:sz w:val="28"/>
        </w:rPr>
      </w:pPr>
      <w:r>
        <w:rPr>
          <w:rFonts w:hint="eastAsia" w:ascii="方正楷体_GBK" w:eastAsia="方正楷体_GBK"/>
          <w:b/>
          <w:color w:val="000000" w:themeColor="text1"/>
          <w:sz w:val="28"/>
        </w:rPr>
        <w:t>部门预算公开表</w:t>
      </w:r>
    </w:p>
    <w:p>
      <w:pPr>
        <w:pStyle w:val="6"/>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 </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rPr>
        <w:t>部门预算收支总表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rPr>
        <w:t>部门预算收入总表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rPr>
        <w:t>部门预算支出总表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rPr>
        <w:t>部门预算财政拨款收支总表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rPr>
        <w:t>部门预算一般公共预算财政拨款支出表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8</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rPr>
        <w:t>部门预算一般公共预算财政拨款基本支出表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9</w:t>
      </w:r>
      <w:r>
        <w:rPr>
          <w:rFonts w:hint="eastAsia" w:ascii="Times New Roman" w:eastAsia="方正仿宋_GBK"/>
          <w:color w:val="000000" w:themeColor="text1"/>
          <w:sz w:val="28"/>
        </w:rPr>
        <w:fldChar w:fldCharType="end"/>
      </w:r>
    </w:p>
    <w:p>
      <w:pPr>
        <w:pStyle w:val="6"/>
        <w:tabs>
          <w:tab w:val="right" w:leader="dot" w:pos="14789"/>
        </w:tabs>
        <w:jc w:val="center"/>
        <w:rPr>
          <w:rFonts w:hint="default"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rPr>
        <w:t>部门预算政府基金预算财政拨款支出表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rPr>
        <w:t>部门预算国有资本经营预算财政拨款支出表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12</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rPr>
        <w:t>部门预算财政拨款“三公”经费支出表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rPr>
        <w:t>部门预算信息公开情况说明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 </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rPr>
        <w:t>一、部门职责及机构设置情况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rPr>
        <w:t>二、部门预算安排的总体情况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23</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24</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rPr>
        <w:t>四、财政拨款</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三公</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24</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bookmarkStart w:id="15" w:name="_GoBack"/>
      <w:bookmarkEnd w:id="15"/>
      <w:r>
        <w:rPr>
          <w:rFonts w:hint="eastAsia" w:ascii="Times New Roman" w:eastAsia="方正仿宋_GBK"/>
          <w:color w:val="000000" w:themeColor="text1"/>
          <w:sz w:val="28"/>
          <w:lang w:val="en-US" w:eastAsia="zh-CN"/>
        </w:rPr>
        <w:t>2</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rPr>
          <w:color w:val="000000" w:themeColor="text1"/>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bookmarkStart w:id="0" w:name="_Toc66435796"/>
      <w:r>
        <w:rPr>
          <w:rFonts w:ascii="方正小标宋_GBK" w:hAnsi="方正小标宋_GBK" w:eastAsia="方正小标宋_GBK" w:cs="方正小标宋_GBK"/>
          <w:color w:val="000000"/>
          <w:sz w:val="72"/>
        </w:rPr>
        <w:t xml:space="preserve"> 部门预算</w:t>
      </w: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p>
    <w:tbl>
      <w:tblPr>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4"/>
        <w:gridCol w:w="4199"/>
        <w:gridCol w:w="1799"/>
        <w:gridCol w:w="4199"/>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2754"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754" w:type="dxa"/>
            <w:gridSpan w:val="3"/>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42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8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六、事业单位经营收入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七、上级补助收入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八、附属单位上缴收入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r>
    </w:tbl>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tbl>
      <w:tblPr>
        <w:tblW w:w="13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9"/>
        <w:gridCol w:w="924"/>
        <w:gridCol w:w="2565"/>
        <w:gridCol w:w="900"/>
        <w:gridCol w:w="960"/>
        <w:gridCol w:w="855"/>
        <w:gridCol w:w="1035"/>
        <w:gridCol w:w="510"/>
        <w:gridCol w:w="720"/>
        <w:gridCol w:w="900"/>
        <w:gridCol w:w="1185"/>
        <w:gridCol w:w="91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8" w:hRule="atLeast"/>
        </w:trPr>
        <w:tc>
          <w:tcPr>
            <w:tcW w:w="13393" w:type="dxa"/>
            <w:gridSpan w:val="1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8938" w:type="dxa"/>
            <w:gridSpan w:val="9"/>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2085"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37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48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w:t>
            </w:r>
          </w:p>
        </w:tc>
        <w:tc>
          <w:tcPr>
            <w:tcW w:w="9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708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w:t>
            </w:r>
          </w:p>
        </w:tc>
        <w:tc>
          <w:tcPr>
            <w:tcW w:w="1455"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 w:hRule="atLeast"/>
        </w:trPr>
        <w:tc>
          <w:tcPr>
            <w:tcW w:w="46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9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财政专户收入</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c>
          <w:tcPr>
            <w:tcW w:w="1455"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4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24" w:type="dxa"/>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3559.57</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文化旅游体育与传媒支出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文化和旅游</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1559.22</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1559.22</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1559.22</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2070101</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2070102</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209.28</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209.28</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209.28</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2070104</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图书馆</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群众文化</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269.16</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269.16</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269.16</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2070111</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文化创作与保护</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2070112</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文化和旅游市场管理</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2070113</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旅游宣传</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2070199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其他文化和旅游支出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86.95</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86.95</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86.95</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763.19</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763.19</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763.19</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2070301</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90.66</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90.66</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90.66</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2070307</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体育场馆</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39.37</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39.37</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39.37</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2070308</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群众体育</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418.71</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418.71</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418.71</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2070399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其他体育支出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214.45</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214.45</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214.45</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20799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其他文化旅游体育与传媒支出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2079999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其他文化旅游体育与传媒支出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城乡社区支出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国有土地使用权出让收入安排的支出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924"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2120899</w:t>
            </w:r>
          </w:p>
        </w:tc>
        <w:tc>
          <w:tcPr>
            <w:tcW w:w="25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其他国有土地使用权出让收入安排的支出</w:t>
            </w:r>
          </w:p>
        </w:tc>
        <w:tc>
          <w:tcPr>
            <w:tcW w:w="90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960"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8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103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bl>
    <w:p>
      <w:pPr>
        <w:widowControl w:val="0"/>
        <w:numPr>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669"/>
        <w:gridCol w:w="3456"/>
        <w:gridCol w:w="1463"/>
        <w:gridCol w:w="1463"/>
        <w:gridCol w:w="1463"/>
        <w:gridCol w:w="1431"/>
        <w:gridCol w:w="143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9" w:type="dxa"/>
            <w:gridSpan w:val="9"/>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3"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预算单位编码及名称：[406]唐山市丰南区文化广电和旅游局</w:t>
            </w:r>
          </w:p>
        </w:tc>
        <w:tc>
          <w:tcPr>
            <w:tcW w:w="3018"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18"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3559.57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2341.03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1175.03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638.79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920.43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209.28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群众文化</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文化和旅游市场管理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旅游宣传</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465.08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其他体育支出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5" w:type="default"/>
          <w:footerReference r:id="rId6" w:type="even"/>
          <w:pgSz w:w="16840" w:h="11900" w:orient="landscape"/>
          <w:pgMar w:top="1361" w:right="1020" w:bottom="1134" w:left="1020" w:header="720" w:footer="720" w:gutter="0"/>
          <w:pgNumType w:start="1"/>
          <w:cols w:space="720" w:num="1"/>
        </w:sectPr>
      </w:pPr>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509"/>
        <w:gridCol w:w="1141"/>
        <w:gridCol w:w="2543"/>
        <w:gridCol w:w="1401"/>
        <w:gridCol w:w="2075"/>
        <w:gridCol w:w="1772"/>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76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 w:name="_Toc_2_2_0000000002"/>
            <w:r>
              <w:rPr>
                <w:rFonts w:hint="eastAsia" w:ascii="宋体" w:hAnsi="宋体" w:eastAsia="宋体" w:cs="宋体"/>
                <w:b/>
                <w:bCs/>
                <w:i w:val="0"/>
                <w:iCs w:val="0"/>
                <w:color w:val="000000"/>
                <w:kern w:val="0"/>
                <w:sz w:val="44"/>
                <w:szCs w:val="44"/>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88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预算单位编码及名称：[406]唐山市丰南区文化广电和旅游局</w:t>
            </w:r>
          </w:p>
        </w:tc>
        <w:tc>
          <w:tcPr>
            <w:tcW w:w="3476"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401"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5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420"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9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14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54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7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772"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4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2"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3559.57</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3559.57</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4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4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7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2"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3559.57</w:t>
            </w:r>
          </w:p>
        </w:tc>
        <w:tc>
          <w:tcPr>
            <w:tcW w:w="25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0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3559.57</w:t>
            </w:r>
          </w:p>
        </w:tc>
        <w:tc>
          <w:tcPr>
            <w:tcW w:w="20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2393.57</w:t>
            </w:r>
          </w:p>
        </w:tc>
        <w:tc>
          <w:tcPr>
            <w:tcW w:w="177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1166.00</w:t>
            </w: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1"/>
    <w:p>
      <w:pPr>
        <w:sectPr>
          <w:pgSz w:w="16840" w:h="11900" w:orient="landscape"/>
          <w:pgMar w:top="1361" w:right="1020" w:bottom="1134" w:left="1020" w:header="720" w:footer="720" w:gutter="0"/>
          <w:cols w:space="720" w:num="1"/>
        </w:sectPr>
      </w:pP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2" w:name="_Toc_2_2_0000000005"/>
    </w:p>
    <w:bookmarkEnd w:id="2"/>
    <w:tbl>
      <w:tblPr>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3"/>
        <w:gridCol w:w="1730"/>
        <w:gridCol w:w="2999"/>
        <w:gridCol w:w="2397"/>
        <w:gridCol w:w="1199"/>
        <w:gridCol w:w="1199"/>
        <w:gridCol w:w="12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3885"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3" w:name="_Toc_2_2_0000000006"/>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085"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240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24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600"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24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24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24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1218.54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823.78</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394.76</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文化旅游体育与传媒支出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2393.57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1218.54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823.78</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394.76</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文化和旅游</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1559.22</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549.04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371.39</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920.43</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549.04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371.39</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209.28</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图书馆</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2070109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群众文化</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269.16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文化创作与保护</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文化和旅游市场管理</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2070113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旅游宣传</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2070199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其他文化和旅游支出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763.19</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298.11</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274.74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90.66</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90.66</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67.29</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体育场馆</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2070308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群众体育</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418.71</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2070399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其他体育支出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214.45</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207.45</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207.45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其他文化旅游体育与传媒支出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2079999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其他文化旅游体育与传媒支出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71.16</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3"/>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4"/>
        <w:gridCol w:w="1730"/>
        <w:gridCol w:w="3000"/>
        <w:gridCol w:w="2997"/>
        <w:gridCol w:w="2997"/>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4" w:name="_Toc_2_2_0000000008"/>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支出部门经济分类科目</w:t>
            </w:r>
          </w:p>
        </w:tc>
        <w:tc>
          <w:tcPr>
            <w:tcW w:w="9000"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1218.54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823.78</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753.28</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753.28</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238.93</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238.93</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8.39</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8.39</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153.14</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153.14</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79.98</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79.98</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职业年金缴费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7.42</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7.42</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35.46</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41.09</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41.09</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60.55</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394.76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取暖费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195.06</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差旅费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工会经费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福利费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70.50</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离休费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42.53</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42.53</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生活补助</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奖励金</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4"/>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3"/>
        <w:gridCol w:w="1679"/>
        <w:gridCol w:w="3456"/>
        <w:gridCol w:w="2874"/>
        <w:gridCol w:w="2858"/>
        <w:gridCol w:w="2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5" w:name="_Toc_2_2_0000000009"/>
            <w:r>
              <w:rPr>
                <w:rFonts w:hint="eastAsia" w:ascii="宋体" w:hAnsi="宋体" w:eastAsia="宋体" w:cs="宋体"/>
                <w:b/>
                <w:bCs/>
                <w:i w:val="0"/>
                <w:iCs w:val="0"/>
                <w:color w:val="000000"/>
                <w:kern w:val="0"/>
                <w:sz w:val="44"/>
                <w:szCs w:val="44"/>
                <w:u w:val="none"/>
                <w:bdr w:val="none" w:color="auto" w:sz="0" w:space="0"/>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城乡社区支出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国有土地使用权出让收入安排的支出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2120899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其他国有土地使用权出让收入安排的支出</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1166.00</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5"/>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bdr w:val="none" w:color="auto" w:sz="0" w:space="0"/>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9" w:type="dxa"/>
            <w:gridSpan w:val="4"/>
            <w:tcBorders>
              <w:top w:val="nil"/>
              <w:left w:val="nil"/>
              <w:bottom w:val="nil"/>
              <w:right w:val="nil"/>
            </w:tcBorders>
            <w:shd w:val="clear" w:color="auto" w:fill="333333"/>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预算单位编码及名称：[406]唐山市丰南区文化广电和旅游局</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预算年度：2021</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序号</w:t>
            </w:r>
          </w:p>
        </w:tc>
        <w:tc>
          <w:tcPr>
            <w:tcW w:w="4728" w:type="dxa"/>
            <w:gridSpan w:val="2"/>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支出功能分类科目</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合计</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基本支出</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科目编码</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科目名称</w:t>
            </w: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栏次</w:t>
            </w: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此表无数据</w:t>
            </w: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auto"/>
                <w:sz w:val="18"/>
                <w:szCs w:val="18"/>
                <w:u w:val="none"/>
              </w:rPr>
            </w:pPr>
          </w:p>
        </w:tc>
      </w:tr>
    </w:tbl>
    <w:p>
      <w:pPr>
        <w:numPr>
          <w:numId w:val="0"/>
        </w:numPr>
        <w:spacing w:before="0" w:after="0" w:line="240" w:lineRule="auto"/>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w:t>
      </w: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p>
      <w:pPr>
        <w:numPr>
          <w:numId w:val="0"/>
        </w:numPr>
        <w:spacing w:before="0" w:after="0" w:line="240" w:lineRule="auto"/>
        <w:jc w:val="both"/>
        <w:outlineLvl w:val="0"/>
        <w:rPr>
          <w:rFonts w:ascii="方正书宋_GBK" w:hAnsi="方正书宋_GBK" w:eastAsia="方正书宋_GBK" w:cs="方正书宋_GBK"/>
          <w:color w:val="FFFFFF"/>
          <w:sz w:val="21"/>
        </w:rPr>
      </w:pPr>
    </w:p>
    <w:tbl>
      <w:tblPr>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3"/>
        <w:gridCol w:w="3907"/>
        <w:gridCol w:w="2397"/>
        <w:gridCol w:w="2397"/>
        <w:gridCol w:w="2398"/>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4263"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46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预算单位编码及名称：[406]唐山市丰南区文化广电和旅游局</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9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9600" w:type="dxa"/>
            <w:gridSpan w:val="4"/>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9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9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0.67</w:t>
            </w: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0.67</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18"/>
                <w:szCs w:val="18"/>
                <w:u w:val="none"/>
              </w:rPr>
            </w:pPr>
          </w:p>
        </w:tc>
      </w:tr>
    </w:tbl>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唐山市丰南区文化广电和旅游局2022年部门预算信息公开情况说</w:t>
      </w: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bookmarkEnd w:id="0"/>
    <w:p>
      <w:pPr>
        <w:jc w:val="left"/>
        <w:rPr>
          <w:rFonts w:hint="eastAsia" w:ascii="方正小标宋_GBK" w:eastAsia="方正小标宋_GBK"/>
          <w:color w:val="000000" w:themeColor="text1"/>
          <w:sz w:val="44"/>
        </w:rPr>
      </w:pPr>
      <w:r>
        <w:rPr>
          <w:rFonts w:hint="eastAsia" w:ascii="宋体" w:hAnsi="宋体"/>
          <w:sz w:val="30"/>
          <w:szCs w:val="30"/>
        </w:rPr>
        <w:t>附件3</w:t>
      </w:r>
    </w:p>
    <w:p>
      <w:pPr>
        <w:jc w:val="center"/>
        <w:rPr>
          <w:rFonts w:hint="eastAsia"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唐山市丰南区文化广电和旅游局</w:t>
      </w:r>
    </w:p>
    <w:p>
      <w:pPr>
        <w:jc w:val="center"/>
        <w:rPr>
          <w:rFonts w:ascii="Times New Roman" w:hAnsi="宋体"/>
          <w:color w:val="000000" w:themeColor="text1"/>
          <w:sz w:val="44"/>
        </w:rPr>
      </w:pPr>
      <w:r>
        <w:rPr>
          <w:rFonts w:hint="eastAsia" w:ascii="方正小标宋_GBK" w:eastAsia="方正小标宋_GBK"/>
          <w:color w:val="000000" w:themeColor="text1"/>
          <w:sz w:val="44"/>
        </w:rPr>
        <w:t>202</w:t>
      </w:r>
      <w:r>
        <w:rPr>
          <w:rFonts w:hint="eastAsia" w:ascii="方正小标宋_GBK" w:eastAsia="方正小标宋_GBK"/>
          <w:color w:val="000000" w:themeColor="text1"/>
          <w:sz w:val="44"/>
          <w:lang w:val="en-US" w:eastAsia="zh-CN"/>
        </w:rPr>
        <w:t>1</w:t>
      </w:r>
      <w:r>
        <w:rPr>
          <w:rFonts w:hint="eastAsia" w:ascii="方正小标宋_GBK" w:eastAsia="方正小标宋_GBK"/>
          <w:color w:val="000000" w:themeColor="text1"/>
          <w:sz w:val="44"/>
        </w:rPr>
        <w:t>年部门预算信息公开情况说明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w:t>
      </w:r>
      <w:r>
        <w:rPr>
          <w:rFonts w:hint="eastAsia" w:ascii="Times New Roman" w:eastAsia="方正仿宋_GBK"/>
          <w:color w:val="000000" w:themeColor="text1"/>
          <w:sz w:val="28"/>
          <w:lang w:eastAsia="zh-CN"/>
        </w:rPr>
        <w:t>区级</w:t>
      </w:r>
      <w:r>
        <w:rPr>
          <w:rFonts w:hint="eastAsia" w:ascii="Times New Roman" w:eastAsia="方正仿宋_GBK"/>
          <w:color w:val="000000" w:themeColor="text1"/>
          <w:sz w:val="28"/>
        </w:rPr>
        <w:t>预算公开办法》规定，现将丰南区</w:t>
      </w:r>
      <w:r>
        <w:rPr>
          <w:rFonts w:hint="eastAsia" w:ascii="Times New Roman" w:eastAsia="方正仿宋_GBK"/>
          <w:color w:val="000000" w:themeColor="text1"/>
          <w:sz w:val="28"/>
          <w:lang w:eastAsia="zh-CN"/>
        </w:rPr>
        <w:t>文化广电和旅游局</w:t>
      </w:r>
      <w:r>
        <w:rPr>
          <w:rFonts w:hint="eastAsia" w:ascii="Times New Roman" w:eastAsia="方正仿宋_GBK"/>
          <w:color w:val="000000" w:themeColor="text1"/>
          <w:sz w:val="28"/>
        </w:rPr>
        <w:t>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年部门预算公开如下：</w:t>
      </w:r>
    </w:p>
    <w:p>
      <w:pPr>
        <w:spacing w:beforeLines="50" w:afterLines="50"/>
        <w:ind w:firstLine="640" w:firstLineChars="200"/>
        <w:jc w:val="left"/>
        <w:outlineLvl w:val="2"/>
        <w:rPr>
          <w:rFonts w:ascii="Times New Roman" w:hAnsi="宋体"/>
          <w:color w:val="000000" w:themeColor="text1"/>
          <w:sz w:val="32"/>
        </w:rPr>
      </w:pPr>
      <w:bookmarkStart w:id="6" w:name="_Toc66435805"/>
      <w:r>
        <w:rPr>
          <w:rFonts w:hint="eastAsia" w:ascii="黑体" w:hAnsi="黑体" w:eastAsia="黑体"/>
          <w:color w:val="000000" w:themeColor="text1"/>
          <w:sz w:val="32"/>
        </w:rPr>
        <w:t>一、部门职责及机构设置情况</w:t>
      </w:r>
      <w:bookmarkEnd w:id="6"/>
    </w:p>
    <w:p>
      <w:pPr>
        <w:spacing w:line="570" w:lineRule="exact"/>
        <w:ind w:firstLine="643" w:firstLineChars="200"/>
        <w:rPr>
          <w:rFonts w:hint="eastAsia" w:ascii="仿宋_GB2312" w:eastAsia="仿宋_GB2312"/>
          <w:b/>
          <w:sz w:val="32"/>
          <w:szCs w:val="32"/>
        </w:rPr>
      </w:pPr>
      <w:bookmarkStart w:id="7" w:name="_Toc66435806"/>
      <w:r>
        <w:rPr>
          <w:rFonts w:hint="eastAsia" w:ascii="仿宋_GB2312" w:eastAsia="仿宋_GB2312"/>
          <w:b/>
          <w:sz w:val="32"/>
          <w:szCs w:val="32"/>
        </w:rPr>
        <w:t>1、部门职责：</w:t>
      </w:r>
    </w:p>
    <w:p>
      <w:pPr>
        <w:spacing w:line="570" w:lineRule="exact"/>
        <w:ind w:firstLine="640" w:firstLineChars="200"/>
        <w:rPr>
          <w:rFonts w:hint="eastAsia" w:ascii="仿宋" w:eastAsia="仿宋"/>
          <w:sz w:val="32"/>
          <w:szCs w:val="32"/>
        </w:rPr>
      </w:pPr>
      <w:r>
        <w:rPr>
          <w:rFonts w:hint="eastAsia" w:ascii="仿宋" w:eastAsia="仿宋"/>
          <w:sz w:val="32"/>
          <w:szCs w:val="32"/>
        </w:rPr>
        <w:t>（1）贯彻执行党和国家文化、文物、广播电视、旅游和体育工作方针政策和法律法规。研究拟订全区文化、文物、广播电视、旅游和体育政策措施。</w:t>
      </w:r>
    </w:p>
    <w:p>
      <w:pPr>
        <w:spacing w:line="570" w:lineRule="exact"/>
        <w:ind w:firstLine="640" w:firstLineChars="200"/>
        <w:rPr>
          <w:rFonts w:hint="eastAsia" w:ascii="仿宋" w:eastAsia="仿宋"/>
          <w:sz w:val="32"/>
          <w:szCs w:val="32"/>
        </w:rPr>
      </w:pPr>
      <w:r>
        <w:rPr>
          <w:rFonts w:hint="eastAsia" w:ascii="仿宋" w:eastAsia="仿宋"/>
          <w:sz w:val="32"/>
          <w:szCs w:val="32"/>
        </w:rPr>
        <w:t>（2）拟订全区文化文物广播电视事业、文化产业、旅游业和体育发展规划并组织实施，推进文化和旅游融合发展，推进文化、文物、广播电视、旅游和体育体制机制改革。</w:t>
      </w:r>
    </w:p>
    <w:p>
      <w:pPr>
        <w:spacing w:line="570" w:lineRule="exact"/>
        <w:ind w:firstLine="640" w:firstLineChars="200"/>
        <w:rPr>
          <w:rFonts w:hint="eastAsia" w:ascii="仿宋" w:eastAsia="仿宋"/>
          <w:sz w:val="32"/>
          <w:szCs w:val="32"/>
        </w:rPr>
      </w:pPr>
      <w:r>
        <w:rPr>
          <w:rFonts w:hint="eastAsia" w:ascii="仿宋" w:eastAsia="仿宋"/>
          <w:sz w:val="32"/>
          <w:szCs w:val="32"/>
        </w:rPr>
        <w:t>（3）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70" w:lineRule="exact"/>
        <w:ind w:firstLine="640" w:firstLineChars="200"/>
        <w:rPr>
          <w:rFonts w:hint="eastAsia" w:ascii="仿宋" w:eastAsia="仿宋"/>
          <w:sz w:val="32"/>
          <w:szCs w:val="32"/>
        </w:rPr>
      </w:pPr>
      <w:r>
        <w:rPr>
          <w:rFonts w:hint="eastAsia" w:ascii="仿宋" w:eastAsia="仿宋"/>
          <w:sz w:val="32"/>
          <w:szCs w:val="32"/>
        </w:rPr>
        <w:t>（4）指导、管理全区文艺事业。指导艺术创作生产，扶持体现社会主义核心价值观、具有导向性代表性示范性的文艺作品，推动全区各门类艺术、各艺术品种发展。</w:t>
      </w:r>
    </w:p>
    <w:p>
      <w:pPr>
        <w:spacing w:line="570" w:lineRule="exact"/>
        <w:ind w:firstLine="640" w:firstLineChars="200"/>
        <w:rPr>
          <w:rFonts w:hint="eastAsia" w:ascii="仿宋" w:eastAsia="仿宋"/>
          <w:sz w:val="32"/>
          <w:szCs w:val="32"/>
        </w:rPr>
      </w:pPr>
      <w:r>
        <w:rPr>
          <w:rFonts w:hint="eastAsia" w:ascii="仿宋" w:eastAsia="仿宋"/>
          <w:sz w:val="32"/>
          <w:szCs w:val="32"/>
        </w:rPr>
        <w:t>（5）负责全区公共文化事业发展。推进全区文化、文物、广播电视和旅游公共服务体系建设，深入实施文化惠民工程，统筹推进全区基本公共文化服务标准化、均等化。</w:t>
      </w:r>
    </w:p>
    <w:p>
      <w:pPr>
        <w:spacing w:line="570" w:lineRule="exact"/>
        <w:ind w:firstLine="640" w:firstLineChars="200"/>
        <w:rPr>
          <w:rFonts w:hint="eastAsia" w:ascii="仿宋" w:eastAsia="仿宋"/>
          <w:sz w:val="32"/>
          <w:szCs w:val="32"/>
        </w:rPr>
      </w:pPr>
      <w:r>
        <w:rPr>
          <w:rFonts w:hint="eastAsia" w:ascii="仿宋" w:eastAsia="仿宋"/>
          <w:sz w:val="32"/>
          <w:szCs w:val="32"/>
        </w:rPr>
        <w:t>（6）指导、推进全区文化、文物、广播电视和旅游科技创新发展，推进文化、文物、广播电视和旅游行业信息化、标准化建设。促进智慧文化、文物、广播电视和旅游发展。</w:t>
      </w:r>
    </w:p>
    <w:p>
      <w:pPr>
        <w:spacing w:line="570" w:lineRule="exact"/>
        <w:ind w:firstLine="640" w:firstLineChars="200"/>
        <w:rPr>
          <w:rFonts w:hint="eastAsia" w:ascii="仿宋" w:eastAsia="仿宋"/>
          <w:sz w:val="32"/>
          <w:szCs w:val="32"/>
        </w:rPr>
      </w:pPr>
      <w:r>
        <w:rPr>
          <w:rFonts w:hint="eastAsia" w:ascii="仿宋" w:eastAsia="仿宋"/>
          <w:sz w:val="32"/>
          <w:szCs w:val="32"/>
        </w:rPr>
        <w:t>（7）负责全区非物质文化遗产保护，推动非物质文化遗产的保护传承、普及、弘扬和振兴。</w:t>
      </w:r>
    </w:p>
    <w:p>
      <w:pPr>
        <w:spacing w:line="570" w:lineRule="exact"/>
        <w:ind w:firstLine="640" w:firstLineChars="200"/>
        <w:rPr>
          <w:rFonts w:hint="eastAsia" w:ascii="仿宋" w:eastAsia="仿宋"/>
          <w:sz w:val="32"/>
          <w:szCs w:val="32"/>
        </w:rPr>
      </w:pPr>
      <w:r>
        <w:rPr>
          <w:rFonts w:hint="eastAsia" w:ascii="仿宋" w:eastAsia="仿宋"/>
          <w:sz w:val="32"/>
          <w:szCs w:val="32"/>
        </w:rPr>
        <w:t>（8）统筹规划全区文化、广播电视和旅游产业。组织实施文化、文物、广播电视和旅游资源普查、挖掘、保护和利用工作，促进文化产业、广播电视产业和旅游产业发展。</w:t>
      </w:r>
    </w:p>
    <w:p>
      <w:pPr>
        <w:spacing w:line="570" w:lineRule="exact"/>
        <w:ind w:firstLine="640" w:firstLineChars="200"/>
        <w:rPr>
          <w:rFonts w:hint="eastAsia" w:ascii="仿宋" w:eastAsia="仿宋"/>
          <w:sz w:val="32"/>
          <w:szCs w:val="32"/>
        </w:rPr>
      </w:pPr>
      <w:r>
        <w:rPr>
          <w:rFonts w:hint="eastAsia" w:ascii="仿宋" w:eastAsia="仿宋"/>
          <w:sz w:val="32"/>
          <w:szCs w:val="32"/>
        </w:rPr>
        <w:t>（9）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spacing w:line="570" w:lineRule="exact"/>
        <w:ind w:firstLine="640" w:firstLineChars="200"/>
        <w:rPr>
          <w:rFonts w:hint="eastAsia" w:ascii="仿宋" w:eastAsia="仿宋"/>
          <w:sz w:val="32"/>
          <w:szCs w:val="32"/>
        </w:rPr>
      </w:pPr>
      <w:r>
        <w:rPr>
          <w:rFonts w:hint="eastAsia" w:ascii="仿宋" w:eastAsia="仿宋"/>
          <w:sz w:val="32"/>
          <w:szCs w:val="32"/>
        </w:rPr>
        <w:t>（10）负责组织、指导全区文物保护管理工作；指导全区考古、文物修缮工作；组织、协调重大文物保护和考古项目的实施；指导全区文物和博物馆的业务工作；推进全区文物事业发展。</w:t>
      </w:r>
    </w:p>
    <w:p>
      <w:pPr>
        <w:spacing w:line="570" w:lineRule="exact"/>
        <w:ind w:firstLine="640" w:firstLineChars="200"/>
        <w:rPr>
          <w:rFonts w:hint="eastAsia" w:ascii="仿宋" w:eastAsia="仿宋"/>
          <w:sz w:val="32"/>
          <w:szCs w:val="32"/>
        </w:rPr>
      </w:pPr>
      <w:r>
        <w:rPr>
          <w:rFonts w:hint="eastAsia" w:ascii="仿宋" w:eastAsia="仿宋"/>
          <w:sz w:val="32"/>
          <w:szCs w:val="32"/>
        </w:rPr>
        <w:t>（11）指导全区电视剧行业发展和电视剧创作生产，监管全区广播电视节目、网络视听节目和公共视听载体播放的视听节目，审查其内容和质量，指导、监管全区广播电视广告播放。</w:t>
      </w:r>
    </w:p>
    <w:p>
      <w:pPr>
        <w:spacing w:line="570" w:lineRule="exact"/>
        <w:ind w:firstLine="640" w:firstLineChars="200"/>
        <w:rPr>
          <w:rFonts w:hint="eastAsia" w:ascii="仿宋" w:eastAsia="仿宋"/>
          <w:sz w:val="32"/>
          <w:szCs w:val="32"/>
        </w:rPr>
      </w:pPr>
      <w:r>
        <w:rPr>
          <w:rFonts w:hint="eastAsia" w:ascii="仿宋" w:eastAsia="仿宋"/>
          <w:sz w:val="32"/>
          <w:szCs w:val="32"/>
        </w:rPr>
        <w:t>（12）负责拟定全区广播电视科技发展规划、政策并组织实施和监督检查，负责对广播电视节目传输覆盖、监听、监看、监测的监管，推进全区应急广播体系建设，监管协调、调度全区广播电视安全播出。</w:t>
      </w:r>
    </w:p>
    <w:p>
      <w:pPr>
        <w:spacing w:line="570" w:lineRule="exact"/>
        <w:ind w:firstLine="640" w:firstLineChars="200"/>
        <w:rPr>
          <w:rFonts w:hint="eastAsia" w:ascii="仿宋" w:eastAsia="仿宋"/>
          <w:sz w:val="32"/>
          <w:szCs w:val="32"/>
        </w:rPr>
      </w:pPr>
      <w:r>
        <w:rPr>
          <w:rFonts w:hint="eastAsia" w:ascii="仿宋" w:eastAsia="仿宋"/>
          <w:sz w:val="32"/>
          <w:szCs w:val="32"/>
        </w:rPr>
        <w:t>（13）指导全区文化市场综合执法。组织查处全区性、跨区域文化、文物、出版、广播电视、电影、旅游等市场的违法行为，维护市场秩序。</w:t>
      </w:r>
    </w:p>
    <w:p>
      <w:pPr>
        <w:spacing w:line="570" w:lineRule="exact"/>
        <w:ind w:firstLine="640" w:firstLineChars="200"/>
        <w:rPr>
          <w:rFonts w:hint="eastAsia" w:ascii="仿宋" w:eastAsia="仿宋"/>
          <w:sz w:val="32"/>
          <w:szCs w:val="32"/>
        </w:rPr>
      </w:pPr>
      <w:r>
        <w:rPr>
          <w:rFonts w:hint="eastAsia" w:ascii="仿宋" w:eastAsia="仿宋"/>
          <w:sz w:val="32"/>
          <w:szCs w:val="32"/>
        </w:rPr>
        <w:t>（14）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70" w:lineRule="exact"/>
        <w:ind w:firstLine="640" w:firstLineChars="200"/>
        <w:rPr>
          <w:rFonts w:hint="eastAsia" w:ascii="仿宋" w:eastAsia="仿宋"/>
          <w:sz w:val="32"/>
          <w:szCs w:val="32"/>
        </w:rPr>
      </w:pPr>
      <w:r>
        <w:rPr>
          <w:rFonts w:hint="eastAsia" w:ascii="仿宋" w:eastAsia="仿宋"/>
          <w:sz w:val="32"/>
          <w:szCs w:val="32"/>
        </w:rPr>
        <w:t>（15）统筹规划全区群众体育发展。负责推行全民健身计划，监督实施国家体育锻炼标准，推动国民体质监测，指导公共体育设施建设，负责公共体育设施的监督管理工作，指导开展群众性体育活动。</w:t>
      </w:r>
    </w:p>
    <w:p>
      <w:pPr>
        <w:spacing w:line="570" w:lineRule="exact"/>
        <w:ind w:firstLine="640" w:firstLineChars="200"/>
        <w:rPr>
          <w:rFonts w:hint="eastAsia" w:ascii="仿宋" w:eastAsia="仿宋"/>
          <w:sz w:val="32"/>
          <w:szCs w:val="32"/>
        </w:rPr>
      </w:pPr>
      <w:r>
        <w:rPr>
          <w:rFonts w:hint="eastAsia" w:ascii="仿宋" w:eastAsia="仿宋"/>
          <w:sz w:val="32"/>
          <w:szCs w:val="32"/>
        </w:rPr>
        <w:t>（16）统筹规划全区竞技体育发展。负责布局设置全区竞技体育训练项目，指导协调竞技体育训练、科研以及教练员、运动员队伍建设；负责承办丽办重大体育赛事活动；负责组织、协调、监督体育运动中的反兴奋剂工作。</w:t>
      </w:r>
    </w:p>
    <w:p>
      <w:pPr>
        <w:spacing w:line="570" w:lineRule="exact"/>
        <w:ind w:firstLine="640" w:firstLineChars="200"/>
        <w:rPr>
          <w:rFonts w:hint="eastAsia" w:ascii="仿宋" w:eastAsia="仿宋"/>
          <w:sz w:val="32"/>
          <w:szCs w:val="32"/>
        </w:rPr>
      </w:pPr>
      <w:r>
        <w:rPr>
          <w:rFonts w:hint="eastAsia" w:ascii="仿宋" w:eastAsia="仿宋"/>
          <w:sz w:val="32"/>
          <w:szCs w:val="32"/>
        </w:rPr>
        <w:t>（17）统筹规划青少年体育发展，指导和推进青少年体育工作。</w:t>
      </w:r>
    </w:p>
    <w:p>
      <w:pPr>
        <w:spacing w:line="570" w:lineRule="exact"/>
        <w:ind w:firstLine="640" w:firstLineChars="200"/>
        <w:rPr>
          <w:rFonts w:hint="eastAsia" w:ascii="仿宋" w:eastAsia="仿宋"/>
          <w:sz w:val="32"/>
          <w:szCs w:val="32"/>
        </w:rPr>
      </w:pPr>
      <w:r>
        <w:rPr>
          <w:rFonts w:hint="eastAsia" w:ascii="仿宋" w:eastAsia="仿宋"/>
          <w:sz w:val="32"/>
          <w:szCs w:val="32"/>
        </w:rPr>
        <w:t>（18）拟定全区体育产业发展规划、政策，规范体育服务管理，推动体育标准化建设。</w:t>
      </w:r>
    </w:p>
    <w:p>
      <w:pPr>
        <w:spacing w:line="570" w:lineRule="exact"/>
        <w:ind w:firstLine="640" w:firstLineChars="200"/>
        <w:rPr>
          <w:rFonts w:hint="eastAsia" w:ascii="仿宋" w:eastAsia="仿宋"/>
          <w:sz w:val="32"/>
          <w:szCs w:val="32"/>
        </w:rPr>
      </w:pPr>
      <w:r>
        <w:rPr>
          <w:rFonts w:hint="eastAsia" w:ascii="仿宋" w:eastAsia="仿宋"/>
          <w:sz w:val="32"/>
          <w:szCs w:val="32"/>
        </w:rPr>
        <w:t>（19）指导全区体育社团建设工作。</w:t>
      </w:r>
    </w:p>
    <w:p>
      <w:pPr>
        <w:spacing w:line="570" w:lineRule="exact"/>
        <w:ind w:firstLine="640" w:firstLineChars="200"/>
        <w:rPr>
          <w:rFonts w:hint="eastAsia" w:ascii="仿宋" w:eastAsia="仿宋"/>
          <w:sz w:val="32"/>
          <w:szCs w:val="32"/>
        </w:rPr>
      </w:pPr>
      <w:r>
        <w:rPr>
          <w:rFonts w:hint="eastAsia" w:ascii="仿宋" w:eastAsia="仿宋"/>
          <w:sz w:val="32"/>
          <w:szCs w:val="32"/>
        </w:rPr>
        <w:t>（20）负责全区体育系统的安全生产监管工作，监督督察全区高危险体育项目的安全生产工作。</w:t>
      </w:r>
    </w:p>
    <w:p>
      <w:pPr>
        <w:spacing w:line="570" w:lineRule="exact"/>
        <w:ind w:firstLine="640" w:firstLineChars="200"/>
        <w:rPr>
          <w:rFonts w:hint="eastAsia" w:ascii="仿宋" w:eastAsia="仿宋"/>
          <w:sz w:val="32"/>
          <w:szCs w:val="32"/>
        </w:rPr>
      </w:pPr>
      <w:r>
        <w:rPr>
          <w:rFonts w:hint="eastAsia" w:ascii="仿宋" w:eastAsia="仿宋"/>
          <w:sz w:val="32"/>
          <w:szCs w:val="32"/>
        </w:rPr>
        <w:t>（21）完成区委、区政府交办的其他任务。</w:t>
      </w:r>
    </w:p>
    <w:p>
      <w:pPr>
        <w:spacing w:line="560" w:lineRule="exact"/>
        <w:ind w:firstLine="803" w:firstLineChars="250"/>
        <w:rPr>
          <w:rFonts w:hint="eastAsia" w:ascii="仿宋_GB2312" w:eastAsia="仿宋_GB2312"/>
          <w:b/>
          <w:sz w:val="32"/>
          <w:szCs w:val="32"/>
        </w:rPr>
      </w:pPr>
      <w:r>
        <w:rPr>
          <w:rFonts w:hint="eastAsia" w:ascii="仿宋_GB2312" w:eastAsia="仿宋_GB2312" w:cs="宋体"/>
          <w:b/>
          <w:sz w:val="32"/>
          <w:szCs w:val="32"/>
          <w:lang w:bidi="ar-SA"/>
        </w:rPr>
        <w:t>2、</w:t>
      </w:r>
      <w:r>
        <w:rPr>
          <w:rFonts w:hint="eastAsia" w:ascii="仿宋_GB2312" w:eastAsia="仿宋_GB2312"/>
          <w:b/>
          <w:sz w:val="32"/>
          <w:szCs w:val="32"/>
        </w:rPr>
        <w:t>机构设置：</w:t>
      </w:r>
    </w:p>
    <w:p>
      <w:pPr>
        <w:spacing w:line="560" w:lineRule="exact"/>
        <w:ind w:firstLine="640" w:firstLineChars="200"/>
        <w:rPr>
          <w:rFonts w:hint="eastAsia" w:ascii="仿宋" w:eastAsia="仿宋"/>
          <w:sz w:val="32"/>
          <w:szCs w:val="32"/>
        </w:rPr>
      </w:pPr>
      <w:r>
        <w:rPr>
          <w:rFonts w:hint="eastAsia" w:ascii="仿宋" w:eastAsia="仿宋"/>
          <w:sz w:val="32"/>
          <w:szCs w:val="32"/>
        </w:rPr>
        <w:t>（1）区文化广电和旅游局要加强事中事后监管。按照“放管服”改革要求，改进工作方式，强化监管责任，避免监管缺失，做好本部门的决策、规划、行业标准制定工作，强化公共</w:t>
      </w:r>
    </w:p>
    <w:p>
      <w:pPr>
        <w:spacing w:line="560" w:lineRule="exact"/>
        <w:ind w:firstLine="640" w:firstLineChars="200"/>
        <w:rPr>
          <w:rFonts w:hint="eastAsia" w:ascii="仿宋" w:eastAsia="仿宋"/>
          <w:sz w:val="32"/>
          <w:szCs w:val="32"/>
        </w:rPr>
      </w:pPr>
      <w:r>
        <w:rPr>
          <w:rFonts w:hint="eastAsia" w:ascii="仿宋" w:eastAsia="仿宋"/>
          <w:sz w:val="32"/>
          <w:szCs w:val="32"/>
        </w:rPr>
        <w:t>服务体系建设。区行政审批局与区文化广电和旅游局要建立相关行政审批结果及监管结果通报制度，实现审批部门和监管部门间的信息互通、数据共享，确保审批、监管及时衔接和工作的连续性。</w:t>
      </w:r>
    </w:p>
    <w:p>
      <w:pPr>
        <w:spacing w:line="560" w:lineRule="exact"/>
        <w:ind w:firstLine="640" w:firstLineChars="200"/>
        <w:rPr>
          <w:rFonts w:hint="eastAsia" w:ascii="仿宋" w:eastAsia="仿宋"/>
          <w:sz w:val="32"/>
          <w:szCs w:val="32"/>
        </w:rPr>
      </w:pPr>
      <w:r>
        <w:rPr>
          <w:rFonts w:hint="eastAsia" w:ascii="仿宋" w:eastAsia="仿宋"/>
          <w:sz w:val="32"/>
          <w:szCs w:val="32"/>
        </w:rPr>
        <w:t>（2）区行政审批局与区文化广电和旅游局之间要加强工作联系，建立部门间协商制度。区行政审批局在行政审批过程中需要现场勘察、论证、听证等相关资料的，区文化广电和旅游局要积极配合，并对相关资料的真实性、合法性负责，及时将上级对口部门涉及政策、会议培训等相关文件，告知区行政审批局并协调上级主管部门，做好审批相关事项的办理工作。</w:t>
      </w:r>
    </w:p>
    <w:p>
      <w:pPr>
        <w:spacing w:line="560" w:lineRule="exact"/>
        <w:ind w:firstLine="640" w:firstLineChars="200"/>
        <w:rPr>
          <w:rFonts w:hint="eastAsia" w:ascii="仿宋" w:eastAsia="仿宋"/>
          <w:sz w:val="32"/>
          <w:szCs w:val="32"/>
        </w:rPr>
      </w:pPr>
      <w:r>
        <w:rPr>
          <w:rFonts w:hint="eastAsia" w:ascii="仿宋" w:eastAsia="仿宋"/>
          <w:sz w:val="32"/>
          <w:szCs w:val="32"/>
        </w:rPr>
        <w:t>区文化广电和旅游局设下列内设机构：</w:t>
      </w:r>
    </w:p>
    <w:p>
      <w:pPr>
        <w:spacing w:line="560" w:lineRule="exact"/>
        <w:ind w:firstLine="640" w:firstLineChars="200"/>
        <w:rPr>
          <w:rFonts w:hint="eastAsia" w:ascii="仿宋" w:eastAsia="仿宋"/>
          <w:sz w:val="32"/>
          <w:szCs w:val="32"/>
        </w:rPr>
      </w:pPr>
      <w:r>
        <w:rPr>
          <w:rFonts w:hint="eastAsia" w:ascii="仿宋" w:eastAsia="仿宋"/>
          <w:sz w:val="32"/>
          <w:szCs w:val="32"/>
        </w:rPr>
        <w:t>（1）综合办公室。办公室负责机关日常运转工作，组织协调机关和所属单位业务，督促重大事项的落实；承担政务公开、机要保密、信访、局机关安全保卫工作。协调重要政策调研工作；组织拟订全区文化、文物、广电、旅游和体育发展规划；承担综合性文字材料的起草工作。承担全区文化、文物、广电、旅游和体育领域体制机制改革工作。开展法律法规宣传教育；负责机关规范性文件的合法性审核工作；承担新闻宣传工作。按有关规定拟订全区文化、文物、广播电视、旅游和体育行业人才队伍建设规划并组织实施。负责机关、所属单位的人事管理、机构编制及队伍建设等工作。负责部门预算和相关财政资金管理工作；负责机关财务、资产管理；负责全区文化、文物、广播电视、旅游和体育统计工作；负责机关和所属单位内部审计、政府采购工作；指导、监督所属单位财务、资产和各类专项资金的管理；指导全区重点及基层文化、旅游和体育设施建设。负责机关和所属单位的党群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文化、旅游和体育公共服务政策及公共文化事业发展规划，并组织实施；承担全区公共文化服务、旅游公共服务和体育公共服务的指导、协调和推动工作；拟订全区文化、旅游、体育公共服务标准并监督实施；指导全区群众文化、少数民族文化、未成年人文化和老年文化工作；指导全区图书馆、文化馆事业和基层综合性文化服务中心建设；指导全区公共数字文化和古籍保护工作。拟订全区非物质文化遗产保护政策和规划，并组织实施。组织开展非物质文化遗产保护工作；指导全区非物质文化遗产调查、记录、确认和建立名录；组织非物质文化遗产研究、宣传和传播工作。拟订全区文化和旅游对外及对港澳台交流合作政策。拟订全区文化和旅游品牉推广规划，制定品牉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w:t>
      </w:r>
    </w:p>
    <w:p>
      <w:pPr>
        <w:spacing w:line="560" w:lineRule="exact"/>
        <w:ind w:firstLine="640" w:firstLineChars="200"/>
        <w:rPr>
          <w:rFonts w:hint="eastAsia" w:ascii="仿宋" w:eastAsia="仿宋"/>
          <w:sz w:val="32"/>
          <w:szCs w:val="32"/>
        </w:rPr>
      </w:pPr>
      <w:r>
        <w:rPr>
          <w:rFonts w:hint="eastAsia" w:ascii="仿宋" w:eastAsia="仿宋"/>
          <w:sz w:val="32"/>
          <w:szCs w:val="32"/>
        </w:rPr>
        <w:t>（2）文化广电旅游科。拟定全区音乐、舞蹈、戏曲、戏剧、美术等文艺事业发展规划和扶持政策并组织实施；扶持体现社会主义核心价值观、具有导向性代表性示范性的文艺作品和代表区级水准及丰南特色的艺术团体，推动全区各门类艺术、各艺术品种发展；指导、协调全区性艺术展演、展览和重大文艺活动。 拟定全区文化、文物、广播电视、旅游科技创新发展规划和艺术科研规划并组织实施。组织开展文化、文物、广播电视和旅游科研工作及成果推广；组织协调全区文化、文物、广播电视和旅游行业信息化、标准化工作；指导全区文化、文物、广播电视和旅游装备技术提升；指导全区文化、文物、广播电视和旅游学校共建和行业职业教育工作；指导协调全区广播电视传输覆盖网和监测监管网的规划并推进建设；协调监管全区广播电视安全播出工作和设施保护工作；指导协调卫星电视接收设施、境外卫星电视节目的落地和接收的监督管理工作；指导推进全区应急广播体系建设；协调推进广播电视公共服务均等化和城乡一体化发展，组织推进全区广播电视“户户通”工程并实施监督；对发展相对滞后地区广播电视公共服务项目进行扶持，承担对口支援、救灾及美丼乡村建设等方面公共服务工作；承担广播电视扶贫工作；配合上级部门负责境外人员参与节目录制管理、对国外人员参与制作国产电视剧进行审查。拟定全区文化、广播电视和旅游产业政策和发展规划并组织实施；指导、促进文化产业相关门类、广播电视产业和旅游产业及新型业态发展；推动全区文化产业、广播电视和旅游产业投融资体系建设；促进文化、广播电视和旅游与相关产业融合发展；指导全区文化产业园区基地建设。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指导区级文化公园建设；承担红色旅游相关工作。</w:t>
      </w:r>
    </w:p>
    <w:p>
      <w:pPr>
        <w:spacing w:line="560" w:lineRule="exact"/>
        <w:ind w:firstLine="640" w:firstLineChars="200"/>
        <w:rPr>
          <w:rFonts w:hint="eastAsia" w:ascii="仿宋" w:eastAsia="仿宋"/>
          <w:sz w:val="32"/>
          <w:szCs w:val="32"/>
        </w:rPr>
      </w:pPr>
      <w:r>
        <w:rPr>
          <w:rFonts w:hint="eastAsia" w:ascii="仿宋" w:eastAsia="仿宋"/>
          <w:sz w:val="32"/>
          <w:szCs w:val="32"/>
        </w:rPr>
        <w:t>（3）市场文物传媒管理科。拟订全区文化市场和旅游市场政策和发展规划并组织实施。对全区文化和旅游市场经营进行行业监管；承担全区文化和旅游行业信用体系建设工作；组织拟订全区文化和旅游市场经营场所、设施、服务、产品等标准并监督实施；监管全区文化和旅游市场服务质量，指导服务质量提升；承担全区旅游经济运行监测、假日旅游市场、旅游安全综合协调和监督管理；拟定全区文化市场综合执法工作标准和规范并监督实施；指导、推动整合组建全区文化市场综合执法队伍；指导、监督全区文化市场综合执法工作，组织查处全区性、跨区域文化市场重大案件。组织全区文物资源调查，参与起草文物保护方面的规范性文件；负责世界文化遗产保护和管理的监督工作，组织审核世界文化遗产申报，协同相关部门审核世界文化和自然双重遗产申报，协同相关部门负责历史文化名城（镇、村）保护和监督管理工作；负责不可移动文物保护工作，管理和指导全区考古、文物修缮工作，组织、协调文物保护和考古项目的实施，承担确定区级文物保护单位的有关工作；负责推动完善文物和博物馆公共服务体系建设，指导全区文物和博物馆的业务工作，协调博物馆间的交流与协作；组织指导文物保护宣传工作。拟订全区广播电视播出机构的发展规划和政策；承担广播电视播出机构和业务、广播电视节目制作机构、广播电视节目传送、有线电视付费频道、移动电视业务的监督管理；承办全区广播电视播出机构及频率频道的申报、广播电视台变更台标申报工作；指导和监督管理广播电视广告播放及区级广播电视台影视文艺节目统一供片工作；组织对全区播出机构、传送机构、广播电视节目制作经营机构违规查处工作。指导全区网络视听节目服务的发展和宣传；对信息网络和公共载体传播的视听节目进行监管，审查其内容和质量，承担节目应急处置工作。指导全区视听节目监管体系建设，组织查处非法开展网络视听节目服务行为；负责信息网络视听节目（含 IP 电视、网络广播电视、手机视听节目）服务行业的监管。拟定全区广播电视重大改革措施，推进体制机制改革；协调推进三网融合，推进广播电视与新媒体技术新业态创新融合发展；承担全区广播电视视频点播业务的监管。研究制定全区广播电视宣传政策、规划并督导落实；指导协调广播电视重大宣传活动及重大突发事件报道和应急播报；指导、监管理论文献片、纪录片、电视动画片的制作与播出；组织开展全区公益宣传，对广播电视公益广告创作、制作、播出进行管理；指导广播电视节目创新创优；组织开展全区广播电视宣传管理工作；对各级广播电视播出机构落实宣传管理制度情况进行督导检查，组织全区广播电视节目的监听监看及违规查处工作。配合上级部门承担电视剧制作的指导、监管工作，组织对国产电视剧、引进电视剧，以及对外合拍电视剧的内容进行审查；指导、调控电视剧的播出；鼓励、引导、扶持丰南电视剧精品生产。</w:t>
      </w:r>
    </w:p>
    <w:p>
      <w:pPr>
        <w:spacing w:line="560" w:lineRule="exact"/>
        <w:ind w:firstLine="640" w:firstLineChars="200"/>
        <w:rPr>
          <w:rFonts w:hint="eastAsia" w:ascii="仿宋" w:eastAsia="仿宋"/>
          <w:sz w:val="32"/>
          <w:szCs w:val="32"/>
        </w:rPr>
      </w:pPr>
      <w:r>
        <w:rPr>
          <w:rFonts w:hint="eastAsia" w:ascii="仿宋" w:eastAsia="仿宋"/>
          <w:sz w:val="32"/>
          <w:szCs w:val="32"/>
        </w:rPr>
        <w:t>（4）体育科。拟订全区群众体育工作发展规划和政策；贯彻落实《全民健身计划》，积极推行《全民健身实施计划》；推动落实全民健身联席会议制度；负责群众体育组织网络、设施网络、服务网络建设，完善全民健身公共服务体系，指导推动群众体育活动；指导人群（行业）体育协会的组建及活动开展；指导公共体育设施建设，规范公共体育设施的管理和使用；协调推动全民健身志愿者服务工作；负责推行社会体育指导员和国民体质监测制度，指导《国家体育锻炼标准》以及《国民体质测定标准》、《国家学生体质健康标准》的实施；负责社会体育指导员培训工作，指导城区社区、农村行政村体育协管员队伍建设等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竞技体育发展规划；负责制定全区体育竞赛制度；负责全区体育竞赛、竞技运动项目的设置和布局；负责组队参加国家和省市体育比赛和综合性运动会，组织丽办全区运动会和区级单项体育比赛；统筹协调全区的国际、国内重大体育赛事；拟订全区青少年体育发展规划；拟订全区青少年业余训练管理制度，完善青少年业余训练体系；协调推进学校体育工作，指导全区各级各类体育运动学校、体育传统项目学校、体育特色项目学校、青少年体育俱乐部建设以及国家、省市高水平后备人才基地建设，指导运动员文化教育工作；负责裁判员、运动员的注册和有关审核申报工作；负责运动员、教练员队伍的管理和相关培训工作；组织开展反兴奋剂工作；指导体育科研工作；承办市下达的有关奥运事务。拟订全区体育产业发展规划草案；指导协调全区体育产业发展；规范体育服务管理，推动体育标准化建设具体工作；负责体育统计工作；负责体育行业安全生产监管；负责高危险性体育项目经营单位（场所）安全监督管理；指导督促相关生产经营单位安全生产风险辨识管控和隐患排查治理工作。</w:t>
      </w:r>
    </w:p>
    <w:p>
      <w:pPr>
        <w:adjustRightInd w:val="0"/>
        <w:snapToGrid w:val="0"/>
        <w:spacing w:line="560" w:lineRule="exact"/>
        <w:ind w:left="178" w:leftChars="85" w:firstLine="540"/>
        <w:rPr>
          <w:rFonts w:hint="eastAsia"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0"/>
        <w:gridCol w:w="1559"/>
        <w:gridCol w:w="1701"/>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单位名称</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单位性质</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单位规格</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rPr>
            </w:pPr>
            <w:r>
              <w:rPr>
                <w:rFonts w:hint="eastAsia" w:ascii="仿宋" w:eastAsia="仿宋"/>
                <w:szCs w:val="24"/>
              </w:rPr>
              <w:t>文化广电和旅游局文化</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行政</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正科级</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rPr>
            </w:pPr>
            <w:r>
              <w:rPr>
                <w:rFonts w:hint="eastAsia" w:ascii="仿宋" w:eastAsia="仿宋"/>
                <w:szCs w:val="24"/>
              </w:rPr>
              <w:t>文化广电和旅游局体育</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行政</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正科级</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rPr>
            </w:pPr>
            <w:r>
              <w:rPr>
                <w:rFonts w:hint="eastAsia" w:ascii="仿宋" w:eastAsia="仿宋"/>
                <w:szCs w:val="24"/>
              </w:rPr>
              <w:t>文化广电和旅游局自收自支</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事业</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其他</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bl>
    <w:p>
      <w:pPr>
        <w:spacing w:beforeLines="50" w:afterLines="50"/>
        <w:ind w:firstLine="640" w:firstLineChars="20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二、部门预算安排的总体情况</w:t>
      </w:r>
      <w:bookmarkEnd w:id="7"/>
    </w:p>
    <w:p>
      <w:pPr>
        <w:spacing w:line="560" w:lineRule="exact"/>
        <w:ind w:firstLine="640" w:firstLineChars="200"/>
        <w:rPr>
          <w:rFonts w:hint="eastAsia" w:ascii="仿宋" w:eastAsia="仿宋"/>
          <w:sz w:val="32"/>
          <w:szCs w:val="32"/>
        </w:rPr>
      </w:pPr>
      <w:r>
        <w:rPr>
          <w:rFonts w:hint="eastAsia" w:ascii="仿宋" w:eastAsia="仿宋"/>
          <w:sz w:val="32"/>
          <w:szCs w:val="32"/>
        </w:rPr>
        <w:t>按照预算管理有关规定，目前我区部门预算的编制实行综合预算管理，即全部收入和支出都反映在预算中。丰南区</w:t>
      </w:r>
      <w:r>
        <w:rPr>
          <w:rFonts w:hint="eastAsia" w:ascii="仿宋" w:eastAsia="仿宋"/>
          <w:sz w:val="32"/>
          <w:szCs w:val="32"/>
          <w:lang w:eastAsia="zh-CN"/>
        </w:rPr>
        <w:t>文化广电和旅游局</w:t>
      </w:r>
      <w:r>
        <w:rPr>
          <w:rFonts w:hint="eastAsia" w:ascii="仿宋" w:eastAsia="仿宋"/>
          <w:sz w:val="32"/>
          <w:szCs w:val="32"/>
        </w:rPr>
        <w:t>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2021年部门收入预算3559.57万元，其中：一般公共预算拨款2393.57万元，政府性基金预算拨款1166万元，国有资本经营预算拨款0万元，财政专户核拨0万元，其它来源收入0万元。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widowControl/>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2021年支出预算3559.57万元，其中：人员经费支出823.78万元，日常公用经费支出394.76万元；项目支出2341.03万元，主要用于新建丰南区体育中心项目前期费用、社会足球场地建设项目剩余尾款（以前年度）、室内滑冰场馆建设采购未付及剩余尾款（以前年度）、体育馆乒乓球馆运行补贴、业余体校经费、农村文化建设-城乡公共文化服务项目、农村文化建设-城乡文化活动资金、大剧院运行费、三馆运行费、三馆免费开放资金（上级）、丰南区全域旅游专项规划设计费、劳务派遣人员费用（劳务费）等项目。</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adjustRightInd w:val="0"/>
        <w:snapToGrid w:val="0"/>
        <w:spacing w:line="560" w:lineRule="exact"/>
        <w:ind w:firstLine="640"/>
        <w:rPr>
          <w:rFonts w:hint="eastAsia" w:ascii="仿宋_GB2312" w:eastAsia="仿宋_GB2312"/>
          <w:sz w:val="32"/>
          <w:szCs w:val="32"/>
        </w:rPr>
      </w:pPr>
      <w:bookmarkStart w:id="8" w:name="_Toc66435807"/>
      <w:r>
        <w:rPr>
          <w:rFonts w:hint="eastAsia" w:ascii="仿宋_GB2312" w:eastAsia="仿宋_GB2312"/>
          <w:sz w:val="32"/>
          <w:szCs w:val="32"/>
        </w:rPr>
        <w:t>2021年收入预算较2020年增长885.73万元，主要是政府性基金收入增加。</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2021年支出预算较2020年增长885.73万元，其中：基本支出减少134.93万元，主要是人员经费减少90.47万元，日常公用经费减少44.46万元；项目支出增长1020.66万元，主要是增加新建丰南区体育中心项目前期费用。</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bookmarkEnd w:id="8"/>
    </w:p>
    <w:p>
      <w:pPr>
        <w:widowControl/>
        <w:adjustRightInd w:val="0"/>
        <w:snapToGrid w:val="0"/>
        <w:spacing w:line="560" w:lineRule="exact"/>
        <w:rPr>
          <w:rFonts w:hint="eastAsia" w:ascii="仿宋_GB2312" w:eastAsia="仿宋_GB2312"/>
          <w:sz w:val="32"/>
          <w:szCs w:val="32"/>
        </w:rPr>
      </w:pPr>
      <w:bookmarkStart w:id="9" w:name="_Toc66435808"/>
      <w:r>
        <w:rPr>
          <w:rFonts w:hint="eastAsia" w:ascii="仿宋_GB2312" w:eastAsia="仿宋_GB2312"/>
          <w:sz w:val="32"/>
          <w:szCs w:val="32"/>
        </w:rPr>
        <w:t xml:space="preserve"> 2021年机关运行经费394.76万元，包括办公费8.46万元、印刷费0.25万元、邮电费1万元、差旅费2.5万元、办公用房水费25万元、办公用房电费120万元、办公用房取暖费195.06万元、公务用车运行维护费5万元、工会费7.37万元、福利费4.4万元、移动通讯补贴9.8万元、交通补贴12.3万元、公务接待费0.67万元、其他商品和服务支出0.65万元、离退休报刊费0.3万元、离退休福利费2万元。</w:t>
      </w:r>
    </w:p>
    <w:p>
      <w:pPr>
        <w:spacing w:beforeLines="50" w:afterLines="50"/>
        <w:ind w:firstLine="640" w:firstLineChars="200"/>
        <w:jc w:val="left"/>
        <w:outlineLvl w:val="2"/>
        <w:rPr>
          <w:rFonts w:ascii="Times New Roman" w:hAnsi="宋体"/>
          <w:color w:val="FF0000"/>
          <w:sz w:val="32"/>
          <w:highlight w:val="none"/>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9"/>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2021年，财政拨款“三公”经费预算安排5.67万元，比2020年增加（减少）0万元。其中：</w:t>
      </w:r>
      <w:r>
        <w:rPr>
          <w:rFonts w:hint="eastAsia" w:ascii="仿宋_GB2312" w:eastAsia="仿宋_GB2312" w:cs="Arial Unicode MS"/>
          <w:sz w:val="32"/>
          <w:szCs w:val="32"/>
          <w:lang w:bidi="ar-SA"/>
        </w:rPr>
        <w:t>①</w:t>
      </w:r>
      <w:r>
        <w:rPr>
          <w:rFonts w:hint="eastAsia" w:ascii="仿宋_GB2312" w:eastAsia="仿宋_GB2312"/>
          <w:sz w:val="32"/>
          <w:szCs w:val="32"/>
        </w:rPr>
        <w:t>因公出国（境）费0万元，比2020年增加（减少）0万元，无增减变化）；</w:t>
      </w:r>
      <w:r>
        <w:rPr>
          <w:rFonts w:hint="eastAsia" w:ascii="仿宋_GB2312" w:eastAsia="仿宋_GB2312" w:cs="Arial Unicode MS"/>
          <w:sz w:val="32"/>
          <w:szCs w:val="32"/>
          <w:lang w:bidi="ar-SA"/>
        </w:rPr>
        <w:t>②</w:t>
      </w:r>
      <w:r>
        <w:rPr>
          <w:rFonts w:hint="eastAsia" w:ascii="仿宋_GB2312" w:eastAsia="仿宋_GB2312"/>
          <w:sz w:val="32"/>
          <w:szCs w:val="32"/>
        </w:rPr>
        <w:t>公务用车购置及运行费5万元，其中：公务用车购置费为0万元，无增减变化；公务用车运行费5万元，无增减变化；</w:t>
      </w:r>
      <w:r>
        <w:rPr>
          <w:rFonts w:hint="eastAsia" w:ascii="仿宋_GB2312" w:eastAsia="仿宋_GB2312" w:cs="Arial Unicode MS"/>
          <w:sz w:val="32"/>
          <w:szCs w:val="32"/>
          <w:lang w:bidi="ar-SA"/>
        </w:rPr>
        <w:t>③</w:t>
      </w:r>
      <w:r>
        <w:rPr>
          <w:rFonts w:hint="eastAsia" w:ascii="仿宋_GB2312" w:eastAsia="仿宋_GB2312"/>
          <w:sz w:val="32"/>
          <w:szCs w:val="32"/>
        </w:rPr>
        <w:t>公务接待费0.67万元，无增减变化。</w:t>
      </w:r>
    </w:p>
    <w:p>
      <w:pPr>
        <w:spacing w:beforeLines="50" w:afterLines="50"/>
        <w:ind w:firstLine="640" w:firstLineChars="200"/>
        <w:jc w:val="left"/>
        <w:outlineLvl w:val="2"/>
        <w:rPr>
          <w:rFonts w:hint="eastAsia" w:ascii="仿宋_GB2312" w:eastAsia="仿宋_GB2312" w:cs="宋体"/>
          <w:sz w:val="32"/>
          <w:szCs w:val="32"/>
          <w:lang w:bidi="ar-SA"/>
        </w:rPr>
      </w:pPr>
      <w:bookmarkStart w:id="10" w:name="_Toc66435809"/>
      <w:r>
        <w:rPr>
          <w:rFonts w:hint="eastAsia" w:ascii="黑体" w:hAnsi="黑体" w:eastAsia="黑体"/>
          <w:color w:val="000000" w:themeColor="text1"/>
          <w:sz w:val="32"/>
        </w:rPr>
        <w:t>五、预算绩效信息</w:t>
      </w:r>
      <w:bookmarkEnd w:id="10"/>
    </w:p>
    <w:p>
      <w:pPr>
        <w:adjustRightInd w:val="0"/>
        <w:snapToGrid w:val="0"/>
        <w:spacing w:line="560" w:lineRule="exact"/>
        <w:ind w:firstLine="643" w:firstLineChars="200"/>
        <w:jc w:val="left"/>
        <w:rPr>
          <w:rFonts w:hint="eastAsia" w:ascii="仿宋_GB2312" w:eastAsia="仿宋_GB2312" w:cs="宋体"/>
          <w:b/>
          <w:bCs/>
          <w:sz w:val="32"/>
          <w:szCs w:val="32"/>
          <w:lang w:bidi="ar-SA"/>
        </w:rPr>
      </w:pPr>
      <w:r>
        <w:rPr>
          <w:rFonts w:hint="eastAsia" w:ascii="仿宋_GB2312" w:eastAsia="仿宋_GB2312" w:cs="宋体"/>
          <w:b/>
          <w:bCs/>
          <w:sz w:val="32"/>
          <w:szCs w:val="32"/>
          <w:lang w:bidi="ar-SA"/>
        </w:rPr>
        <w:t>第一部分 部门整体绩效目标</w:t>
      </w:r>
    </w:p>
    <w:p>
      <w:pPr>
        <w:numPr>
          <w:ilvl w:val="0"/>
          <w:numId w:val="3"/>
        </w:numPr>
        <w:adjustRightInd w:val="0"/>
        <w:snapToGrid w:val="0"/>
        <w:spacing w:line="560" w:lineRule="exact"/>
        <w:jc w:val="left"/>
        <w:rPr>
          <w:rFonts w:hint="eastAsia" w:ascii="仿宋_GB2312" w:eastAsia="仿宋_GB2312"/>
          <w:sz w:val="32"/>
          <w:szCs w:val="32"/>
        </w:rPr>
      </w:pPr>
      <w:r>
        <w:rPr>
          <w:rFonts w:hint="eastAsia" w:ascii="仿宋_GB2312" w:eastAsia="仿宋_GB2312"/>
          <w:sz w:val="32"/>
          <w:szCs w:val="32"/>
        </w:rPr>
        <w:t>总体绩效目标：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1、文化艺术和旅游管理：文化发展环境健康向上，文化发展能力不断增强，文化艺术资源丰富，公共文化服务和文化艺术生产水平不断提高。学习旅游业各种政策法规，规范行政执法行为。完成我区唐津运河生态旅游度假景区提升及全域乡村游专项规划。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组织旅游行业从业人员培训，提高服务质量。加强讲解员队伍管理，保障政务接待工作圆满完成。指导国际、国内旅行社的审核申报工作，负责星级饭店评定、初审申报和复核工作，提高我区旅游业服务质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2、文化宣传交流：提升文化交流档次和水平，不断增大我区文化产业产值，扩大我区文化影响力。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3、文化保护：构建健全的文化保护体系，文化保护工作得到全面加强，优秀文化得到传承和发扬。</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4、文化政务管理：确保各项文化业务工作谋划到位、顺利开展。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5、招商引资工作：通过外地考察招商、召开对外推介会等方式，大力宣传我区区位优势，力使更多投资商来丰南投资，落户丰南。</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6、项目建设：通过现场监督办公、实地踏查等方式，了解我区文化旅游体育产业项目的进展并及时追踪。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7、文物保护：组织开展物质和非物质文化遗产保护工作。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化市场综合执法：在区委、区政府的正确领导下，文化市场综合执法局按照全局工作总体部署，以净化社会文化环境为目标，大力开展辖区文化、旅游行业的监管整治行动，促进了辖区文化行业安全稳定健康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9、党建工作：加强全系统党组织建设工作，充分发挥党组织的战斗堡垒作用和党员队伍的先锋模范作用。</w:t>
      </w: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文化艺术和旅游管理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、公共文化服务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根据《丰南区文化体育精品创作和体育竞技奖励办法》对全区文化精品实施奖励的个数占计划奖励总个数的比例超过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根据《丰南区文广新局文化培训（产业）基地的认定办法》培育和认定的文化培训和产业基地数量超过</w:t>
      </w:r>
      <w:r>
        <w:rPr>
          <w:rFonts w:hint="eastAsia" w:ascii="仿宋_GB2312" w:eastAsia="仿宋_GB2312"/>
          <w:sz w:val="32"/>
          <w:szCs w:val="32"/>
        </w:rPr>
        <w:t>2</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建设省级公共文化服务示范区，实现公共图书馆、文化馆总分馆制和数字化建设，公共图书馆、文化馆、乡镇综合文化站等公共文化场馆免费开放率达到</w:t>
      </w:r>
      <w:r>
        <w:rPr>
          <w:rFonts w:hint="eastAsia" w:ascii="仿宋_GB2312" w:eastAsia="仿宋_GB2312"/>
          <w:sz w:val="32"/>
          <w:szCs w:val="32"/>
        </w:rPr>
        <w:t xml:space="preserve">100% </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组织策划公共文化服务活动、各类主题活动及各类艺术院团、业余文艺队伍演出的数量（场次）超过</w:t>
      </w:r>
      <w:r>
        <w:rPr>
          <w:rFonts w:hint="eastAsia" w:ascii="仿宋_GB2312" w:eastAsia="仿宋_GB2312"/>
          <w:sz w:val="32"/>
          <w:szCs w:val="32"/>
        </w:rPr>
        <w:t>12</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确保乡镇文化活动水平不断提高，活动内容更加丰富多彩，指导先进文化进农村、进基层工作，组织实施文艺团体进基层演出，组织文化人才进乡镇、进基层搞好文化辅导工作，演出、辅导场次超过</w:t>
      </w:r>
      <w:r>
        <w:rPr>
          <w:rFonts w:hint="eastAsia" w:ascii="仿宋_GB2312" w:eastAsia="仿宋_GB2312"/>
          <w:sz w:val="32"/>
          <w:szCs w:val="32"/>
        </w:rPr>
        <w:t>50</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年度内送流动文化服务活动的实际场次数占计划场次数的比例</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、文化艺术资源建设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管理、指导公共图书馆、文化馆等文化机构开展收藏、收集和保存工作；收藏、整理保管各类型资源文献、文化艺术作品和档案资料等；推广数字化建设和资源共享。</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收藏工作有序开展，收集品入藏情况达到</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收藏及保管物品完好率超过</w:t>
      </w:r>
      <w:r>
        <w:rPr>
          <w:rFonts w:hint="eastAsia" w:ascii="仿宋_GB2312" w:eastAsia="仿宋_GB2312"/>
          <w:sz w:val="32"/>
          <w:szCs w:val="32"/>
        </w:rPr>
        <w:t>95%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设施设备软硬件运行良好数量占总数量的</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、文化艺术生产</w:t>
      </w:r>
      <w:r>
        <w:rPr>
          <w:rFonts w:hint="eastAsia" w:ascii="仿宋_GB2312" w:eastAsia="仿宋_GB2312"/>
          <w:sz w:val="32"/>
          <w:szCs w:val="32"/>
        </w:rPr>
        <w:t xml:space="preserve">  </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美术、音乐、舞蹈、摄影、文学戏曲等各类原创文艺作品获得区级以上奖励的数量超过</w:t>
      </w:r>
      <w:r>
        <w:rPr>
          <w:rFonts w:hint="eastAsia" w:ascii="仿宋_GB2312" w:eastAsia="仿宋_GB2312"/>
          <w:sz w:val="32"/>
          <w:szCs w:val="32"/>
        </w:rPr>
        <w:t>10</w:t>
      </w:r>
      <w:r>
        <w:rPr>
          <w:rFonts w:hint="eastAsia" w:ascii="仿宋_GB2312" w:eastAsia="仿宋_GB2312" w:cs="宋体"/>
          <w:sz w:val="32"/>
          <w:szCs w:val="32"/>
          <w:lang w:bidi="ar-SA"/>
        </w:rPr>
        <w:t>件；</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积极组织政策法规学习</w:t>
      </w:r>
      <w:r>
        <w:rPr>
          <w:rFonts w:hint="eastAsia" w:ascii="仿宋_GB2312" w:eastAsia="仿宋_GB2312"/>
          <w:sz w:val="32"/>
          <w:szCs w:val="32"/>
        </w:rPr>
        <w:t>5</w:t>
      </w:r>
      <w:r>
        <w:rPr>
          <w:rFonts w:hint="eastAsia" w:ascii="仿宋_GB2312" w:eastAsia="仿宋_GB2312" w:cs="宋体"/>
          <w:sz w:val="32"/>
          <w:szCs w:val="32"/>
          <w:lang w:bidi="ar-SA"/>
        </w:rPr>
        <w:t>次以上；完成我区唐津运河生态旅游度假景区提升及全域乡村游专项规划；促进游客较上期增长达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推动乡村旅游工作开展，积极组织节庆活动，年内培育</w:t>
      </w:r>
      <w:r>
        <w:rPr>
          <w:rFonts w:hint="eastAsia" w:ascii="仿宋_GB2312" w:eastAsia="仿宋_GB2312"/>
          <w:sz w:val="32"/>
          <w:szCs w:val="32"/>
        </w:rPr>
        <w:t>1-2</w:t>
      </w:r>
      <w:r>
        <w:rPr>
          <w:rFonts w:hint="eastAsia" w:ascii="仿宋_GB2312" w:eastAsia="仿宋_GB2312" w:cs="宋体"/>
          <w:sz w:val="32"/>
          <w:szCs w:val="32"/>
          <w:lang w:bidi="ar-SA"/>
        </w:rPr>
        <w:t>家休闲农业与乡村旅游示范点创建单位；年内创建至少</w:t>
      </w:r>
      <w:r>
        <w:rPr>
          <w:rFonts w:hint="eastAsia" w:ascii="仿宋_GB2312" w:eastAsia="仿宋_GB2312"/>
          <w:sz w:val="32"/>
          <w:szCs w:val="32"/>
        </w:rPr>
        <w:t>1</w:t>
      </w:r>
      <w:r>
        <w:rPr>
          <w:rFonts w:hint="eastAsia" w:ascii="仿宋_GB2312" w:eastAsia="仿宋_GB2312" w:cs="宋体"/>
          <w:sz w:val="32"/>
          <w:szCs w:val="32"/>
          <w:lang w:bidi="ar-SA"/>
        </w:rPr>
        <w:t>家乡村旅游示范点；游客增长率</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及时有效完成统计工作，做好旅游有关统计调查工作，健全完善我区旅游接待统计体系每月一汇总，节假日重点统计，统计覆盖面</w:t>
      </w:r>
      <w:r>
        <w:rPr>
          <w:rFonts w:hint="eastAsia" w:ascii="仿宋_GB2312" w:eastAsia="仿宋_GB2312"/>
          <w:sz w:val="32"/>
          <w:szCs w:val="32"/>
        </w:rPr>
        <w:t>100%</w:t>
      </w:r>
      <w:r>
        <w:rPr>
          <w:rFonts w:hint="eastAsia" w:ascii="仿宋_GB2312" w:eastAsia="仿宋_GB2312" w:cs="宋体"/>
          <w:sz w:val="32"/>
          <w:szCs w:val="32"/>
          <w:lang w:bidi="ar-SA"/>
        </w:rPr>
        <w:t>，统计完成情况</w:t>
      </w:r>
      <w:r>
        <w:rPr>
          <w:rFonts w:hint="eastAsia" w:ascii="仿宋_GB2312" w:eastAsia="仿宋_GB2312"/>
          <w:sz w:val="32"/>
          <w:szCs w:val="32"/>
        </w:rPr>
        <w:t>100%</w:t>
      </w:r>
      <w:r>
        <w:rPr>
          <w:rFonts w:hint="eastAsia" w:ascii="仿宋_GB2312" w:eastAsia="仿宋_GB2312" w:cs="宋体"/>
          <w:sz w:val="32"/>
          <w:szCs w:val="32"/>
          <w:lang w:bidi="ar-SA"/>
        </w:rPr>
        <w:t>，游客较上期增长情况</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管理全区旅游市场，行业执法完成率达</w:t>
      </w:r>
      <w:r>
        <w:rPr>
          <w:rFonts w:hint="eastAsia" w:ascii="仿宋_GB2312" w:eastAsia="仿宋_GB2312"/>
          <w:sz w:val="32"/>
          <w:szCs w:val="32"/>
        </w:rPr>
        <w:t xml:space="preserve"> 100%</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开展旅游政务及形象宣传，组织宣传推介达到</w:t>
      </w:r>
      <w:r>
        <w:rPr>
          <w:rFonts w:hint="eastAsia" w:ascii="仿宋_GB2312" w:eastAsia="仿宋_GB2312"/>
          <w:sz w:val="32"/>
          <w:szCs w:val="32"/>
        </w:rPr>
        <w:t>5</w:t>
      </w:r>
      <w:r>
        <w:rPr>
          <w:rFonts w:hint="eastAsia" w:ascii="仿宋_GB2312" w:eastAsia="仿宋_GB2312" w:cs="宋体"/>
          <w:sz w:val="32"/>
          <w:szCs w:val="32"/>
          <w:lang w:bidi="ar-SA"/>
        </w:rPr>
        <w:t>次；设计制作完成至少</w:t>
      </w:r>
      <w:r>
        <w:rPr>
          <w:rFonts w:hint="eastAsia" w:ascii="仿宋_GB2312" w:eastAsia="仿宋_GB2312"/>
          <w:sz w:val="32"/>
          <w:szCs w:val="32"/>
        </w:rPr>
        <w:t>1</w:t>
      </w:r>
      <w:r>
        <w:rPr>
          <w:rFonts w:hint="eastAsia" w:ascii="仿宋_GB2312" w:eastAsia="仿宋_GB2312" w:cs="宋体"/>
          <w:sz w:val="32"/>
          <w:szCs w:val="32"/>
          <w:lang w:bidi="ar-SA"/>
        </w:rPr>
        <w:t>种宣传品；促使游客较上期增长达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指导全区旅游行业培训次数达到</w:t>
      </w:r>
      <w:r>
        <w:rPr>
          <w:rFonts w:hint="eastAsia" w:ascii="仿宋_GB2312" w:eastAsia="仿宋_GB2312"/>
          <w:sz w:val="32"/>
          <w:szCs w:val="32"/>
        </w:rPr>
        <w:t>5</w:t>
      </w:r>
      <w:r>
        <w:rPr>
          <w:rFonts w:hint="eastAsia" w:ascii="仿宋_GB2312" w:eastAsia="仿宋_GB2312" w:cs="宋体"/>
          <w:sz w:val="32"/>
          <w:szCs w:val="32"/>
          <w:lang w:bidi="ar-SA"/>
        </w:rPr>
        <w:t>次，促使游客较上期增长</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7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⑦</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提高我区旅游业服务质量，星级饭店评定、初审申报和复核完成率达</w:t>
      </w:r>
      <w:r>
        <w:rPr>
          <w:rFonts w:hint="eastAsia" w:ascii="仿宋_GB2312" w:eastAsia="仿宋_GB2312"/>
          <w:sz w:val="32"/>
          <w:szCs w:val="32"/>
        </w:rPr>
        <w:t xml:space="preserve"> 100%</w:t>
      </w:r>
      <w:r>
        <w:rPr>
          <w:rFonts w:hint="eastAsia" w:ascii="仿宋_GB2312" w:eastAsia="仿宋_GB2312" w:cs="宋体"/>
          <w:sz w:val="32"/>
          <w:szCs w:val="32"/>
          <w:lang w:bidi="ar-SA"/>
        </w:rPr>
        <w:t>，促使游客较上期增长情况</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2.文化旅游宣传交流</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、利用各类文化旅游交流平台开展的文化交流合作超过</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、及时对区文化精品、文化旅游产品和翁、文化旅游项目进行综合宣传推介，申报率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、推介和获奖项目媒体宣传率超过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健全各级非遗保护名录</w:t>
      </w:r>
      <w:r>
        <w:rPr>
          <w:rFonts w:hint="eastAsia" w:ascii="仿宋_GB2312" w:eastAsia="仿宋_GB2312"/>
          <w:sz w:val="32"/>
          <w:szCs w:val="32"/>
        </w:rPr>
        <w:t>3</w:t>
      </w:r>
      <w:r>
        <w:rPr>
          <w:rFonts w:hint="eastAsia" w:ascii="仿宋_GB2312" w:eastAsia="仿宋_GB2312" w:cs="宋体"/>
          <w:sz w:val="32"/>
          <w:szCs w:val="32"/>
          <w:lang w:bidi="ar-SA"/>
        </w:rPr>
        <w:t>个，展示和传承优秀非遗项目数量</w:t>
      </w:r>
      <w:r>
        <w:rPr>
          <w:rFonts w:hint="eastAsia" w:ascii="仿宋_GB2312" w:eastAsia="仿宋_GB2312"/>
          <w:sz w:val="32"/>
          <w:szCs w:val="32"/>
        </w:rPr>
        <w:t>5</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确保各项业务工作谋划到位、顺利开展，综合业务管理工作完成率</w:t>
      </w:r>
      <w:r>
        <w:rPr>
          <w:rFonts w:hint="eastAsia" w:ascii="仿宋_GB2312" w:eastAsia="仿宋_GB2312"/>
          <w:sz w:val="32"/>
          <w:szCs w:val="32"/>
        </w:rPr>
        <w:t>100%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5.体育发展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w:t>
      </w:r>
      <w:r>
        <w:rPr>
          <w:rFonts w:hint="eastAsia" w:ascii="仿宋_GB2312" w:eastAsia="仿宋_GB2312" w:cs="宋体"/>
          <w:sz w:val="32"/>
          <w:szCs w:val="32"/>
          <w:lang w:bidi="ar-SA"/>
        </w:rPr>
        <w:t>）组织开展大型全民健身活动次数超过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2</w:t>
      </w:r>
      <w:r>
        <w:rPr>
          <w:rFonts w:hint="eastAsia" w:ascii="仿宋_GB2312" w:eastAsia="仿宋_GB2312" w:cs="宋体"/>
          <w:sz w:val="32"/>
          <w:szCs w:val="32"/>
          <w:lang w:bidi="ar-SA"/>
        </w:rPr>
        <w:t>）当年全区全民健身活动数量超过</w:t>
      </w:r>
      <w:r>
        <w:rPr>
          <w:rFonts w:hint="eastAsia" w:ascii="仿宋_GB2312" w:eastAsia="仿宋_GB2312"/>
          <w:sz w:val="32"/>
          <w:szCs w:val="32"/>
        </w:rPr>
        <w:t>110</w:t>
      </w:r>
      <w:r>
        <w:rPr>
          <w:rFonts w:hint="eastAsia" w:ascii="仿宋_GB2312" w:eastAsia="仿宋_GB2312" w:cs="宋体"/>
          <w:sz w:val="32"/>
          <w:szCs w:val="32"/>
          <w:lang w:bidi="ar-SA"/>
        </w:rPr>
        <w:t>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3</w:t>
      </w:r>
      <w:r>
        <w:rPr>
          <w:rFonts w:hint="eastAsia" w:ascii="仿宋_GB2312" w:eastAsia="仿宋_GB2312" w:cs="宋体"/>
          <w:sz w:val="32"/>
          <w:szCs w:val="32"/>
          <w:lang w:bidi="ar-SA"/>
        </w:rPr>
        <w:t>）当年培训各级社会体育指导员及体育骨干数量超过</w:t>
      </w:r>
      <w:r>
        <w:rPr>
          <w:rFonts w:hint="eastAsia" w:ascii="仿宋_GB2312" w:eastAsia="仿宋_GB2312"/>
          <w:sz w:val="32"/>
          <w:szCs w:val="32"/>
        </w:rPr>
        <w:t>50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4</w:t>
      </w:r>
      <w:r>
        <w:rPr>
          <w:rFonts w:hint="eastAsia" w:ascii="仿宋_GB2312" w:eastAsia="仿宋_GB2312" w:cs="宋体"/>
          <w:sz w:val="32"/>
          <w:szCs w:val="32"/>
          <w:lang w:bidi="ar-SA"/>
        </w:rPr>
        <w:t>）当年群众体育队伍数量超过</w:t>
      </w:r>
      <w:r>
        <w:rPr>
          <w:rFonts w:hint="eastAsia" w:ascii="仿宋_GB2312" w:eastAsia="仿宋_GB2312"/>
          <w:sz w:val="32"/>
          <w:szCs w:val="32"/>
        </w:rPr>
        <w:t>450</w:t>
      </w:r>
      <w:r>
        <w:rPr>
          <w:rFonts w:hint="eastAsia" w:ascii="仿宋_GB2312" w:eastAsia="仿宋_GB2312" w:cs="宋体"/>
          <w:sz w:val="32"/>
          <w:szCs w:val="32"/>
          <w:lang w:bidi="ar-SA"/>
        </w:rPr>
        <w:t>支；</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5</w:t>
      </w:r>
      <w:r>
        <w:rPr>
          <w:rFonts w:hint="eastAsia" w:ascii="仿宋_GB2312" w:eastAsia="仿宋_GB2312" w:cs="宋体"/>
          <w:sz w:val="32"/>
          <w:szCs w:val="32"/>
          <w:lang w:bidi="ar-SA"/>
        </w:rPr>
        <w:t>）当年下基层体育活动辅导次数超过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6</w:t>
      </w:r>
      <w:r>
        <w:rPr>
          <w:rFonts w:hint="eastAsia" w:ascii="仿宋_GB2312" w:eastAsia="仿宋_GB2312" w:cs="宋体"/>
          <w:sz w:val="32"/>
          <w:szCs w:val="32"/>
          <w:lang w:bidi="ar-SA"/>
        </w:rPr>
        <w:t>）当年接受国民体质监测人数超过</w:t>
      </w:r>
      <w:r>
        <w:rPr>
          <w:rFonts w:hint="eastAsia" w:ascii="仿宋_GB2312" w:eastAsia="仿宋_GB2312"/>
          <w:sz w:val="32"/>
          <w:szCs w:val="32"/>
        </w:rPr>
        <w:t>300</w:t>
      </w:r>
      <w:r>
        <w:rPr>
          <w:rFonts w:hint="eastAsia" w:ascii="仿宋_GB2312" w:eastAsia="仿宋_GB2312" w:cs="宋体"/>
          <w:sz w:val="32"/>
          <w:szCs w:val="32"/>
          <w:lang w:bidi="ar-SA"/>
        </w:rPr>
        <w:t>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7</w:t>
      </w:r>
      <w:r>
        <w:rPr>
          <w:rFonts w:hint="eastAsia" w:ascii="仿宋_GB2312" w:eastAsia="仿宋_GB2312" w:cs="宋体"/>
          <w:sz w:val="32"/>
          <w:szCs w:val="32"/>
          <w:lang w:bidi="ar-SA"/>
        </w:rPr>
        <w:t>）年度内直接参加大型全民健身活动的总人数较上年的增长超过</w:t>
      </w:r>
      <w:r>
        <w:rPr>
          <w:rFonts w:hint="eastAsia" w:ascii="仿宋_GB2312" w:eastAsia="仿宋_GB2312"/>
          <w:sz w:val="32"/>
          <w:szCs w:val="32"/>
        </w:rPr>
        <w:t>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8</w:t>
      </w:r>
      <w:r>
        <w:rPr>
          <w:rFonts w:hint="eastAsia" w:ascii="仿宋_GB2312" w:eastAsia="仿宋_GB2312" w:cs="宋体"/>
          <w:sz w:val="32"/>
          <w:szCs w:val="32"/>
          <w:lang w:bidi="ar-SA"/>
        </w:rPr>
        <w:t>）当年群众体育活动现场观摩群众数量超过</w:t>
      </w:r>
      <w:r>
        <w:rPr>
          <w:rFonts w:hint="eastAsia" w:ascii="仿宋_GB2312" w:eastAsia="仿宋_GB2312"/>
          <w:sz w:val="32"/>
          <w:szCs w:val="32"/>
        </w:rPr>
        <w:t>3000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9</w:t>
      </w:r>
      <w:r>
        <w:rPr>
          <w:rFonts w:hint="eastAsia" w:ascii="仿宋_GB2312" w:eastAsia="仿宋_GB2312" w:cs="宋体"/>
          <w:sz w:val="32"/>
          <w:szCs w:val="32"/>
          <w:lang w:bidi="ar-SA"/>
        </w:rPr>
        <w:t>）组织举办单项体育运动比赛次数超过</w:t>
      </w:r>
      <w:r>
        <w:rPr>
          <w:rFonts w:hint="eastAsia" w:ascii="仿宋_GB2312" w:eastAsia="仿宋_GB2312"/>
          <w:sz w:val="32"/>
          <w:szCs w:val="32"/>
        </w:rPr>
        <w:t>4</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10</w:t>
      </w:r>
      <w:r>
        <w:rPr>
          <w:rFonts w:hint="eastAsia" w:ascii="仿宋_GB2312" w:eastAsia="仿宋_GB2312" w:cs="宋体"/>
          <w:sz w:val="32"/>
          <w:szCs w:val="32"/>
          <w:lang w:bidi="ar-SA"/>
        </w:rPr>
        <w:t>）加快培养竞技体育人才，组织参加各项比赛活动获得全国、省、市比赛的成绩，省级前三名</w:t>
      </w:r>
      <w:r>
        <w:rPr>
          <w:rFonts w:hint="eastAsia" w:ascii="仿宋_GB2312" w:eastAsia="仿宋_GB2312"/>
          <w:sz w:val="32"/>
          <w:szCs w:val="32"/>
        </w:rPr>
        <w:t>1</w:t>
      </w:r>
      <w:r>
        <w:rPr>
          <w:rFonts w:hint="eastAsia" w:ascii="仿宋_GB2312" w:eastAsia="仿宋_GB2312" w:cs="宋体"/>
          <w:sz w:val="32"/>
          <w:szCs w:val="32"/>
          <w:lang w:bidi="ar-SA"/>
        </w:rPr>
        <w:t>次或市级前三名</w:t>
      </w:r>
      <w:r>
        <w:rPr>
          <w:rFonts w:hint="eastAsia" w:ascii="仿宋_GB2312" w:eastAsia="仿宋_GB2312"/>
          <w:sz w:val="32"/>
          <w:szCs w:val="32"/>
        </w:rPr>
        <w:t>2</w:t>
      </w:r>
      <w:r>
        <w:rPr>
          <w:rFonts w:hint="eastAsia" w:ascii="仿宋_GB2312" w:eastAsia="仿宋_GB2312" w:cs="宋体"/>
          <w:sz w:val="32"/>
          <w:szCs w:val="32"/>
          <w:lang w:bidi="ar-SA"/>
        </w:rPr>
        <w:t>次或区级前三名</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11</w:t>
      </w:r>
      <w:r>
        <w:rPr>
          <w:rFonts w:hint="eastAsia" w:ascii="仿宋_GB2312" w:eastAsia="仿宋_GB2312" w:cs="宋体"/>
          <w:sz w:val="32"/>
          <w:szCs w:val="32"/>
          <w:lang w:bidi="ar-SA"/>
        </w:rPr>
        <w:t>）加强体育设施建设，改善提高体育场馆设施、设备。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6.招商引资工作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文化体育旅游项目中的招商引资签约项目数量及客商意向数量增加；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7.项目建设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按要求积极推进旅游项目建设，并积极对外推介宣传。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8.文物保护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负责贯彻执行《中华人民共和国文物保护法》以及上级政府和主管部门政策、法规、规划、制度办法并监督实施，做好全区文物保护、管理、抢救、发掘工作。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9.文化市场综合执法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（1）、文化、体育市场监管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年度内对文化、体育行业经营单位的检查数占全区文化经营单位的比例达100%；查处文化、体育行业违规违法案件数占案件发生数的100%；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（2）、出版、印刷、发行行业监管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年度内对出版物、印刷、发行行业经营单位的检查数占全区文化经营单位的比例100%；查处出版、印刷、发行行业违规违法案件数占案件发生数的100%；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（3）、广播电影、电视行业监管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年度内对广播电影、电视行业经营单位的检查数占全区文化经营单位的100%；查处广播电影、电视行业违规违法案件数占案件发生数的100%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（4）、“扫黄打非”工作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年度内查处“扫黄打非”案件数占案件发生数的比例100%。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（5）、安全生产监管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年度内安全经营单位占全区文化经营单位的比例达到100%。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（6）、参加上级执法培训，并组织全区经营单位负责人安全生产及法律法规教育培训；组织安全生产及文化市场法律法规宣传。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9.党建工作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（1）、积极发展新党员；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(2)、积极发展入党积极分子；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(3)、积极开展的各项党建和精神文明建设活动；</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(4)、组织全系统党员理论学习。</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、加强思想重视：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高度重视，深入学习，统一思想，使全体员工充分认识到规划目标完成的重要性，在全局上下形成共识，为各项工作的顺利进展奠定思想基础；</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、加强组织保障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局机关和下属单位要成立绩效目标完成领导小组，小组负责制定绩效目标完成计划方案，负责绩效任务的工作分解和绩效目标完成的督导、考核工作，全力保障全局绩效目标的完成。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、加强制度实施：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统筹进度安排，按照绩效目标明确的任务，各部门科室和下属单位制定详细的年度工作计划，责任到人，对各阶段的巩固总任务进行合理分解，按照时间节点保障完成；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、加强评价机制：</w:t>
      </w:r>
    </w:p>
    <w:p>
      <w:pPr>
        <w:spacing w:line="500" w:lineRule="exact"/>
        <w:ind w:firstLine="640" w:firstLineChars="200"/>
        <w:jc w:val="left"/>
        <w:rPr>
          <w:rFonts w:hint="eastAsia" w:ascii="仿宋_GB2312" w:eastAsia="仿宋_GB2312" w:cs="宋体"/>
          <w:sz w:val="32"/>
          <w:szCs w:val="32"/>
          <w:lang w:bidi="ar-SA"/>
        </w:rPr>
      </w:pPr>
      <w:r>
        <w:rPr>
          <w:rFonts w:hint="eastAsia" w:ascii="仿宋_GB2312" w:eastAsia="仿宋_GB2312" w:cs="宋体"/>
          <w:sz w:val="32"/>
          <w:szCs w:val="32"/>
          <w:lang w:bidi="ar-SA"/>
        </w:rPr>
        <w:t>建立完善干部管理和业务管理机制，把绩效考核和人员考核挂钩，根据人员分工，按照工作完成情况做好阶段评估和干部考核，确保高质量完成各项目标任务。</w:t>
      </w: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firstLine="640" w:firstLineChars="200"/>
        <w:jc w:val="left"/>
        <w:rPr>
          <w:rFonts w:hint="eastAsia" w:ascii="仿宋_GB2312" w:eastAsia="仿宋_GB2312" w:cs="宋体"/>
          <w:sz w:val="32"/>
          <w:szCs w:val="32"/>
          <w:lang w:bidi="ar-SA"/>
        </w:rPr>
      </w:pPr>
    </w:p>
    <w:p>
      <w:pPr>
        <w:spacing w:line="500" w:lineRule="exact"/>
        <w:ind w:left="0"/>
        <w:jc w:val="left"/>
        <w:rPr>
          <w:rFonts w:hint="eastAsia"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3" w:firstLineChars="200"/>
        <w:jc w:val="left"/>
        <w:outlineLvl w:val="0"/>
        <w:rPr>
          <w:rFonts w:hint="eastAsia" w:ascii="仿宋_GB2312" w:eastAsia="仿宋_GB2312"/>
          <w:b/>
          <w:bCs/>
          <w:color w:val="FF0000"/>
          <w:sz w:val="32"/>
          <w:szCs w:val="32"/>
        </w:rPr>
      </w:pPr>
      <w:r>
        <w:rPr>
          <w:rFonts w:hint="eastAsia" w:ascii="仿宋_GB2312" w:eastAsia="仿宋_GB2312"/>
          <w:b/>
          <w:bCs/>
          <w:sz w:val="32"/>
          <w:szCs w:val="32"/>
        </w:rPr>
        <w:t>第二部分 专项资金绩效目标</w:t>
      </w:r>
      <w:bookmarkStart w:id="11" w:name="_Toc65801417"/>
    </w:p>
    <w:p>
      <w:pPr>
        <w:spacing w:line="360" w:lineRule="exact"/>
        <w:ind w:firstLine="640" w:firstLineChars="200"/>
        <w:jc w:val="left"/>
        <w:rPr>
          <w:rFonts w:hint="eastAsia" w:ascii="仿宋_GB2312" w:eastAsia="仿宋_GB2312"/>
          <w:sz w:val="32"/>
          <w:szCs w:val="32"/>
        </w:rPr>
      </w:pPr>
      <w:r>
        <w:rPr>
          <w:rFonts w:hint="eastAsia" w:ascii="仿宋_GB2312" w:eastAsia="仿宋_GB2312"/>
          <w:sz w:val="32"/>
          <w:szCs w:val="32"/>
        </w:rPr>
        <w:t>1.提前下达2021年省级非物质文化遗产保护专项资金（唐财教[2020]116号）（专项资金）绩效目标表</w:t>
      </w:r>
      <w:bookmarkEnd w:id="11"/>
      <w:r>
        <w:rPr>
          <w:rFonts w:hint="eastAsia" w:ascii="仿宋_GB2312" w:eastAsia="仿宋_GB2312"/>
          <w:sz w:val="32"/>
          <w:szCs w:val="32"/>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1.及时拨付孙氏银器制作技艺传承人传习活动补助经费，保护省级非物质文化遗产</w:t>
            </w:r>
          </w:p>
          <w:p>
            <w:pPr>
              <w:spacing w:line="300" w:lineRule="exact"/>
              <w:jc w:val="center"/>
              <w:rPr>
                <w:rFonts w:hint="eastAsia" w:ascii="方正书宋_GBK" w:eastAsia="方正书宋_GBK"/>
              </w:rPr>
            </w:pPr>
            <w:r>
              <w:rPr>
                <w:rFonts w:hint="eastAsia" w:ascii="方正书宋_GBK" w:eastAsia="方正书宋_GBK"/>
              </w:rPr>
              <w:t>2.促进我区非物质文化遗产工作顺利开展。</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补助金发放率(%)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 xml:space="preserve"> 非遗传承展示推广活动受众人数</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非遗传承、展示、推广活动受众人数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受众人数较上年增长明显提高</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非遗产品价值较上年增长情况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非遗产品价值较上年增长情况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较上一年度增加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非遗项目传承发展情况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非遗项目传承发展情况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发展情况良好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非遗传承名录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社会参与非遗保护与传承渠道</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社会参与非遗保护与传承渠道</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较上一年度增加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p>
        </w:tc>
      </w:tr>
    </w:tbl>
    <w:p>
      <w:pPr>
        <w:spacing w:line="300" w:lineRule="exact"/>
        <w:jc w:val="center"/>
        <w:rPr>
          <w:rFonts w:hint="eastAsia" w:ascii="仿宋_GB2312" w:eastAsia="仿宋_GB2312"/>
          <w:sz w:val="32"/>
          <w:szCs w:val="32"/>
        </w:rPr>
        <w:sectPr>
          <w:footerReference r:id="rId7" w:type="default"/>
          <w:pgSz w:w="11907" w:h="16839"/>
          <w:pgMar w:top="1984" w:right="1304" w:bottom="1134" w:left="1304" w:header="851" w:footer="992" w:gutter="0"/>
          <w:cols w:space="720" w:num="1"/>
          <w:docGrid w:type="lines" w:linePitch="312" w:charSpace="0"/>
        </w:sectPr>
      </w:pPr>
    </w:p>
    <w:p>
      <w:pPr>
        <w:ind w:firstLine="640" w:firstLineChars="200"/>
        <w:jc w:val="left"/>
        <w:outlineLvl w:val="3"/>
        <w:rPr>
          <w:rFonts w:hint="eastAsia" w:ascii="仿宋_GB2312" w:eastAsia="仿宋_GB2312"/>
          <w:sz w:val="32"/>
          <w:szCs w:val="32"/>
        </w:rPr>
      </w:pPr>
      <w:bookmarkStart w:id="12" w:name="_Toc65801432"/>
      <w:r>
        <w:rPr>
          <w:rFonts w:hint="eastAsia" w:ascii="仿宋_GB2312" w:eastAsia="仿宋_GB2312"/>
          <w:sz w:val="32"/>
          <w:szCs w:val="32"/>
        </w:rPr>
        <w:t>2.提前下达2021年中央补助地方美术馆 公共图书馆 文化馆(站)免费开放补助资金(唐财教[2020]96号)（专项资金）绩效目标表</w:t>
      </w:r>
      <w:bookmarkEnd w:id="1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1.通过拨付文化站免费开放专项资金，提供更加完善的活动场所</w:t>
            </w:r>
          </w:p>
          <w:p>
            <w:pPr>
              <w:spacing w:line="300" w:lineRule="exact"/>
              <w:jc w:val="left"/>
              <w:rPr>
                <w:rFonts w:hint="eastAsia" w:ascii="方正书宋_GBK" w:eastAsia="方正书宋_GBK"/>
              </w:rPr>
            </w:pPr>
            <w:r>
              <w:rPr>
                <w:rFonts w:hint="eastAsia" w:ascii="方正书宋_GBK" w:eastAsia="方正书宋_GBK"/>
              </w:rPr>
              <w:t>2.丰富基层群众文化生活</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公共文化服务设施提升程度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公共文化服务设施水平提升情况</w:t>
            </w:r>
          </w:p>
          <w:p>
            <w:pPr>
              <w:spacing w:line="300" w:lineRule="exact"/>
              <w:jc w:val="left"/>
              <w:rPr>
                <w:rFonts w:hint="eastAsia"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国民综合文化服务率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文化站国民综合文化服务率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hint="eastAsia" w:ascii="仿宋_GB2312" w:eastAsia="仿宋_GB2312"/>
          <w:sz w:val="32"/>
          <w:szCs w:val="32"/>
        </w:rPr>
      </w:pPr>
      <w:bookmarkStart w:id="13" w:name="_Toc65801435"/>
      <w:r>
        <w:rPr>
          <w:rFonts w:hint="eastAsia" w:ascii="仿宋_GB2312" w:eastAsia="仿宋_GB2312"/>
          <w:sz w:val="32"/>
          <w:szCs w:val="32"/>
        </w:rPr>
        <w:t>3.提前下达2021年省级“三馆一站”免费开放补助资金（唐财教[2020]118号）（专项资金）绩效目标表</w:t>
      </w:r>
      <w:bookmarkEnd w:id="1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1.通过拨付文化站免费开放专项资金，提供更加完善的活动场所</w:t>
            </w:r>
          </w:p>
          <w:p>
            <w:pPr>
              <w:spacing w:line="300" w:lineRule="exact"/>
              <w:jc w:val="left"/>
              <w:rPr>
                <w:rFonts w:hint="eastAsia" w:ascii="方正书宋_GBK" w:eastAsia="方正书宋_GBK"/>
              </w:rPr>
            </w:pPr>
            <w:r>
              <w:rPr>
                <w:rFonts w:hint="eastAsia" w:ascii="方正书宋_GBK" w:eastAsia="方正书宋_GBK"/>
              </w:rPr>
              <w:t>2.丰富基层群众文化生活</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群众参与人次较上年增长情况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公共文化服务设施提升程度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公共文化服务设施水平提升情况</w:t>
            </w:r>
          </w:p>
          <w:p>
            <w:pPr>
              <w:spacing w:line="300" w:lineRule="exact"/>
              <w:jc w:val="left"/>
              <w:rPr>
                <w:rFonts w:hint="eastAsia" w:ascii="方正书宋_GBK" w:eastAsia="方正书宋_GBK"/>
              </w:rPr>
            </w:pP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国民综合文化服务率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文化站国民综合文化服务率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免费开放文化场馆（站）正常运转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920"/>
        <w:jc w:val="left"/>
        <w:outlineLvl w:val="0"/>
        <w:rPr>
          <w:rFonts w:hint="eastAsia" w:ascii="仿宋_GB2312" w:eastAsia="仿宋_GB2312"/>
          <w:sz w:val="32"/>
          <w:szCs w:val="32"/>
        </w:rPr>
      </w:pPr>
      <w:r>
        <w:rPr>
          <w:rFonts w:hint="eastAsia" w:ascii="仿宋_GB2312" w:eastAsia="仿宋_GB2312"/>
          <w:sz w:val="32"/>
          <w:szCs w:val="32"/>
        </w:rPr>
        <w:t>第三部分 预算项目绩效目标</w:t>
      </w:r>
    </w:p>
    <w:p>
      <w:pPr>
        <w:adjustRightInd w:val="0"/>
        <w:snapToGrid w:val="0"/>
        <w:spacing w:line="560" w:lineRule="exact"/>
        <w:ind w:left="920"/>
        <w:jc w:val="left"/>
        <w:outlineLvl w:val="0"/>
        <w:rPr>
          <w:rFonts w:hint="eastAsia"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sz w:val="32"/>
          <w:szCs w:val="32"/>
        </w:rPr>
        <w:t>文旅宣传推介及项目招商相关费用（项目）绩效目标表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1.为增强我区旅游产业竞争力和影响力，打造丰南旅游品牌。</w:t>
            </w:r>
          </w:p>
          <w:p>
            <w:pPr>
              <w:spacing w:line="300" w:lineRule="exact"/>
              <w:jc w:val="center"/>
              <w:rPr>
                <w:rFonts w:hint="eastAsia" w:ascii="方正书宋_GBK" w:eastAsia="方正书宋_GBK"/>
              </w:rPr>
            </w:pPr>
            <w:r>
              <w:rPr>
                <w:rFonts w:hint="eastAsia" w:ascii="方正书宋_GBK" w:eastAsia="方正书宋_GBK"/>
              </w:rPr>
              <w:t>2.保障我区文旅项目宣传推介及招商顺利进行。</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制作宣传品数量（份）</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制作宣传品的数量</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≥2000份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开展宣传方式的品种或数量</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反映开展对外宣传形式的多样性</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≥3种</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宣传品种类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我区旅游产品、产业发展情况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我区旅游产业发展情况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旅游产业发展良好</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旅游产业对国民经济发展的贡献率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反映旅游产业对经济发展的拉动作用</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≥0.5%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宣传旅游事业发展的促进推动作用</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通过宣传，带动全区旅游事业发展的效果</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极大的促进了旅游产业发展</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能够长期较好地开展旅游宣传</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长期较好地开展旅游宣传</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bl>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00" w:lineRule="exact"/>
        <w:jc w:val="center"/>
        <w:rPr>
          <w:rFonts w:hint="eastAsia" w:ascii="仿宋_GB2312" w:eastAsia="仿宋_GB2312"/>
          <w:sz w:val="32"/>
          <w:szCs w:val="32"/>
        </w:rPr>
      </w:pPr>
    </w:p>
    <w:p>
      <w:pPr>
        <w:spacing w:line="360" w:lineRule="exact"/>
        <w:ind w:firstLine="640" w:firstLineChars="200"/>
        <w:jc w:val="left"/>
        <w:rPr>
          <w:rFonts w:hint="eastAsia" w:ascii="仿宋_GB2312" w:eastAsia="仿宋_GB2312"/>
          <w:sz w:val="32"/>
          <w:szCs w:val="32"/>
        </w:rPr>
      </w:pPr>
      <w:r>
        <w:rPr>
          <w:rFonts w:hint="eastAsia" w:ascii="仿宋_GB2312" w:eastAsia="仿宋_GB2312"/>
          <w:sz w:val="32"/>
          <w:szCs w:val="32"/>
        </w:rPr>
        <w:t>2.三馆运行费（项目）绩效目标表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绩效目标</w:t>
            </w:r>
          </w:p>
        </w:tc>
        <w:tc>
          <w:tcPr>
            <w:tcW w:w="8278" w:type="dxa"/>
            <w:tcBorders>
              <w:bottom w:val="nil"/>
            </w:tcBorders>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1.按时支付三馆设施维修维护、消防维保、保洁等相关费用</w:t>
            </w:r>
          </w:p>
          <w:p>
            <w:pPr>
              <w:spacing w:line="300" w:lineRule="exact"/>
              <w:jc w:val="center"/>
              <w:rPr>
                <w:rFonts w:hint="eastAsia" w:ascii="方正书宋_GBK" w:eastAsia="方正书宋_GBK"/>
              </w:rPr>
            </w:pPr>
            <w:r>
              <w:rPr>
                <w:rFonts w:hint="eastAsia" w:ascii="方正书宋_GBK" w:eastAsia="方正书宋_GBK"/>
              </w:rPr>
              <w:t>2.通过及时对设施维护，保障运行安全、环境整洁。</w:t>
            </w:r>
          </w:p>
        </w:tc>
      </w:tr>
    </w:tbl>
    <w:p>
      <w:pPr>
        <w:spacing w:line="300" w:lineRule="exact"/>
        <w:jc w:val="center"/>
        <w:rPr>
          <w:rFonts w:hint="eastAsia" w:ascii="方正书宋_GBK" w:eastAsia="方正书宋_GBK"/>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一级指标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二级指标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三级指标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绩效指标描述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基本公共文化服务覆盖率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实际登记的读者数量</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≥24000人</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设备运行情况良好率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日常巡查维修及时率</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有记录的巡查维修到场次数占规定巡查维修到场次数的比率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公共文化服务水平提升情况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公共设施运行情况</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公共设施稳定运行情况</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公共设施正常开放情况</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对宣传文化事业发展的推动作用</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通过支持图书、规划、档案馆运行，带动全区文化、规划、档案事业发展的效果</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文化事业，规划、档案事业蓬勃发展</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文化、规划、档案事业发展情况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szCs w:val="28"/>
        </w:rPr>
      </w:pPr>
    </w:p>
    <w:p>
      <w:pPr>
        <w:adjustRightInd w:val="0"/>
        <w:snapToGrid w:val="0"/>
        <w:spacing w:line="560" w:lineRule="exact"/>
        <w:ind w:left="0" w:firstLine="0"/>
        <w:jc w:val="left"/>
        <w:outlineLvl w:val="0"/>
        <w:rPr>
          <w:rFonts w:hint="eastAsia" w:ascii="方正仿宋_GBK" w:eastAsia="方正仿宋_GBK"/>
          <w:b/>
          <w:sz w:val="28"/>
          <w:szCs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3.文化市场综合执法经费（项目）绩效目标表</w:t>
      </w:r>
      <w:r>
        <w:rPr>
          <w:rFonts w:hint="eastAsia" w:ascii="方正仿宋_GBK" w:eastAsia="方正仿宋_GBK"/>
          <w:b/>
          <w:vanish/>
          <w:sz w:val="28"/>
        </w:rPr>
        <w:t>{ TC 4、文化市场综合执法经费绩效目标表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1.保证我区文化旅游市场健康有序发展。</w:t>
            </w:r>
          </w:p>
          <w:p>
            <w:pPr>
              <w:spacing w:line="300" w:lineRule="exact"/>
              <w:jc w:val="left"/>
              <w:rPr>
                <w:rFonts w:hint="eastAsia" w:ascii="方正书宋_GBK" w:eastAsia="方正书宋_GBK"/>
              </w:rPr>
            </w:pPr>
            <w:r>
              <w:rPr>
                <w:rFonts w:hint="eastAsia" w:ascii="方正书宋_GBK" w:eastAsia="方正书宋_GBK"/>
              </w:rPr>
              <w:t>2.保障文化市场综合行政执法工作的正常运行。</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文化旅游市场执法次数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推进文化法治建设</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提高执法人员业务水平和干部群众守法意识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不定期开展法治宣传教育培训</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坚持不断长期执法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全年不间断执法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不间断执法时间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维护文化旅游市场繁荣稳定</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维护文化旅游市场繁荣稳定，提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社会稳定水平提高显著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通过打击违法犯罪行为，促进社会稳定水平逐步提高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社会稳定水平提高显著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文化旅游经营者违法案件显著减少</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推进我区文化旅游市场健康有序发展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文化旅游经营者</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违法行为次数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文化旅游产业经营者满意程度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562" w:firstLineChars="200"/>
        <w:jc w:val="left"/>
        <w:outlineLvl w:val="3"/>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4.大剧院运行费（项目）绩效目标表</w:t>
      </w:r>
      <w:r>
        <w:rPr>
          <w:rFonts w:hint="eastAsia" w:ascii="方正仿宋_GBK" w:eastAsia="方正仿宋_GBK"/>
          <w:b/>
          <w:vanish/>
          <w:sz w:val="28"/>
        </w:rPr>
        <w:t>{ TC 5、大剧院运行费绩效目标表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1.按时支付三馆设施维修维护、消防维保、保洁等相关费用。</w:t>
            </w:r>
          </w:p>
          <w:p>
            <w:pPr>
              <w:spacing w:line="300" w:lineRule="exact"/>
              <w:jc w:val="left"/>
              <w:rPr>
                <w:rFonts w:hint="eastAsia" w:ascii="方正书宋_GBK" w:eastAsia="方正书宋_GBK"/>
              </w:rPr>
            </w:pPr>
            <w:r>
              <w:rPr>
                <w:rFonts w:hint="eastAsia" w:ascii="方正书宋_GBK" w:eastAsia="方正书宋_GBK"/>
              </w:rPr>
              <w:t>2.定时发放相关人员工资，保障大剧院正常运转。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大剧院正常运转率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剧院正常运行，占日常使用场次比例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日常巡查维修及时率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有记录的巡查维修到场次数占规定巡查维修到场次数的比率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对公共服务水平的提升情况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公共设施运行情况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公共设施稳定运行情况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剧院公共设施正常运行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对宣传文化事业发展的推动作用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通过支持大剧院运行，带动全区文化事业发展的效果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全区文化事业发展情况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5.农村文化建设-全区444个行政村光纤服务费（项目）绩效目标表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1.所有服务活动满足群众文化需求，为丰南经济社会更快更好发展营造积极向上、团结奋进、文明健康的社会文化氛围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2.通过光纤服务开展，提高了城乡广大群众的幸福指数，推动了全区文化、经济事业蓬勃发展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安装光纤数量（项）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组织安装光纤数量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≥444个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光纤数量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组织光纤服务次数（次）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组织光纤服务活动次数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≥444个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光纤服务次数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完成数占计划完成数的百分比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持续提升精神文化生活情况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群众满意基本满意问卷占总问卷的比率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6.文化馆项目采购未付（以前年度）（项目）绩效目标表</w:t>
      </w:r>
      <w:r>
        <w:rPr>
          <w:rFonts w:hint="eastAsia" w:ascii="方正仿宋_GBK" w:eastAsia="方正仿宋_GBK"/>
          <w:b/>
          <w:vanish/>
          <w:sz w:val="28"/>
        </w:rPr>
        <w:t>{ TC 7、文化馆项目采购未付（以前年度）绩效目标表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1.基本公共文化服务能力显著提升，效果明显。</w:t>
            </w:r>
          </w:p>
          <w:p>
            <w:pPr>
              <w:spacing w:line="300" w:lineRule="exact"/>
              <w:jc w:val="left"/>
              <w:rPr>
                <w:rFonts w:hint="eastAsia" w:ascii="方正书宋_GBK" w:eastAsia="方正书宋_GBK"/>
              </w:rPr>
            </w:pPr>
            <w:r>
              <w:rPr>
                <w:rFonts w:hint="eastAsia" w:ascii="方正书宋_GBK" w:eastAsia="方正书宋_GBK"/>
              </w:rPr>
              <w:t>2.城镇和乡村人口获得公共文化服务之间的差距明显缩小。</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基本公共文化服务覆盖人数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基本公共服务项目覆盖的常住人口数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按照要求和计划项目完成情况占所有计划项目的比率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新建公共文化设施的改善成效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反映使用各类公共文化设施的受众数量增长情况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受众数量显著增加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城乡居民公共文化服务差距</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反映城镇人口与乡村人口获得公共文化服务效果之间的差异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缩小城镇与乡村人口获得公共文化服务之间的差距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基本公共服务文化水平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反映为区内常住人口提供基本公共文化服务的能力和效果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基本公共文化服务能力显著提升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接受基本公共文化服务的重点人群对所提供服务的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服务对象调查问卷</w:t>
            </w:r>
          </w:p>
        </w:tc>
      </w:tr>
    </w:tbl>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firstLine="640" w:firstLineChars="200"/>
        <w:jc w:val="left"/>
        <w:outlineLvl w:val="3"/>
        <w:rPr>
          <w:rFonts w:hint="eastAsia" w:ascii="仿宋_GB2312" w:eastAsia="仿宋_GB2312"/>
          <w:sz w:val="32"/>
          <w:szCs w:val="32"/>
        </w:rPr>
      </w:pPr>
    </w:p>
    <w:p>
      <w:pPr>
        <w:ind w:left="0"/>
        <w:jc w:val="left"/>
        <w:outlineLvl w:val="3"/>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7.采购未付--景观、半马、骑行三线合一工程（以前年度）（项目）绩效目标表</w:t>
      </w:r>
      <w:r>
        <w:rPr>
          <w:rFonts w:hint="eastAsia" w:ascii="方正仿宋_GBK" w:eastAsia="方正仿宋_GBK"/>
          <w:b/>
          <w:vanish/>
          <w:sz w:val="28"/>
        </w:rPr>
        <w:t>{ TC 8、采购未付--景观、半马、骑行三线合一工程（以前年度）绩效目标表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1.公共文化服务体系建设专项资金的拨付，改善我区基础公共文化体育设施条件。</w:t>
            </w:r>
          </w:p>
          <w:p>
            <w:pPr>
              <w:spacing w:line="300" w:lineRule="exact"/>
              <w:jc w:val="left"/>
              <w:rPr>
                <w:rFonts w:hint="eastAsia" w:ascii="方正书宋_GBK" w:eastAsia="方正书宋_GBK"/>
              </w:rPr>
            </w:pPr>
            <w:r>
              <w:rPr>
                <w:rFonts w:hint="eastAsia" w:ascii="方正书宋_GBK" w:eastAsia="方正书宋_GBK"/>
              </w:rPr>
              <w:t>2.提升我区体育赛事质量和品质，打造我区半马骑行赛事品牌。</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人均健身场所满级</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人均健身场所健身面积调查数据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体育赛事、建设活动参与率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常住居民健身、体育赛事参与率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逐年提升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项目质保期质量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项目质保期内质量无问题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质量无问题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国民体质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国民体质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体育赛事品牌效应</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提升我区体育赛事品牌效应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品牌效应逐渐提升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8.农村文化建设-文化惠民进基层资金（项目）绩效目标表</w:t>
      </w:r>
      <w:r>
        <w:rPr>
          <w:rFonts w:hint="eastAsia" w:ascii="方正仿宋_GBK" w:eastAsia="方正仿宋_GBK"/>
          <w:b/>
          <w:vanish/>
          <w:sz w:val="28"/>
        </w:rPr>
        <w:t>{ TC 9、农村文化建设-文化惠民进基层资金绩效目标表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1.所有活动满足群众文化需求，为丰南经济社会更快更好发展营造积极向上、团结奋进、文明健康的社会文化氛围。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2.通过各项活动的开展，提高了城乡广大群众的幸福指数，推动了全区文化事业蓬勃发展。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9.退役军人公益性岗位安置费用（项目）绩效目标表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1.保证退役军人公益性岗每月工资</w:t>
            </w:r>
          </w:p>
          <w:p>
            <w:pPr>
              <w:spacing w:line="300" w:lineRule="exact"/>
              <w:jc w:val="left"/>
              <w:rPr>
                <w:rFonts w:hint="eastAsia" w:ascii="方正书宋_GBK" w:eastAsia="方正书宋_GBK"/>
              </w:rPr>
            </w:pPr>
            <w:r>
              <w:rPr>
                <w:rFonts w:hint="eastAsia" w:ascii="方正书宋_GBK" w:eastAsia="方正书宋_GBK"/>
              </w:rPr>
              <w:t>2.保证退役军人公益性岗保险费用</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公益岗人员数量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安置的公益岗人数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公益性岗位人员月最低工资标准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执行段公益性岗位人员月工资标准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资发放准确率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工资发放准确程度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为退役军人提供基本生活保障的情况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公益性岗位人员对工资待遇的满意度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10.丰南区全域旅游专项规划设计费（项目）绩效目标表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1.全面提升我区旅游发展质量水平</w:t>
            </w:r>
          </w:p>
          <w:p>
            <w:pPr>
              <w:spacing w:line="300" w:lineRule="exact"/>
              <w:jc w:val="left"/>
              <w:rPr>
                <w:rFonts w:hint="eastAsia" w:ascii="方正书宋_GBK" w:eastAsia="方正书宋_GBK"/>
              </w:rPr>
            </w:pPr>
            <w:r>
              <w:rPr>
                <w:rFonts w:hint="eastAsia" w:ascii="方正书宋_GBK" w:eastAsia="方正书宋_GBK"/>
              </w:rPr>
              <w:t>2.提升我区旅游发展形象</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丰南区全域旅游进行规划设计行费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丰南区全域旅游进行规划设计行费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合同价格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按标准任务完成率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完成指定任务程度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规划使用年限</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规划使用年限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本规划编制使用时间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带动旅游业增效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项目实施单位经济效益情况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提升我区旅游综合发展能力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提升我区旅游综合发展能力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整合我区旅游资源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推动我区经济发展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推动我区经济发展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我区旅游综合发展情况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调查问题</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11.农村文化建设-群众文化活动中心暖气改造费用（项目）绩效目标表</w:t>
      </w:r>
      <w:r>
        <w:rPr>
          <w:rFonts w:hint="eastAsia" w:ascii="方正仿宋_GBK" w:eastAsia="方正仿宋_GBK"/>
          <w:b/>
          <w:vanish/>
          <w:sz w:val="28"/>
        </w:rPr>
        <w:t>{ TC 12、农村文化建设-群众文化活动中心暖气改造费用绩效目标表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1.提升文化服务设施建设水平。</w:t>
            </w:r>
          </w:p>
          <w:p>
            <w:pPr>
              <w:spacing w:line="300" w:lineRule="exact"/>
              <w:jc w:val="left"/>
              <w:rPr>
                <w:rFonts w:hint="eastAsia" w:ascii="方正书宋_GBK" w:eastAsia="方正书宋_GBK"/>
              </w:rPr>
            </w:pPr>
            <w:r>
              <w:rPr>
                <w:rFonts w:hint="eastAsia" w:ascii="方正书宋_GBK" w:eastAsia="方正书宋_GBK"/>
              </w:rPr>
              <w:t>2.群众文化活动中心进行维修改造,更好为群众提供服务。</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维修验收通过率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通过验收的维修数量占总数量的比率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暖气改造工程质量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工程施工质量情况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12.农村文化建设-城乡文化活动资金（项目）绩效目标表</w:t>
      </w:r>
      <w:r>
        <w:rPr>
          <w:rFonts w:hint="eastAsia" w:ascii="方正仿宋_GBK" w:eastAsia="方正仿宋_GBK"/>
          <w:b/>
          <w:vanish/>
          <w:sz w:val="28"/>
        </w:rPr>
        <w:t>{ TC 13、农村文化建设-城乡文化活动资金绩效目标表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1.通过各项活动的开展，提高城乡广大群众的幸福指数。</w:t>
            </w:r>
          </w:p>
          <w:p>
            <w:pPr>
              <w:spacing w:line="300" w:lineRule="exact"/>
              <w:jc w:val="left"/>
              <w:rPr>
                <w:rFonts w:hint="eastAsia" w:ascii="方正书宋_GBK" w:eastAsia="方正书宋_GBK"/>
              </w:rPr>
            </w:pPr>
            <w:r>
              <w:rPr>
                <w:rFonts w:hint="eastAsia" w:ascii="方正书宋_GBK" w:eastAsia="方正书宋_GBK"/>
              </w:rPr>
              <w:t>2.活跃城乡群众的文体生活，推动全区文化体育事业蓬勃发展。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r>
              <w:rPr>
                <w:rFonts w:hint="eastAsia" w:ascii="方正书宋_GBK" w:eastAsia="方正书宋_GBK"/>
              </w:rPr>
              <w:tab/>
            </w:r>
            <w:r>
              <w:rPr>
                <w:rFonts w:hint="eastAsia" w:ascii="方正书宋_GBK" w:eastAsia="方正书宋_GBK"/>
              </w:rPr>
              <w:t>≥80%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13.文联芦笛经费（项目）绩效目标表</w:t>
      </w:r>
      <w:r>
        <w:rPr>
          <w:rFonts w:hint="eastAsia" w:ascii="方正仿宋_GBK" w:eastAsia="方正仿宋_GBK"/>
          <w:b/>
          <w:vanish/>
          <w:sz w:val="28"/>
        </w:rPr>
        <w:t>{ TC 14、文联芦笛经费绩效目标表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1.履行团结引导、联络协调、服务管理、自律维权职责。</w:t>
            </w:r>
          </w:p>
          <w:p>
            <w:pPr>
              <w:spacing w:line="300" w:lineRule="exact"/>
              <w:jc w:val="left"/>
              <w:rPr>
                <w:rFonts w:hint="eastAsia" w:ascii="方正书宋_GBK" w:eastAsia="方正书宋_GBK"/>
              </w:rPr>
            </w:pPr>
            <w:r>
              <w:rPr>
                <w:rFonts w:hint="eastAsia" w:ascii="方正书宋_GBK" w:eastAsia="方正书宋_GBK"/>
              </w:rPr>
              <w:t>2.联系广大文学艺术工作者，大力扶持文艺创作，培养文学艺术人才，组织文艺志愿服务。</w:t>
            </w:r>
          </w:p>
          <w:p>
            <w:pPr>
              <w:spacing w:line="300" w:lineRule="exact"/>
              <w:jc w:val="left"/>
              <w:rPr>
                <w:rFonts w:hint="eastAsia" w:ascii="方正书宋_GBK" w:eastAsia="方正书宋_GBK"/>
              </w:rPr>
            </w:pPr>
            <w:r>
              <w:rPr>
                <w:rFonts w:hint="eastAsia" w:ascii="方正书宋_GBK" w:eastAsia="方正书宋_GBK"/>
              </w:rPr>
              <w:t>3.开展各类文学艺术活动，繁荣发展文学艺术事业。</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出版四期《芦笛》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每季1期，每期120页，三、六、九、十二月底出刊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举办2次文学艺术活动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包括书画艺术展、摄影展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开展1次送春联下乡活动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深入乡镇、厂企、学校、集市写春联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把握舆论导向</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繁荣文艺创作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创作出群众喜闻乐见的文学作品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杂志出版内容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培养文艺人才</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推出文艺精品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多出人才多出精品</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群众对杂志的反响或获奖情况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营造良好舆论氛围</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繁荣社会主义文学艺术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文学作品为群众提供正能量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接受调查人员服务的满意程度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群众问卷调查</w:t>
            </w:r>
          </w:p>
        </w:tc>
      </w:tr>
    </w:tbl>
    <w:p>
      <w:pPr>
        <w:spacing w:line="300" w:lineRule="exact"/>
        <w:jc w:val="left"/>
        <w:sectPr>
          <w:footerReference r:id="rId8" w:type="default"/>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ascii="Times New Roman" w:hAnsi="Times New Roman"/>
          <w:b/>
          <w:sz w:val="28"/>
        </w:rPr>
      </w:pPr>
      <w:r>
        <w:rPr>
          <w:rFonts w:hint="eastAsia" w:ascii="仿宋_GB2312" w:eastAsia="仿宋_GB2312"/>
          <w:sz w:val="32"/>
          <w:szCs w:val="32"/>
        </w:rPr>
        <w:t>14.农村文化建设-城乡公共文化服务项目（项目）绩效目标表</w:t>
      </w:r>
      <w:r>
        <w:rPr>
          <w:rFonts w:hint="eastAsia" w:ascii="方正仿宋_GBK" w:eastAsia="方正仿宋_GBK"/>
          <w:b/>
          <w:vanish/>
          <w:sz w:val="28"/>
        </w:rPr>
        <w:t>{ TC 15、农村文化建设-城乡公共文化服务项目绩效目标表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1.所有演出活动节目通俗易懂、寓教于乐，形式上为广大群众喜闻乐见。</w:t>
            </w:r>
          </w:p>
          <w:p>
            <w:pPr>
              <w:spacing w:line="300" w:lineRule="exact"/>
              <w:jc w:val="left"/>
              <w:rPr>
                <w:rFonts w:hint="eastAsia" w:ascii="方正书宋_GBK" w:eastAsia="方正书宋_GBK"/>
              </w:rPr>
            </w:pPr>
            <w:r>
              <w:rPr>
                <w:rFonts w:hint="eastAsia" w:ascii="方正书宋_GBK" w:eastAsia="方正书宋_GBK"/>
              </w:rPr>
              <w:t>2.满足群众文化需求，让全区群众共享文化惠民、乐民、便民、育民、富民的阳光雨露，为丰南经济社会更快更好发展营造积极向上、团结奋进、文明健康的社会文化氛围。</w:t>
            </w:r>
          </w:p>
          <w:p>
            <w:pPr>
              <w:spacing w:line="300" w:lineRule="exact"/>
              <w:jc w:val="left"/>
              <w:rPr>
                <w:rFonts w:hint="eastAsia" w:ascii="方正书宋_GBK" w:eastAsia="方正书宋_GBK"/>
              </w:rPr>
            </w:pPr>
            <w:r>
              <w:rPr>
                <w:rFonts w:hint="eastAsia" w:ascii="方正书宋_GBK" w:eastAsia="方正书宋_GBK"/>
              </w:rPr>
              <w:t>3.为丰南经济社会更快更好发展营造积极向上、团结奋进、文明健康的社会文化氛围。</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公共文化服务活动数量（项）</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各类公共文化服务活动组织开展的数量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组织开展活动完成占计划完成数的百分比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提升城乡群众文化生活水平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城乡群众文化生活水平得到提高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城乡文化活动对我区公共文化、服务水平的提升程度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持续提升城乡群众精神文化生活</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城乡群众精神文化生活更加丰富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15.劳务派遣人员费用（劳务费）（项目）绩效目标表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1.及时发放劳务派遣人员工资、保险。</w:t>
            </w:r>
          </w:p>
          <w:p>
            <w:pPr>
              <w:spacing w:line="300" w:lineRule="exact"/>
              <w:jc w:val="left"/>
              <w:rPr>
                <w:rFonts w:hint="eastAsia" w:ascii="方正书宋_GBK" w:eastAsia="方正书宋_GBK"/>
              </w:rPr>
            </w:pPr>
            <w:r>
              <w:rPr>
                <w:rFonts w:hint="eastAsia" w:ascii="方正书宋_GBK" w:eastAsia="方正书宋_GBK"/>
              </w:rPr>
              <w:t>2.保障机关正常运转。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劳务派遣人员工资待遇满意度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16.就业见习基本生活费补贴（项目）绩效目标表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1.为缓解我区青年就业压力，招聘见习生21人。</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聘用的见习生人数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见习生人员月最低工资标准</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执行的见习生人员月工资标准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岗位补贴发放及时率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岗位补贴发放的及时程度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岗位补贴发放情况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消费能力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实际见习人员情况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见习生人员满意度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见习生对工资待遇的满意度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17.三馆项目采购未付（以前年度）（项目）绩效目标表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1.努力提高公共文化服务体系建设水平，高质量提供基本文化服务</w:t>
            </w:r>
          </w:p>
          <w:p>
            <w:pPr>
              <w:spacing w:line="300" w:lineRule="exact"/>
              <w:jc w:val="left"/>
              <w:rPr>
                <w:rFonts w:hint="eastAsia" w:ascii="方正书宋_GBK" w:eastAsia="方正书宋_GBK"/>
              </w:rPr>
            </w:pPr>
            <w:r>
              <w:rPr>
                <w:rFonts w:hint="eastAsia" w:ascii="方正书宋_GBK" w:eastAsia="方正书宋_GBK"/>
              </w:rPr>
              <w:t>2.图书、规划、档案三馆设施设备运行良好</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防水施工质量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防水竣工验收情况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工程施工质量良好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防水质保期质量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防水质保期质量情况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质保期质量良好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使用单位调查报告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设备运转良好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对文化服务体系建设的促进作用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通过支持文化设施项目建设，带动全区公共文化服务体系建设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公共文化服务体系建设更加完善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对文化事业发展的促进作用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通过支持文化设施项目建设，带动全区文化事业发展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文化事业高质量发展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对疫情的防控效果</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通过测温安检门有效应对公共文化设施的疫情防控工作需要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能够有效防治传染病的传播</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群众对图书、规划、档案三馆设施服务的满意度（%）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群众对三馆设施服务更加满意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18.健身器材采购未付（以前年度）（项目）绩效目标表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1.基本公共文化服务能力显著提升</w:t>
            </w:r>
          </w:p>
          <w:p>
            <w:pPr>
              <w:spacing w:line="300" w:lineRule="exact"/>
              <w:jc w:val="left"/>
              <w:rPr>
                <w:rFonts w:hint="eastAsia" w:ascii="方正书宋_GBK" w:eastAsia="方正书宋_GBK"/>
              </w:rPr>
            </w:pPr>
            <w:r>
              <w:rPr>
                <w:rFonts w:hint="eastAsia" w:ascii="方正书宋_GBK" w:eastAsia="方正书宋_GBK"/>
              </w:rPr>
              <w:t>2.城镇人口和乡村人口获得公共文化服务之间的差距明显缩小</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基本公共文化服务覆盖人数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基本公共文化服务项目覆盖的常住人口数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产品质量符合国家标准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按照要求和计划项目完成情况站所项目计划的比率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城乡居民公共文化服务差距</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反映城镇人口和乡村人口获得公共文化服务效果之间的差异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缩小城镇人口与乡村人口获得公共文化服务之间的差距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新建公共文化服务设施的改善成效</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反映使用各类公共文化设施手中数量增长情况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受众群中数量显著增加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服务项目人数统计报告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基本公共服务文化水平</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反映为区内常住人口提供基本公共文化服务的能力和效果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基本公共文化服务能力显著提升，效果明显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接受基本公共文化服务的重点人群对所提供服务的满意度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19.新建丰南区体育中心项目前期费用（项目）绩效目标表</w:t>
      </w:r>
      <w:r>
        <w:rPr>
          <w:rFonts w:hint="eastAsia" w:ascii="方正仿宋_GBK" w:eastAsia="方正仿宋_GBK"/>
          <w:b/>
          <w:vanish/>
          <w:sz w:val="28"/>
        </w:rPr>
        <w:t>{ TC 22、新建丰南区体育中心项目前期费用绩效目标表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1.进一步提高服务功能，开展丰富多彩的群众体育活动</w:t>
            </w:r>
          </w:p>
          <w:p>
            <w:pPr>
              <w:spacing w:line="300" w:lineRule="exact"/>
              <w:jc w:val="left"/>
              <w:rPr>
                <w:rFonts w:hint="eastAsia" w:ascii="方正书宋_GBK" w:eastAsia="方正书宋_GBK"/>
              </w:rPr>
            </w:pPr>
            <w:r>
              <w:rPr>
                <w:rFonts w:hint="eastAsia" w:ascii="方正书宋_GBK" w:eastAsia="方正书宋_GBK"/>
              </w:rPr>
              <w:t>2.为全民健身活动的开展提供优良的阵地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日常健身</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全年体育馆开放天数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推进项目节点完工率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按照时间节点,项目完工情况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按时间结点,项目推进及时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firstLine="640" w:firstLineChars="200"/>
        <w:jc w:val="left"/>
        <w:outlineLvl w:val="3"/>
        <w:rPr>
          <w:rFonts w:ascii="Times New Roman" w:hAnsi="Times New Roman"/>
          <w:b/>
          <w:sz w:val="28"/>
        </w:rPr>
      </w:pPr>
      <w:r>
        <w:rPr>
          <w:rFonts w:hint="eastAsia" w:ascii="仿宋_GB2312" w:eastAsia="仿宋_GB2312"/>
          <w:sz w:val="32"/>
          <w:szCs w:val="32"/>
        </w:rPr>
        <w:t>20.体育馆室内仿真冰滑冰场运行费（项目）绩效目标表</w:t>
      </w:r>
      <w:r>
        <w:rPr>
          <w:rFonts w:hint="eastAsia" w:ascii="方正仿宋_GBK" w:eastAsia="方正仿宋_GBK"/>
          <w:b/>
          <w:vanish/>
          <w:sz w:val="28"/>
        </w:rPr>
        <w:t>{ TC 23、体育馆室内仿真冰滑冰场运行费绩效目标表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21.老年人体育活动经费（项目）绩效目标表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当年举办大型全民健身活动的次数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参加500人以上的活动次数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交流次数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参加省市交流活动开展实施的次数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参加省市级活动的活动次数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开展老年体育活动场次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通过开展此项目，带动全区体育事业发展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老年人体育事业发展情况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老年人体育事业发展情况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adjustRightInd w:val="0"/>
        <w:snapToGrid w:val="0"/>
        <w:spacing w:line="560" w:lineRule="exact"/>
        <w:ind w:left="0" w:firstLine="0"/>
        <w:jc w:val="left"/>
        <w:outlineLvl w:val="0"/>
        <w:rPr>
          <w:rFonts w:hint="eastAsia" w:ascii="仿宋_GB2312" w:eastAsia="仿宋_GB2312"/>
          <w:color w:val="FF0000"/>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22.体育馆乒乓球馆运行补贴（项目）绩效目标表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1.开展丰富多彩的群众体育活动</w:t>
            </w:r>
          </w:p>
          <w:p>
            <w:pPr>
              <w:spacing w:line="300" w:lineRule="exact"/>
              <w:jc w:val="left"/>
              <w:rPr>
                <w:rFonts w:hint="eastAsia" w:ascii="方正书宋_GBK" w:eastAsia="方正书宋_GBK"/>
              </w:rPr>
            </w:pPr>
            <w:r>
              <w:rPr>
                <w:rFonts w:hint="eastAsia" w:ascii="方正书宋_GBK" w:eastAsia="方正书宋_GBK"/>
              </w:rPr>
              <w:t>2.为全民健身活动的开展提供优良的阵地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大型活动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开展大型全民健身活动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日常健身</w:t>
            </w:r>
            <w:r>
              <w:rPr>
                <w:rFonts w:hint="eastAsia" w:ascii="方正书宋_GBK" w:eastAsia="方正书宋_GBK"/>
              </w:rPr>
              <w:tab/>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全年体育馆开放天数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使用后受益人数量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促进体育事业发展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通过支持体育馆运行带动全区体育事业发展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adjustRightInd w:val="0"/>
        <w:snapToGrid w:val="0"/>
        <w:spacing w:line="560" w:lineRule="exact"/>
        <w:ind w:left="0" w:firstLine="0"/>
        <w:jc w:val="left"/>
        <w:outlineLvl w:val="0"/>
        <w:rPr>
          <w:rFonts w:hint="eastAsia" w:ascii="仿宋_GB2312" w:eastAsia="仿宋_GB2312"/>
          <w:sz w:val="32"/>
          <w:szCs w:val="32"/>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23.社会足球场地建设项目剩余尾款（以前年度）（项目）绩效目标表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24.老城区街角游园文体设施建设资金（项目）绩效目标表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按照采购合同完成年度工作任务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left="0" w:firstLine="640" w:firstLineChars="200"/>
        <w:jc w:val="left"/>
        <w:outlineLvl w:val="3"/>
        <w:rPr>
          <w:rFonts w:hint="eastAsia" w:ascii="仿宋_GB2312" w:eastAsia="仿宋_GB2312"/>
          <w:sz w:val="32"/>
          <w:szCs w:val="32"/>
        </w:rPr>
      </w:pPr>
      <w:r>
        <w:rPr>
          <w:rFonts w:hint="eastAsia" w:ascii="仿宋_GB2312" w:eastAsia="仿宋_GB2312"/>
          <w:sz w:val="32"/>
          <w:szCs w:val="32"/>
        </w:rPr>
        <w:t>25.室内滑冰场馆建设采购未付及剩余尾款（以前年度）（项目）绩效目标表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1.进一步提高全民健身氛围</w:t>
            </w:r>
          </w:p>
          <w:p>
            <w:pPr>
              <w:spacing w:line="300" w:lineRule="exact"/>
              <w:jc w:val="left"/>
              <w:rPr>
                <w:rFonts w:hint="eastAsia" w:ascii="方正书宋_GBK" w:eastAsia="方正书宋_GBK"/>
              </w:rPr>
            </w:pPr>
            <w:r>
              <w:rPr>
                <w:rFonts w:hint="eastAsia" w:ascii="方正书宋_GBK" w:eastAsia="方正书宋_GBK"/>
              </w:rPr>
              <w:t>2.提高公共服务水平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体育健身服务覆盖率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此项目实际使用人次占全区城区人口比率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设施运行情况良好率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设施运行良好天数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组织区级以上比赛项目</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比赛项目个数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对全区体育事业发展的推动作用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通过建设此项目，带动全区体育事业发展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提升水平显著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项目运行情况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项目使用人次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调查使用人员满意和比较满意人员占调查总人数的比率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left="0" w:firstLine="640" w:firstLineChars="200"/>
        <w:jc w:val="left"/>
        <w:outlineLvl w:val="3"/>
        <w:rPr>
          <w:rFonts w:ascii="Times New Roman" w:hAnsi="Times New Roman"/>
          <w:b/>
          <w:sz w:val="28"/>
        </w:rPr>
      </w:pPr>
      <w:r>
        <w:rPr>
          <w:rFonts w:hint="eastAsia" w:ascii="仿宋_GB2312" w:eastAsia="仿宋_GB2312"/>
          <w:sz w:val="32"/>
          <w:szCs w:val="32"/>
        </w:rPr>
        <w:t>26.业余体校经费（项目）绩效目标表</w:t>
      </w:r>
      <w:r>
        <w:rPr>
          <w:rFonts w:hint="eastAsia" w:ascii="方正仿宋_GBK" w:eastAsia="方正仿宋_GBK"/>
          <w:b/>
          <w:vanish/>
          <w:sz w:val="28"/>
        </w:rPr>
        <w:t>{ TC 29、业余体校经费绩效目标表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1.为学生提供充足的后勤保障</w:t>
            </w:r>
          </w:p>
          <w:p>
            <w:pPr>
              <w:spacing w:line="300" w:lineRule="exact"/>
              <w:jc w:val="left"/>
              <w:rPr>
                <w:rFonts w:hint="eastAsia" w:ascii="方正书宋_GBK" w:eastAsia="方正书宋_GBK"/>
              </w:rPr>
            </w:pPr>
            <w:r>
              <w:rPr>
                <w:rFonts w:hint="eastAsia" w:ascii="方正书宋_GBK" w:eastAsia="方正书宋_GBK"/>
              </w:rPr>
              <w:t>2.在各级各类比赛中取得佳绩</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取得特色专业和重点学科数量</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取得国家和省级特色专业和重点学科的数量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正常训练完成率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全年正常训练天数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参加全国年度体育赛事成绩</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组织省级专业运动队参加国内外高水平赛事获奖情况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大型全民健身活动参与人数</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当年参加大型全民健身活动的总人数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优异体育成绩实现的社会效益</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创造良好体育成绩状况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取得省市体育比赛优异成绩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对全区体育事业发展的促进作用</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通过支持体育训练，带动全区体育事业发展的效果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业余体校师生的满意程度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adjustRightInd w:val="0"/>
        <w:snapToGrid w:val="0"/>
        <w:spacing w:line="560" w:lineRule="exact"/>
        <w:ind w:left="0" w:firstLine="0"/>
        <w:jc w:val="left"/>
        <w:outlineLvl w:val="0"/>
        <w:rPr>
          <w:rFonts w:hint="eastAsia" w:ascii="方正仿宋_GBK" w:eastAsia="方正仿宋_GBK"/>
          <w:b/>
          <w:sz w:val="28"/>
        </w:rPr>
      </w:pPr>
    </w:p>
    <w:p>
      <w:pPr>
        <w:ind w:firstLine="640" w:firstLineChars="200"/>
        <w:jc w:val="left"/>
        <w:outlineLvl w:val="3"/>
        <w:rPr>
          <w:rFonts w:ascii="Times New Roman" w:hAnsi="Times New Roman"/>
          <w:b/>
          <w:sz w:val="28"/>
        </w:rPr>
      </w:pPr>
      <w:r>
        <w:rPr>
          <w:rFonts w:hint="eastAsia" w:ascii="仿宋_GB2312" w:eastAsia="仿宋_GB2312"/>
          <w:sz w:val="32"/>
          <w:szCs w:val="32"/>
        </w:rPr>
        <w:t>27.体育馆项目采购未付（以前年度）（项目）绩效目标表</w:t>
      </w:r>
      <w:r>
        <w:rPr>
          <w:rFonts w:hint="eastAsia" w:ascii="方正仿宋_GBK" w:eastAsia="方正仿宋_GBK"/>
          <w:b/>
          <w:vanish/>
          <w:sz w:val="28"/>
        </w:rPr>
        <w:t>{ TC 30、体育馆项目采购未付（以前年度）绩效目标表 \f C \l 1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1.进一步提高体育馆各项功能</w:t>
            </w:r>
          </w:p>
          <w:p>
            <w:pPr>
              <w:spacing w:line="300" w:lineRule="exact"/>
              <w:jc w:val="left"/>
              <w:rPr>
                <w:rFonts w:hint="eastAsia" w:ascii="方正书宋_GBK" w:eastAsia="方正书宋_GBK"/>
              </w:rPr>
            </w:pPr>
            <w:r>
              <w:rPr>
                <w:rFonts w:hint="eastAsia" w:ascii="方正书宋_GBK" w:eastAsia="方正书宋_GBK"/>
              </w:rPr>
              <w:t>2.承办高水平演出比赛,开展丰富多彩的群众体育活动</w:t>
            </w:r>
          </w:p>
          <w:p>
            <w:pPr>
              <w:spacing w:line="300" w:lineRule="exact"/>
              <w:jc w:val="left"/>
              <w:rPr>
                <w:rFonts w:hint="eastAsia" w:ascii="方正书宋_GBK" w:eastAsia="方正书宋_GBK"/>
              </w:rPr>
            </w:pPr>
            <w:r>
              <w:rPr>
                <w:rFonts w:hint="eastAsia" w:ascii="方正书宋_GBK" w:eastAsia="方正书宋_GBK"/>
              </w:rPr>
              <w:t>3.为全民健身活动开展提供优良的阵地</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设备良好率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设备运行情况良好天数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≥330天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设备使用率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实际来馆健身人员使用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设备质量问题</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安装后出现的设备质量问题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出现质量问题次数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服务水平提升情况</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为广大群众提供良好的健身场所，提高群众的健身需求和满意度。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提升公共服务质量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提升体育馆服务质量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促进体育事业发展</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通过支持体育馆运行带动全区体育事业发展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体育事业蓬勃发展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调查中使用人员满意和较满意的数量占总人数的比率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14" w:lineRule="exact"/>
        <w:ind w:firstLine="420" w:firstLineChars="200"/>
        <w:jc w:val="center"/>
      </w:pPr>
      <w:r>
        <w:rPr>
          <w:rFonts w:hint="eastAsia" w:ascii="方正书宋_GBK" w:eastAsia="方正书宋_GBK"/>
        </w:rPr>
        <w:t xml:space="preserve"> </w:t>
      </w:r>
    </w:p>
    <w:p>
      <w:pPr>
        <w:autoSpaceDE w:val="0"/>
        <w:autoSpaceDN w:val="0"/>
        <w:adjustRightInd w:val="0"/>
        <w:snapToGrid w:val="0"/>
        <w:spacing w:line="560" w:lineRule="exact"/>
        <w:ind w:firstLine="803" w:firstLineChars="250"/>
        <w:jc w:val="left"/>
        <w:rPr>
          <w:rFonts w:hint="eastAsia"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2021年部门预算共计安排政府采购项目6个,涉及金额1214.48万元。其中：货物类0个,涉及金额0万元,主要包括0物品0件(台、套)；工程类1个,涉及金额70万元,主要包括老城区街角游园文体设施建设资金工程项；服务类5个,涉及金额1144.48万元，主要包括新建丰南区体育中心项目前期费用服务4项、农村文化建设-城乡公共文化服务项目。</w:t>
      </w:r>
    </w:p>
    <w:p>
      <w:pPr>
        <w:adjustRightInd w:val="0"/>
        <w:snapToGrid w:val="0"/>
        <w:spacing w:line="560" w:lineRule="exact"/>
        <w:ind w:left="178" w:leftChars="85" w:firstLine="697" w:firstLineChars="218"/>
        <w:rPr>
          <w:rFonts w:hint="eastAsia" w:ascii="仿宋_GB2312" w:eastAsia="仿宋_GB2312"/>
          <w:sz w:val="32"/>
          <w:szCs w:val="32"/>
        </w:rPr>
      </w:pPr>
      <w:r>
        <w:rPr>
          <w:rFonts w:hint="eastAsia" w:ascii="仿宋_GB2312" w:eastAsia="仿宋_GB2312"/>
          <w:sz w:val="32"/>
          <w:szCs w:val="32"/>
        </w:rPr>
        <w:t>列表如下：</w:t>
      </w:r>
    </w:p>
    <w:p>
      <w:pPr>
        <w:adjustRightInd w:val="0"/>
        <w:snapToGrid w:val="0"/>
        <w:spacing w:line="560" w:lineRule="exact"/>
        <w:ind w:firstLine="480" w:firstLineChars="150"/>
        <w:rPr>
          <w:rFonts w:hint="eastAsia" w:ascii="仿宋_GB2312" w:eastAsia="仿宋_GB2312"/>
          <w:color w:val="FF0000"/>
          <w:sz w:val="32"/>
          <w:szCs w:val="32"/>
        </w:rPr>
      </w:pPr>
      <w:r>
        <w:rPr>
          <w:rFonts w:hint="eastAsia" w:ascii="仿宋_GB2312" w:eastAsia="仿宋_GB2312"/>
          <w:color w:val="FF0000"/>
          <w:sz w:val="32"/>
          <w:szCs w:val="32"/>
        </w:rPr>
        <w:t xml:space="preserve"> </w:t>
      </w:r>
    </w:p>
    <w:p>
      <w:pPr>
        <w:adjustRightInd w:val="0"/>
        <w:snapToGrid w:val="0"/>
        <w:spacing w:line="560" w:lineRule="exact"/>
        <w:ind w:firstLine="480" w:firstLineChars="150"/>
        <w:rPr>
          <w:rFonts w:hint="eastAsia" w:ascii="仿宋_GB2312" w:eastAsia="仿宋_GB2312"/>
          <w:color w:val="FF0000"/>
          <w:sz w:val="32"/>
          <w:szCs w:val="32"/>
        </w:rPr>
      </w:pPr>
    </w:p>
    <w:p>
      <w:pPr>
        <w:adjustRightInd w:val="0"/>
        <w:snapToGrid w:val="0"/>
        <w:spacing w:line="560" w:lineRule="exact"/>
        <w:ind w:firstLine="480" w:firstLineChars="150"/>
        <w:rPr>
          <w:rFonts w:hint="eastAsia" w:ascii="仿宋_GB2312" w:eastAsia="仿宋_GB2312"/>
          <w:color w:val="FF0000"/>
          <w:sz w:val="32"/>
          <w:szCs w:val="32"/>
        </w:rPr>
      </w:pPr>
    </w:p>
    <w:p>
      <w:pPr>
        <w:adjustRightInd w:val="0"/>
        <w:snapToGrid w:val="0"/>
        <w:spacing w:line="560" w:lineRule="exact"/>
        <w:ind w:firstLine="480" w:firstLineChars="150"/>
        <w:rPr>
          <w:rFonts w:hint="eastAsia" w:ascii="仿宋_GB2312" w:eastAsia="仿宋_GB2312"/>
          <w:color w:val="FF0000"/>
          <w:sz w:val="32"/>
          <w:szCs w:val="32"/>
        </w:rPr>
      </w:pPr>
    </w:p>
    <w:p>
      <w:pPr>
        <w:spacing w:line="240" w:lineRule="auto"/>
        <w:outlineLvl w:val="1"/>
        <w:rPr>
          <w:rFonts w:hint="eastAsia" w:ascii="方正小标宋_GBK" w:eastAsia="方正小标宋_GBK"/>
          <w:sz w:val="32"/>
        </w:rPr>
      </w:pPr>
      <w:bookmarkStart w:id="14" w:name="_Toc65835484"/>
    </w:p>
    <w:p>
      <w:pPr>
        <w:spacing w:line="240" w:lineRule="auto"/>
        <w:jc w:val="center"/>
        <w:outlineLvl w:val="1"/>
        <w:rPr>
          <w:rFonts w:hint="eastAsia" w:ascii="Times New Roman" w:hAnsi="Times New Roman"/>
          <w:sz w:val="32"/>
        </w:rPr>
      </w:pPr>
      <w:r>
        <w:rPr>
          <w:rFonts w:hint="eastAsia" w:ascii="方正小标宋_GBK" w:eastAsia="方正小标宋_GBK"/>
          <w:sz w:val="32"/>
        </w:rPr>
        <w:t>部门政府采购预算</w:t>
      </w:r>
      <w:bookmarkEnd w:id="14"/>
    </w:p>
    <w:tbl>
      <w:tblPr>
        <w:tblStyle w:val="8"/>
        <w:tblW w:w="89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770"/>
        <w:gridCol w:w="1039"/>
        <w:gridCol w:w="757"/>
        <w:gridCol w:w="360"/>
        <w:gridCol w:w="360"/>
        <w:gridCol w:w="435"/>
        <w:gridCol w:w="825"/>
        <w:gridCol w:w="764"/>
        <w:gridCol w:w="751"/>
        <w:gridCol w:w="584"/>
        <w:gridCol w:w="450"/>
        <w:gridCol w:w="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5068"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rPr>
                <w:rFonts w:hint="eastAsia" w:ascii="方正小标宋_GBK" w:eastAsia="方正小标宋_GBK"/>
                <w:sz w:val="24"/>
              </w:rPr>
            </w:pPr>
            <w:r>
              <w:rPr>
                <w:rFonts w:hint="eastAsia" w:ascii="方正小标宋_GBK" w:eastAsia="方正小标宋_GBK"/>
                <w:sz w:val="24"/>
              </w:rPr>
              <w:t>406唐山市丰南区文化广电和旅游局</w:t>
            </w:r>
          </w:p>
        </w:tc>
        <w:tc>
          <w:tcPr>
            <w:tcW w:w="3838"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2117" w:type="dxa"/>
            <w:gridSpan w:val="2"/>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政府采购项目来源</w:t>
            </w:r>
          </w:p>
        </w:tc>
        <w:tc>
          <w:tcPr>
            <w:tcW w:w="1039"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采购物品名称</w:t>
            </w:r>
          </w:p>
        </w:tc>
        <w:tc>
          <w:tcPr>
            <w:tcW w:w="757"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政府采购目录序号</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计量  单位</w:t>
            </w:r>
          </w:p>
        </w:tc>
        <w:tc>
          <w:tcPr>
            <w:tcW w:w="360"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数量</w:t>
            </w:r>
          </w:p>
        </w:tc>
        <w:tc>
          <w:tcPr>
            <w:tcW w:w="435" w:type="dxa"/>
            <w:vMerge w:val="restart"/>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单价</w:t>
            </w:r>
          </w:p>
        </w:tc>
        <w:tc>
          <w:tcPr>
            <w:tcW w:w="3838" w:type="dxa"/>
            <w:gridSpan w:val="6"/>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6" w:hRule="atLeast"/>
          <w:tblHeader/>
          <w:jc w:val="center"/>
        </w:trPr>
        <w:tc>
          <w:tcPr>
            <w:tcW w:w="1347"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项目名称</w:t>
            </w:r>
          </w:p>
        </w:tc>
        <w:tc>
          <w:tcPr>
            <w:tcW w:w="77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预算资金</w:t>
            </w:r>
          </w:p>
        </w:tc>
        <w:tc>
          <w:tcPr>
            <w:tcW w:w="1039" w:type="dxa"/>
            <w:vMerge w:val="continue"/>
            <w:shd w:val="clear" w:color="auto" w:fill="auto"/>
            <w:noWrap w:val="0"/>
            <w:vAlign w:val="center"/>
          </w:tcPr>
          <w:p/>
        </w:tc>
        <w:tc>
          <w:tcPr>
            <w:tcW w:w="757" w:type="dxa"/>
            <w:vMerge w:val="continue"/>
            <w:shd w:val="clear" w:color="auto" w:fill="auto"/>
            <w:noWrap w:val="0"/>
            <w:vAlign w:val="center"/>
          </w:tcPr>
          <w:p/>
        </w:tc>
        <w:tc>
          <w:tcPr>
            <w:tcW w:w="360" w:type="dxa"/>
            <w:vMerge w:val="continue"/>
            <w:shd w:val="clear" w:color="auto" w:fill="auto"/>
            <w:noWrap w:val="0"/>
            <w:vAlign w:val="center"/>
          </w:tcPr>
          <w:p/>
        </w:tc>
        <w:tc>
          <w:tcPr>
            <w:tcW w:w="360" w:type="dxa"/>
            <w:vMerge w:val="continue"/>
            <w:shd w:val="clear" w:color="auto" w:fill="auto"/>
            <w:noWrap w:val="0"/>
            <w:vAlign w:val="center"/>
          </w:tcPr>
          <w:p/>
        </w:tc>
        <w:tc>
          <w:tcPr>
            <w:tcW w:w="435" w:type="dxa"/>
            <w:vMerge w:val="continue"/>
            <w:shd w:val="clear" w:color="auto" w:fill="auto"/>
            <w:noWrap w:val="0"/>
            <w:vAlign w:val="center"/>
          </w:tcPr>
          <w:p/>
        </w:tc>
        <w:tc>
          <w:tcPr>
            <w:tcW w:w="825"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合计</w:t>
            </w:r>
          </w:p>
        </w:tc>
        <w:tc>
          <w:tcPr>
            <w:tcW w:w="7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一般公共预算拨款</w:t>
            </w:r>
          </w:p>
        </w:tc>
        <w:tc>
          <w:tcPr>
            <w:tcW w:w="751"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基金预算拨款</w:t>
            </w:r>
          </w:p>
        </w:tc>
        <w:tc>
          <w:tcPr>
            <w:tcW w:w="58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国有资本经营预算拨款</w:t>
            </w:r>
          </w:p>
        </w:tc>
        <w:tc>
          <w:tcPr>
            <w:tcW w:w="450"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财政专户核拨</w:t>
            </w:r>
          </w:p>
        </w:tc>
        <w:tc>
          <w:tcPr>
            <w:tcW w:w="464" w:type="dxa"/>
            <w:shd w:val="clear" w:color="auto" w:fill="auto"/>
            <w:noWrap w:val="0"/>
            <w:vAlign w:val="center"/>
          </w:tcPr>
          <w:p>
            <w:pPr>
              <w:spacing w:line="300" w:lineRule="exact"/>
              <w:jc w:val="center"/>
              <w:rPr>
                <w:rFonts w:hint="eastAsia" w:ascii="方正书宋_GBK" w:eastAsia="方正书宋_GBK"/>
                <w:b/>
                <w:sz w:val="18"/>
                <w:szCs w:val="18"/>
              </w:rPr>
            </w:pPr>
            <w:r>
              <w:rPr>
                <w:rFonts w:hint="eastAsia" w:ascii="方正书宋_GBK" w:eastAsia="方正书宋_GBK"/>
                <w:b/>
                <w:sz w:val="18"/>
                <w:szCs w:val="1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合  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21"/>
              </w:rPr>
            </w:pPr>
          </w:p>
        </w:tc>
        <w:tc>
          <w:tcPr>
            <w:tcW w:w="825" w:type="dxa"/>
            <w:shd w:val="clear" w:color="auto" w:fill="auto"/>
            <w:noWrap w:val="0"/>
            <w:vAlign w:val="center"/>
          </w:tcPr>
          <w:p>
            <w:pPr>
              <w:spacing w:line="300" w:lineRule="exact"/>
              <w:jc w:val="right"/>
              <w:rPr>
                <w:rFonts w:hint="eastAsia" w:ascii="方正书宋_GBK" w:eastAsia="方正书宋_GBK"/>
                <w:sz w:val="15"/>
                <w:szCs w:val="15"/>
              </w:rPr>
            </w:pPr>
            <w:r>
              <w:rPr>
                <w:rFonts w:hint="eastAsia" w:ascii="方正书宋_GBK" w:eastAsia="方正书宋_GBK"/>
                <w:sz w:val="15"/>
                <w:szCs w:val="15"/>
              </w:rPr>
              <w:t>1214.48</w:t>
            </w:r>
          </w:p>
        </w:tc>
        <w:tc>
          <w:tcPr>
            <w:tcW w:w="764" w:type="dxa"/>
            <w:shd w:val="clear" w:color="auto" w:fill="auto"/>
            <w:noWrap w:val="0"/>
            <w:vAlign w:val="center"/>
          </w:tcPr>
          <w:p>
            <w:pPr>
              <w:spacing w:line="300" w:lineRule="exact"/>
              <w:jc w:val="right"/>
              <w:rPr>
                <w:rFonts w:hint="eastAsia" w:ascii="方正书宋_GBK" w:eastAsia="方正书宋_GBK"/>
                <w:sz w:val="15"/>
                <w:szCs w:val="15"/>
              </w:rPr>
            </w:pPr>
            <w:r>
              <w:rPr>
                <w:rFonts w:hint="eastAsia" w:ascii="方正书宋_GBK" w:eastAsia="方正书宋_GBK"/>
                <w:sz w:val="15"/>
                <w:szCs w:val="15"/>
              </w:rPr>
              <w:t>169.00</w:t>
            </w:r>
          </w:p>
        </w:tc>
        <w:tc>
          <w:tcPr>
            <w:tcW w:w="751" w:type="dxa"/>
            <w:shd w:val="clear" w:color="auto" w:fill="auto"/>
            <w:noWrap w:val="0"/>
            <w:vAlign w:val="center"/>
          </w:tcPr>
          <w:p>
            <w:pPr>
              <w:spacing w:line="300" w:lineRule="exact"/>
              <w:jc w:val="right"/>
              <w:rPr>
                <w:rFonts w:hint="eastAsia" w:ascii="方正书宋_GBK" w:eastAsia="方正书宋_GBK"/>
                <w:sz w:val="15"/>
                <w:szCs w:val="15"/>
              </w:rPr>
            </w:pPr>
            <w:r>
              <w:rPr>
                <w:rFonts w:hint="eastAsia" w:ascii="方正书宋_GBK" w:eastAsia="方正书宋_GBK"/>
                <w:sz w:val="15"/>
                <w:szCs w:val="15"/>
              </w:rPr>
              <w:t>1045.48</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唐山市丰南区文化广电和旅游局本级小计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13"/>
                <w:szCs w:val="13"/>
              </w:rPr>
            </w:pP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51" w:type="dxa"/>
            <w:shd w:val="clear" w:color="auto" w:fill="auto"/>
            <w:noWrap w:val="0"/>
            <w:vAlign w:val="center"/>
          </w:tcPr>
          <w:p>
            <w:pPr>
              <w:spacing w:line="300" w:lineRule="exact"/>
              <w:jc w:val="right"/>
              <w:rPr>
                <w:rFonts w:hint="eastAsia" w:ascii="方正书宋_GBK" w:eastAsia="方正书宋_GBK"/>
                <w:b/>
                <w:sz w:val="13"/>
                <w:szCs w:val="13"/>
              </w:rPr>
            </w:pPr>
          </w:p>
        </w:tc>
        <w:tc>
          <w:tcPr>
            <w:tcW w:w="584" w:type="dxa"/>
            <w:shd w:val="clear" w:color="auto" w:fill="auto"/>
            <w:noWrap w:val="0"/>
            <w:vAlign w:val="center"/>
          </w:tcPr>
          <w:p>
            <w:pPr>
              <w:spacing w:line="300" w:lineRule="exact"/>
              <w:jc w:val="right"/>
              <w:rPr>
                <w:rFonts w:hint="eastAsia" w:ascii="方正书宋_GBK" w:eastAsia="方正书宋_GBK"/>
                <w:b/>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农村文化建设-城乡公共文化服务项目</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99.00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艺术创作和表演服务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C200301</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99.00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1347" w:type="dxa"/>
            <w:shd w:val="clear" w:color="auto" w:fill="auto"/>
            <w:noWrap w:val="0"/>
            <w:vAlign w:val="center"/>
          </w:tcPr>
          <w:p>
            <w:pPr>
              <w:spacing w:line="300" w:lineRule="exact"/>
              <w:jc w:val="center"/>
              <w:rPr>
                <w:rFonts w:hint="eastAsia" w:ascii="方正书宋_GBK" w:eastAsia="方正书宋_GBK"/>
                <w:b/>
                <w:sz w:val="21"/>
              </w:rPr>
            </w:pPr>
            <w:r>
              <w:rPr>
                <w:rFonts w:hint="eastAsia" w:ascii="方正书宋_GBK" w:eastAsia="方正书宋_GBK"/>
                <w:b/>
                <w:sz w:val="21"/>
              </w:rPr>
              <w:t>唐山市丰南区文化广电和旅游局体育小计</w:t>
            </w:r>
          </w:p>
        </w:tc>
        <w:tc>
          <w:tcPr>
            <w:tcW w:w="770" w:type="dxa"/>
            <w:shd w:val="clear" w:color="auto" w:fill="auto"/>
            <w:noWrap w:val="0"/>
            <w:vAlign w:val="center"/>
          </w:tcPr>
          <w:p>
            <w:pPr>
              <w:spacing w:line="300" w:lineRule="exact"/>
              <w:jc w:val="right"/>
              <w:rPr>
                <w:rFonts w:hint="eastAsia" w:ascii="方正书宋_GBK" w:eastAsia="方正书宋_GBK"/>
                <w:b/>
                <w:sz w:val="21"/>
              </w:rPr>
            </w:pPr>
          </w:p>
        </w:tc>
        <w:tc>
          <w:tcPr>
            <w:tcW w:w="1039" w:type="dxa"/>
            <w:shd w:val="clear" w:color="auto" w:fill="auto"/>
            <w:noWrap w:val="0"/>
            <w:vAlign w:val="center"/>
          </w:tcPr>
          <w:p>
            <w:pPr>
              <w:spacing w:line="300" w:lineRule="exact"/>
              <w:rPr>
                <w:rFonts w:hint="eastAsia" w:ascii="方正书宋_GBK" w:eastAsia="方正书宋_GBK"/>
                <w:b/>
                <w:sz w:val="21"/>
              </w:rPr>
            </w:pPr>
          </w:p>
        </w:tc>
        <w:tc>
          <w:tcPr>
            <w:tcW w:w="757" w:type="dxa"/>
            <w:shd w:val="clear" w:color="auto" w:fill="auto"/>
            <w:noWrap w:val="0"/>
            <w:vAlign w:val="center"/>
          </w:tcPr>
          <w:p>
            <w:pPr>
              <w:spacing w:line="300" w:lineRule="exact"/>
              <w:rPr>
                <w:rFonts w:hint="eastAsia" w:ascii="方正书宋_GBK" w:eastAsia="方正书宋_GBK"/>
                <w:b/>
                <w:sz w:val="21"/>
              </w:rPr>
            </w:pPr>
          </w:p>
        </w:tc>
        <w:tc>
          <w:tcPr>
            <w:tcW w:w="360" w:type="dxa"/>
            <w:shd w:val="clear" w:color="auto" w:fill="auto"/>
            <w:noWrap w:val="0"/>
            <w:vAlign w:val="center"/>
          </w:tcPr>
          <w:p>
            <w:pPr>
              <w:spacing w:line="300" w:lineRule="exact"/>
              <w:jc w:val="center"/>
              <w:rPr>
                <w:rFonts w:hint="eastAsia" w:ascii="方正书宋_GBK" w:eastAsia="方正书宋_GBK"/>
                <w:b/>
                <w:sz w:val="21"/>
              </w:rPr>
            </w:pPr>
          </w:p>
        </w:tc>
        <w:tc>
          <w:tcPr>
            <w:tcW w:w="360" w:type="dxa"/>
            <w:shd w:val="clear" w:color="auto" w:fill="auto"/>
            <w:noWrap w:val="0"/>
            <w:vAlign w:val="center"/>
          </w:tcPr>
          <w:p>
            <w:pPr>
              <w:spacing w:line="300" w:lineRule="exact"/>
              <w:jc w:val="right"/>
              <w:rPr>
                <w:rFonts w:hint="eastAsia" w:ascii="方正书宋_GBK" w:eastAsia="方正书宋_GBK"/>
                <w:b/>
                <w:sz w:val="21"/>
              </w:rPr>
            </w:pPr>
          </w:p>
        </w:tc>
        <w:tc>
          <w:tcPr>
            <w:tcW w:w="435" w:type="dxa"/>
            <w:shd w:val="clear" w:color="auto" w:fill="auto"/>
            <w:noWrap w:val="0"/>
            <w:vAlign w:val="center"/>
          </w:tcPr>
          <w:p>
            <w:pPr>
              <w:spacing w:line="300" w:lineRule="exact"/>
              <w:jc w:val="right"/>
              <w:rPr>
                <w:rFonts w:hint="eastAsia" w:ascii="方正书宋_GBK" w:eastAsia="方正书宋_GBK"/>
                <w:b/>
                <w:sz w:val="13"/>
                <w:szCs w:val="13"/>
              </w:rPr>
            </w:pP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1115.48</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1045.48</w:t>
            </w:r>
          </w:p>
        </w:tc>
        <w:tc>
          <w:tcPr>
            <w:tcW w:w="584" w:type="dxa"/>
            <w:shd w:val="clear" w:color="auto" w:fill="auto"/>
            <w:noWrap w:val="0"/>
            <w:vAlign w:val="center"/>
          </w:tcPr>
          <w:p>
            <w:pPr>
              <w:spacing w:line="300" w:lineRule="exact"/>
              <w:jc w:val="right"/>
              <w:rPr>
                <w:rFonts w:hint="eastAsia" w:ascii="方正书宋_GBK" w:eastAsia="方正书宋_GBK"/>
                <w:b/>
                <w:sz w:val="21"/>
              </w:rPr>
            </w:pPr>
          </w:p>
        </w:tc>
        <w:tc>
          <w:tcPr>
            <w:tcW w:w="450" w:type="dxa"/>
            <w:shd w:val="clear" w:color="auto" w:fill="auto"/>
            <w:noWrap w:val="0"/>
            <w:vAlign w:val="center"/>
          </w:tcPr>
          <w:p>
            <w:pPr>
              <w:spacing w:line="300" w:lineRule="exact"/>
              <w:jc w:val="right"/>
              <w:rPr>
                <w:rFonts w:hint="eastAsia" w:ascii="方正书宋_GBK" w:eastAsia="方正书宋_GBK"/>
                <w:b/>
                <w:sz w:val="21"/>
              </w:rPr>
            </w:pPr>
          </w:p>
        </w:tc>
        <w:tc>
          <w:tcPr>
            <w:tcW w:w="464" w:type="dxa"/>
            <w:shd w:val="clear" w:color="auto" w:fill="auto"/>
            <w:noWrap w:val="0"/>
            <w:vAlign w:val="center"/>
          </w:tcPr>
          <w:p>
            <w:pPr>
              <w:spacing w:line="300" w:lineRule="exact"/>
              <w:jc w:val="right"/>
              <w:rPr>
                <w:rFonts w:hint="eastAsia"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老城区街角游园文体设施建设资金</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74.00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其他构筑物</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A010399</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个</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2</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35.00</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70.00</w:t>
            </w: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34.19</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61.39</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904.75</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34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新建丰南区体育中心项目前期费用</w:t>
            </w:r>
          </w:p>
        </w:tc>
        <w:tc>
          <w:tcPr>
            <w:tcW w:w="77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1166.00</w:t>
            </w:r>
          </w:p>
        </w:tc>
        <w:tc>
          <w:tcPr>
            <w:tcW w:w="1039"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土木建筑工程研究服务</w:t>
            </w:r>
          </w:p>
        </w:tc>
        <w:tc>
          <w:tcPr>
            <w:tcW w:w="757" w:type="dxa"/>
            <w:shd w:val="clear" w:color="auto" w:fill="auto"/>
            <w:noWrap w:val="0"/>
            <w:vAlign w:val="center"/>
          </w:tcPr>
          <w:p>
            <w:pPr>
              <w:spacing w:line="300" w:lineRule="exact"/>
              <w:rPr>
                <w:rFonts w:hint="eastAsia" w:ascii="方正书宋_GBK" w:eastAsia="方正书宋_GBK"/>
                <w:sz w:val="21"/>
              </w:rPr>
            </w:pPr>
            <w:r>
              <w:rPr>
                <w:rFonts w:hint="eastAsia" w:ascii="方正书宋_GBK" w:eastAsia="方正书宋_GBK"/>
                <w:sz w:val="21"/>
              </w:rPr>
              <w:t>C010316</w:t>
            </w:r>
          </w:p>
        </w:tc>
        <w:tc>
          <w:tcPr>
            <w:tcW w:w="360" w:type="dxa"/>
            <w:shd w:val="clear" w:color="auto" w:fill="auto"/>
            <w:noWrap w:val="0"/>
            <w:vAlign w:val="center"/>
          </w:tcPr>
          <w:p>
            <w:pPr>
              <w:spacing w:line="300" w:lineRule="exact"/>
              <w:jc w:val="center"/>
              <w:rPr>
                <w:rFonts w:hint="eastAsia" w:ascii="方正书宋_GBK" w:eastAsia="方正书宋_GBK"/>
                <w:sz w:val="21"/>
              </w:rPr>
            </w:pPr>
            <w:r>
              <w:rPr>
                <w:rFonts w:hint="eastAsia" w:ascii="方正书宋_GBK" w:eastAsia="方正书宋_GBK"/>
                <w:sz w:val="21"/>
              </w:rPr>
              <w:t>项</w:t>
            </w:r>
          </w:p>
        </w:tc>
        <w:tc>
          <w:tcPr>
            <w:tcW w:w="360" w:type="dxa"/>
            <w:shd w:val="clear" w:color="auto" w:fill="auto"/>
            <w:noWrap w:val="0"/>
            <w:vAlign w:val="center"/>
          </w:tcPr>
          <w:p>
            <w:pPr>
              <w:spacing w:line="300" w:lineRule="exact"/>
              <w:jc w:val="right"/>
              <w:rPr>
                <w:rFonts w:hint="eastAsia" w:ascii="方正书宋_GBK" w:eastAsia="方正书宋_GBK"/>
                <w:sz w:val="21"/>
              </w:rPr>
            </w:pPr>
            <w:r>
              <w:rPr>
                <w:rFonts w:hint="eastAsia" w:ascii="方正书宋_GBK" w:eastAsia="方正书宋_GBK"/>
                <w:sz w:val="21"/>
              </w:rPr>
              <w:t>1</w:t>
            </w:r>
          </w:p>
        </w:tc>
        <w:tc>
          <w:tcPr>
            <w:tcW w:w="43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825"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764" w:type="dxa"/>
            <w:shd w:val="clear" w:color="auto" w:fill="auto"/>
            <w:noWrap w:val="0"/>
            <w:vAlign w:val="center"/>
          </w:tcPr>
          <w:p>
            <w:pPr>
              <w:spacing w:line="300" w:lineRule="exact"/>
              <w:jc w:val="right"/>
              <w:rPr>
                <w:rFonts w:hint="eastAsia" w:ascii="方正书宋_GBK" w:eastAsia="方正书宋_GBK"/>
                <w:sz w:val="13"/>
                <w:szCs w:val="13"/>
              </w:rPr>
            </w:pPr>
          </w:p>
        </w:tc>
        <w:tc>
          <w:tcPr>
            <w:tcW w:w="751" w:type="dxa"/>
            <w:shd w:val="clear" w:color="auto" w:fill="auto"/>
            <w:noWrap w:val="0"/>
            <w:vAlign w:val="center"/>
          </w:tcPr>
          <w:p>
            <w:pPr>
              <w:spacing w:line="300" w:lineRule="exact"/>
              <w:jc w:val="right"/>
              <w:rPr>
                <w:rFonts w:hint="eastAsia" w:ascii="方正书宋_GBK" w:eastAsia="方正书宋_GBK"/>
                <w:sz w:val="13"/>
                <w:szCs w:val="13"/>
              </w:rPr>
            </w:pPr>
            <w:r>
              <w:rPr>
                <w:rFonts w:hint="eastAsia" w:ascii="方正书宋_GBK" w:eastAsia="方正书宋_GBK"/>
                <w:sz w:val="13"/>
                <w:szCs w:val="13"/>
              </w:rPr>
              <w:t>45.15</w:t>
            </w:r>
          </w:p>
        </w:tc>
        <w:tc>
          <w:tcPr>
            <w:tcW w:w="584" w:type="dxa"/>
            <w:shd w:val="clear" w:color="auto" w:fill="auto"/>
            <w:noWrap w:val="0"/>
            <w:vAlign w:val="center"/>
          </w:tcPr>
          <w:p>
            <w:pPr>
              <w:spacing w:line="300" w:lineRule="exact"/>
              <w:jc w:val="right"/>
              <w:rPr>
                <w:rFonts w:hint="eastAsia" w:ascii="方正书宋_GBK" w:eastAsia="方正书宋_GBK"/>
                <w:sz w:val="21"/>
              </w:rPr>
            </w:pPr>
          </w:p>
        </w:tc>
        <w:tc>
          <w:tcPr>
            <w:tcW w:w="450" w:type="dxa"/>
            <w:shd w:val="clear" w:color="auto" w:fill="auto"/>
            <w:noWrap w:val="0"/>
            <w:vAlign w:val="center"/>
          </w:tcPr>
          <w:p>
            <w:pPr>
              <w:spacing w:line="300" w:lineRule="exact"/>
              <w:jc w:val="right"/>
              <w:rPr>
                <w:rFonts w:hint="eastAsia" w:ascii="方正书宋_GBK" w:eastAsia="方正书宋_GBK"/>
                <w:sz w:val="21"/>
              </w:rPr>
            </w:pPr>
          </w:p>
        </w:tc>
        <w:tc>
          <w:tcPr>
            <w:tcW w:w="464" w:type="dxa"/>
            <w:shd w:val="clear" w:color="auto" w:fill="auto"/>
            <w:noWrap w:val="0"/>
            <w:vAlign w:val="center"/>
          </w:tcPr>
          <w:p>
            <w:pPr>
              <w:spacing w:line="300" w:lineRule="exact"/>
              <w:jc w:val="right"/>
              <w:rPr>
                <w:rFonts w:hint="eastAsia" w:ascii="方正书宋_GBK" w:eastAsia="方正书宋_GBK"/>
                <w:sz w:val="21"/>
              </w:rPr>
            </w:pPr>
          </w:p>
        </w:tc>
      </w:tr>
    </w:tbl>
    <w:p>
      <w:pPr>
        <w:spacing w:line="300" w:lineRule="exact"/>
        <w:outlineLvl w:val="1"/>
        <w:rPr>
          <w:rFonts w:ascii="Times New Roman" w:hAnsi="Times New Roman" w:eastAsia="方正仿宋_GBK"/>
          <w:sz w:val="28"/>
        </w:rPr>
        <w:sectPr>
          <w:pgSz w:w="11907" w:h="16839"/>
          <w:pgMar w:top="1020" w:right="1361" w:bottom="1020" w:left="1361" w:header="851" w:footer="992" w:gutter="0"/>
          <w:cols w:space="720" w:num="1"/>
          <w:docGrid w:type="lines" w:linePitch="312" w:charSpace="0"/>
        </w:sectPr>
      </w:pPr>
    </w:p>
    <w:p>
      <w:pPr>
        <w:adjustRightInd w:val="0"/>
        <w:snapToGrid w:val="0"/>
        <w:spacing w:line="560" w:lineRule="exact"/>
        <w:ind w:left="0" w:firstLine="482" w:firstLineChars="150"/>
        <w:rPr>
          <w:rFonts w:hint="eastAsia"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我单位2020年底固定资产1492.84万元，其中房屋7812平方米价值613万元、车辆2辆价值13.4万元、单价20万元以上设备4台价值452.91万元、其他固定资产 个价值413.53万元。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noWrap w:val="0"/>
            <w:vAlign w:val="center"/>
          </w:tcPr>
          <w:p>
            <w:pPr>
              <w:widowControl/>
              <w:jc w:val="center"/>
              <w:rPr>
                <w:rFonts w:hint="eastAsia" w:ascii="宋体" w:cs="宋体"/>
                <w:b/>
                <w:bCs/>
                <w:kern w:val="0"/>
                <w:sz w:val="32"/>
                <w:szCs w:val="32"/>
                <w:lang w:bidi="ar-SA"/>
              </w:rPr>
            </w:pPr>
            <w:r>
              <w:rPr>
                <w:rFonts w:hint="eastAsia" w:ascii="宋体" w:cs="宋体"/>
                <w:b/>
                <w:bCs/>
                <w:kern w:val="0"/>
                <w:sz w:val="32"/>
                <w:szCs w:val="32"/>
                <w:lang w:bidi="ar-SA"/>
              </w:rPr>
              <w:t>部门固定资产占用情况表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noWrap w:val="0"/>
            <w:vAlign w:val="center"/>
          </w:tcPr>
          <w:p>
            <w:pPr>
              <w:widowControl/>
              <w:jc w:val="left"/>
              <w:rPr>
                <w:rFonts w:eastAsia="仿宋"/>
                <w:kern w:val="0"/>
                <w:sz w:val="22"/>
              </w:rPr>
            </w:pPr>
            <w:r>
              <w:rPr>
                <w:rFonts w:hint="eastAsia" w:eastAsia="仿宋"/>
                <w:kern w:val="0"/>
                <w:sz w:val="22"/>
              </w:rPr>
              <w:t>编制部门：</w:t>
            </w:r>
          </w:p>
        </w:tc>
        <w:tc>
          <w:tcPr>
            <w:tcW w:w="4131" w:type="dxa"/>
            <w:tcBorders>
              <w:top w:val="nil"/>
              <w:left w:val="nil"/>
              <w:bottom w:val="nil"/>
              <w:right w:val="nil"/>
            </w:tcBorders>
            <w:noWrap w:val="0"/>
            <w:vAlign w:val="center"/>
          </w:tcPr>
          <w:p>
            <w:pPr>
              <w:widowControl/>
              <w:jc w:val="right"/>
              <w:rPr>
                <w:rFonts w:hint="eastAsia" w:ascii="宋体" w:cs="宋体"/>
                <w:b/>
                <w:bCs/>
                <w:kern w:val="0"/>
                <w:sz w:val="22"/>
                <w:szCs w:val="22"/>
                <w:lang w:bidi="ar-SA"/>
              </w:rPr>
            </w:pPr>
            <w:r>
              <w:rPr>
                <w:rFonts w:hint="eastAsia" w:ascii="仿宋_GB2312" w:eastAsia="仿宋_GB2312" w:cs="仿宋_GB2312"/>
                <w:kern w:val="0"/>
                <w:sz w:val="22"/>
                <w:szCs w:val="22"/>
                <w:lang w:bidi="ar-SA"/>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项目</w:t>
            </w:r>
          </w:p>
        </w:tc>
        <w:tc>
          <w:tcPr>
            <w:tcW w:w="26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数量</w:t>
            </w:r>
          </w:p>
        </w:tc>
        <w:tc>
          <w:tcPr>
            <w:tcW w:w="41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szCs w:val="22"/>
                <w:lang w:bidi="ar-SA"/>
              </w:rPr>
            </w:pPr>
            <w:r>
              <w:rPr>
                <w:rFonts w:hint="eastAsia" w:ascii="宋体" w:cs="宋体"/>
                <w:b/>
                <w:bCs/>
                <w:kern w:val="0"/>
                <w:sz w:val="22"/>
                <w:szCs w:val="22"/>
                <w:lang w:bidi="ar-SA"/>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1492.84</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7812</w:t>
            </w:r>
          </w:p>
        </w:tc>
        <w:tc>
          <w:tcPr>
            <w:tcW w:w="413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613</w:t>
            </w: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156</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12.26</w:t>
            </w: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2</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13.4</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6</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ascii="仿宋" w:eastAsia="仿宋"/>
                <w:kern w:val="0"/>
                <w:sz w:val="22"/>
              </w:rPr>
              <w:t>452.91</w:t>
            </w: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743</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eastAsia="仿宋"/>
                <w:kern w:val="0"/>
                <w:sz w:val="22"/>
              </w:rPr>
              <w:t>413.53</w:t>
            </w:r>
          </w:p>
        </w:tc>
      </w:tr>
    </w:tbl>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2021年我单位拟购置复印机1台、笔记本电脑1台、空调1台。</w:t>
      </w:r>
    </w:p>
    <w:p>
      <w:pPr>
        <w:autoSpaceDE w:val="0"/>
        <w:autoSpaceDN w:val="0"/>
        <w:adjustRightInd w:val="0"/>
        <w:snapToGrid w:val="0"/>
        <w:spacing w:line="560" w:lineRule="exact"/>
        <w:ind w:firstLine="643" w:firstLineChars="200"/>
        <w:jc w:val="left"/>
        <w:rPr>
          <w:rFonts w:hint="eastAsia"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rPr>
        <w:t>部门预算政府性基金预算财政拨款支出表，此表无数据，因本单位不涉及政府性基金，因此无数据；</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sz w:val="32"/>
          <w:szCs w:val="32"/>
        </w:rPr>
        <w:t>部门预算国有资本经营预算财政拨款支出表，此表无数据，因本单位不涉及国有资本经营，因此无数据。</w:t>
      </w:r>
    </w:p>
    <w:p>
      <w:pPr>
        <w:spacing w:line="500" w:lineRule="exact"/>
        <w:ind w:firstLine="560" w:firstLineChars="200"/>
        <w:jc w:val="left"/>
        <w:rPr>
          <w:rFonts w:hint="eastAsia" w:ascii="Times New Roman" w:eastAsia="方正仿宋_GBK"/>
          <w:color w:val="000000" w:themeColor="text1"/>
          <w:sz w:val="28"/>
          <w:lang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9" o:spid="_x0000_s4099" o:spt="202" type="#_x0000_t202" style="position:absolute;left:0pt;margin-top:0pt;height:10.35pt;width:4.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100" o:spid="_x0000_s4100" o:spt="202" type="#_x0000_t202" style="position:absolute;left:0pt;margin-top:0pt;height:10.35pt;width:4.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5EA1"/>
    <w:multiLevelType w:val="singleLevel"/>
    <w:tmpl w:val="B3BD5EA1"/>
    <w:lvl w:ilvl="0" w:tentative="0">
      <w:start w:val="1"/>
      <w:numFmt w:val="chineseCounting"/>
      <w:suff w:val="space"/>
      <w:lvlText w:val="第%1部分"/>
      <w:lvlJc w:val="left"/>
      <w:rPr>
        <w:rFonts w:hint="eastAsia"/>
      </w:rPr>
    </w:lvl>
  </w:abstractNum>
  <w:abstractNum w:abstractNumId="1">
    <w:nsid w:val="0033EF6F"/>
    <w:multiLevelType w:val="singleLevel"/>
    <w:tmpl w:val="0033EF6F"/>
    <w:lvl w:ilvl="0" w:tentative="0">
      <w:start w:val="1"/>
      <w:numFmt w:val="chineseCounting"/>
      <w:suff w:val="space"/>
      <w:lvlText w:val="第%1部分"/>
      <w:lvlJc w:val="left"/>
      <w:rPr>
        <w:rFonts w:hint="eastAsia"/>
      </w:rPr>
    </w:lvl>
  </w:abstractNum>
  <w:abstractNum w:abstractNumId="2">
    <w:nsid w:val="29575AAD"/>
    <w:multiLevelType w:val="multilevel"/>
    <w:tmpl w:val="29575AAD"/>
    <w:lvl w:ilvl="0" w:tentative="0">
      <w:start w:val="1"/>
      <w:numFmt w:val="chineseCountingThousand"/>
      <w:lvlText w:val="（%1）"/>
      <w:legacy w:legacy="1" w:legacySpace="0" w:legacyIndent="960"/>
      <w:lvlJc w:val="left"/>
      <w:pPr>
        <w:ind w:left="1600" w:hanging="960"/>
      </w:pPr>
      <w:rPr>
        <w:rFonts w:hint="default" w:cs="宋体"/>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3Yzc2Yzk0YWEyMjA0MmVlM2M5N2M4N2Q2ZTkzZTEifQ=="/>
  </w:docVars>
  <w:rsids>
    <w:rsidRoot w:val="00172A27"/>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B4086F"/>
    <w:rsid w:val="02181129"/>
    <w:rsid w:val="038A50FB"/>
    <w:rsid w:val="041F1C8C"/>
    <w:rsid w:val="044E2BE0"/>
    <w:rsid w:val="05CA3DFD"/>
    <w:rsid w:val="07293275"/>
    <w:rsid w:val="09402E9B"/>
    <w:rsid w:val="09B66250"/>
    <w:rsid w:val="09E34732"/>
    <w:rsid w:val="0B611889"/>
    <w:rsid w:val="0B666A61"/>
    <w:rsid w:val="0C10277E"/>
    <w:rsid w:val="0C5D7BF5"/>
    <w:rsid w:val="0CA43CE5"/>
    <w:rsid w:val="0E412344"/>
    <w:rsid w:val="0E835B7C"/>
    <w:rsid w:val="0F022F45"/>
    <w:rsid w:val="0FD06B9F"/>
    <w:rsid w:val="104D2599"/>
    <w:rsid w:val="10A84AF0"/>
    <w:rsid w:val="10CD30DE"/>
    <w:rsid w:val="148D41AD"/>
    <w:rsid w:val="15437E13"/>
    <w:rsid w:val="15AC59B8"/>
    <w:rsid w:val="164521C2"/>
    <w:rsid w:val="18397E20"/>
    <w:rsid w:val="1A845A0A"/>
    <w:rsid w:val="1BCE2A30"/>
    <w:rsid w:val="1C6A2129"/>
    <w:rsid w:val="1D734218"/>
    <w:rsid w:val="1E28404A"/>
    <w:rsid w:val="202A7DFC"/>
    <w:rsid w:val="20BC7466"/>
    <w:rsid w:val="20DA11EA"/>
    <w:rsid w:val="21220308"/>
    <w:rsid w:val="216A7E42"/>
    <w:rsid w:val="21E67D41"/>
    <w:rsid w:val="229F5E27"/>
    <w:rsid w:val="23414FCB"/>
    <w:rsid w:val="26E9439D"/>
    <w:rsid w:val="26F94951"/>
    <w:rsid w:val="2790513A"/>
    <w:rsid w:val="27F26A9B"/>
    <w:rsid w:val="2847744D"/>
    <w:rsid w:val="28DF0E2E"/>
    <w:rsid w:val="2B5E02FF"/>
    <w:rsid w:val="2BD11460"/>
    <w:rsid w:val="2D360531"/>
    <w:rsid w:val="2DF5594A"/>
    <w:rsid w:val="2F0B1ADA"/>
    <w:rsid w:val="2FB23CE6"/>
    <w:rsid w:val="2FED502D"/>
    <w:rsid w:val="3015542F"/>
    <w:rsid w:val="30566DDE"/>
    <w:rsid w:val="3181717C"/>
    <w:rsid w:val="33677C5E"/>
    <w:rsid w:val="34384B8F"/>
    <w:rsid w:val="35A74901"/>
    <w:rsid w:val="361F3F7F"/>
    <w:rsid w:val="363F31FC"/>
    <w:rsid w:val="368F6420"/>
    <w:rsid w:val="36BE6EA2"/>
    <w:rsid w:val="377A4464"/>
    <w:rsid w:val="38A74091"/>
    <w:rsid w:val="39284E61"/>
    <w:rsid w:val="398753C5"/>
    <w:rsid w:val="39F01A68"/>
    <w:rsid w:val="3A1C0AAF"/>
    <w:rsid w:val="3A5D453C"/>
    <w:rsid w:val="3B9C3454"/>
    <w:rsid w:val="3C5B5038"/>
    <w:rsid w:val="3D2D6B2F"/>
    <w:rsid w:val="3E7D1124"/>
    <w:rsid w:val="3F2C7CAB"/>
    <w:rsid w:val="3FA6322C"/>
    <w:rsid w:val="40453D67"/>
    <w:rsid w:val="41680BF5"/>
    <w:rsid w:val="41F93484"/>
    <w:rsid w:val="42FC322C"/>
    <w:rsid w:val="4501521F"/>
    <w:rsid w:val="46020B59"/>
    <w:rsid w:val="49A25FC8"/>
    <w:rsid w:val="49BD1FA7"/>
    <w:rsid w:val="4B2475BC"/>
    <w:rsid w:val="4D0A7AB0"/>
    <w:rsid w:val="4E392855"/>
    <w:rsid w:val="4E781F0A"/>
    <w:rsid w:val="4FCC21D8"/>
    <w:rsid w:val="50001F9F"/>
    <w:rsid w:val="508571D3"/>
    <w:rsid w:val="508A52AE"/>
    <w:rsid w:val="50D03AA0"/>
    <w:rsid w:val="51EE722B"/>
    <w:rsid w:val="527F3531"/>
    <w:rsid w:val="52F45CCD"/>
    <w:rsid w:val="537B5D88"/>
    <w:rsid w:val="57430FD1"/>
    <w:rsid w:val="57F05080"/>
    <w:rsid w:val="5B06742A"/>
    <w:rsid w:val="5B251169"/>
    <w:rsid w:val="5BF77FB8"/>
    <w:rsid w:val="5C3F44F5"/>
    <w:rsid w:val="5C78796F"/>
    <w:rsid w:val="5E4C5885"/>
    <w:rsid w:val="5E5A6011"/>
    <w:rsid w:val="60847CC9"/>
    <w:rsid w:val="60BD0047"/>
    <w:rsid w:val="61D61574"/>
    <w:rsid w:val="62314848"/>
    <w:rsid w:val="6253425A"/>
    <w:rsid w:val="62B92AB4"/>
    <w:rsid w:val="63381369"/>
    <w:rsid w:val="637A221F"/>
    <w:rsid w:val="64095351"/>
    <w:rsid w:val="64306D81"/>
    <w:rsid w:val="64B11C70"/>
    <w:rsid w:val="660051BA"/>
    <w:rsid w:val="6688207A"/>
    <w:rsid w:val="66F23C42"/>
    <w:rsid w:val="67ED7463"/>
    <w:rsid w:val="688614DF"/>
    <w:rsid w:val="68C161FA"/>
    <w:rsid w:val="68CC78C9"/>
    <w:rsid w:val="68F7172D"/>
    <w:rsid w:val="693B5FAC"/>
    <w:rsid w:val="69913E1E"/>
    <w:rsid w:val="69B64CFD"/>
    <w:rsid w:val="6A0A597F"/>
    <w:rsid w:val="6A3012DD"/>
    <w:rsid w:val="6A3B214A"/>
    <w:rsid w:val="6AD81956"/>
    <w:rsid w:val="6BB30CD2"/>
    <w:rsid w:val="6C705F6D"/>
    <w:rsid w:val="6C827246"/>
    <w:rsid w:val="6CFE1F79"/>
    <w:rsid w:val="6DF350A8"/>
    <w:rsid w:val="6E8379F2"/>
    <w:rsid w:val="6FE05858"/>
    <w:rsid w:val="704C4F43"/>
    <w:rsid w:val="71B44B4E"/>
    <w:rsid w:val="723F4D5F"/>
    <w:rsid w:val="724D6E70"/>
    <w:rsid w:val="72603B5A"/>
    <w:rsid w:val="733F747A"/>
    <w:rsid w:val="751C36B3"/>
    <w:rsid w:val="75474B87"/>
    <w:rsid w:val="758941EC"/>
    <w:rsid w:val="760B4F58"/>
    <w:rsid w:val="761C1742"/>
    <w:rsid w:val="762D4ECF"/>
    <w:rsid w:val="76842C31"/>
    <w:rsid w:val="7693567A"/>
    <w:rsid w:val="78263FA6"/>
    <w:rsid w:val="799D05BD"/>
    <w:rsid w:val="7B2A5E81"/>
    <w:rsid w:val="7B445194"/>
    <w:rsid w:val="7D142945"/>
    <w:rsid w:val="7D660B03"/>
    <w:rsid w:val="7EF908C6"/>
    <w:rsid w:val="7FE45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uiPriority w:val="39"/>
    <w:pPr>
      <w:ind w:left="420" w:leftChars="200"/>
    </w:p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customStyle="1" w:styleId="12">
    <w:name w:val="页眉 Char"/>
    <w:basedOn w:val="9"/>
    <w:link w:val="4"/>
    <w:uiPriority w:val="99"/>
    <w:rPr>
      <w:rFonts w:ascii="Calibri" w:hAnsi="Calibri" w:eastAsia="宋体" w:cs="Times New Roman"/>
      <w:sz w:val="18"/>
      <w:szCs w:val="18"/>
    </w:rPr>
  </w:style>
  <w:style w:type="character" w:customStyle="1" w:styleId="13">
    <w:name w:val="页脚 Char"/>
    <w:basedOn w:val="9"/>
    <w:link w:val="3"/>
    <w:uiPriority w:val="99"/>
    <w:rPr>
      <w:rFonts w:ascii="Calibri" w:hAnsi="Calibri" w:eastAsia="宋体" w:cs="Times New Roman"/>
      <w:sz w:val="18"/>
      <w:szCs w:val="18"/>
    </w:rPr>
  </w:style>
  <w:style w:type="paragraph" w:customStyle="1" w:styleId="14">
    <w:name w:val="Defaul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31">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3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9"/>
    <customShpInfo spid="_x0000_s4100"/>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25803</Words>
  <Characters>28595</Characters>
  <Lines>27</Lines>
  <Paragraphs>7</Paragraphs>
  <TotalTime>7</TotalTime>
  <ScaleCrop>false</ScaleCrop>
  <LinksUpToDate>false</LinksUpToDate>
  <CharactersWithSpaces>29821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WPS_1660725483</cp:lastModifiedBy>
  <cp:lastPrinted>2022-09-20T08:27:28Z</cp:lastPrinted>
  <dcterms:modified xsi:type="dcterms:W3CDTF">2022-09-20T08:49:13Z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18C74288F01947318B031CA930AE8A80</vt:lpwstr>
  </property>
</Properties>
</file>