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宋体" w:hAnsi="宋体"/>
          <w:color w:val="000000" w:themeColor="text1"/>
          <w:sz w:val="30"/>
          <w:szCs w:val="30"/>
        </w:rPr>
      </w:pPr>
      <w:r>
        <w:rPr>
          <w:rFonts w:hint="eastAsia" w:ascii="宋体" w:hAnsi="宋体"/>
          <w:color w:val="000000" w:themeColor="text1"/>
          <w:sz w:val="30"/>
          <w:szCs w:val="30"/>
        </w:rPr>
        <w:t>附件1</w:t>
      </w:r>
    </w:p>
    <w:p>
      <w:pPr>
        <w:jc w:val="center"/>
        <w:outlineLvl w:val="0"/>
        <w:rPr>
          <w:rFonts w:ascii="Times New Roman" w:hAnsi="宋体"/>
          <w:b/>
          <w:color w:val="000000" w:themeColor="text1"/>
          <w:sz w:val="44"/>
        </w:rPr>
      </w:pPr>
      <w:r>
        <w:rPr>
          <w:rFonts w:hint="eastAsia" w:ascii="黑体" w:eastAsia="黑体"/>
          <w:b/>
          <w:color w:val="000000" w:themeColor="text1"/>
          <w:sz w:val="44"/>
        </w:rPr>
        <w:t>202</w:t>
      </w:r>
      <w:r>
        <w:rPr>
          <w:rFonts w:hint="eastAsia" w:ascii="黑体" w:eastAsia="黑体"/>
          <w:b/>
          <w:color w:val="000000" w:themeColor="text1"/>
          <w:sz w:val="44"/>
          <w:lang w:val="en-US" w:eastAsia="zh-CN"/>
        </w:rPr>
        <w:t>1</w:t>
      </w:r>
      <w:r>
        <w:rPr>
          <w:rFonts w:hint="eastAsia" w:ascii="黑体" w:eastAsia="黑体"/>
          <w:b/>
          <w:color w:val="000000" w:themeColor="text1"/>
          <w:sz w:val="44"/>
        </w:rPr>
        <w:t>年</w:t>
      </w:r>
      <w:r>
        <w:rPr>
          <w:rFonts w:hint="eastAsia" w:ascii="黑体" w:eastAsia="黑体"/>
          <w:b/>
          <w:color w:val="000000" w:themeColor="text1"/>
          <w:sz w:val="44"/>
          <w:lang w:eastAsia="zh-CN"/>
        </w:rPr>
        <w:t>单位</w:t>
      </w:r>
      <w:r>
        <w:rPr>
          <w:rFonts w:hint="eastAsia" w:ascii="黑体" w:eastAsia="黑体"/>
          <w:b/>
          <w:color w:val="000000" w:themeColor="text1"/>
          <w:sz w:val="44"/>
        </w:rPr>
        <w:t>预算信息公开目录</w:t>
      </w:r>
    </w:p>
    <w:p>
      <w:pPr>
        <w:jc w:val="center"/>
        <w:rPr>
          <w:rFonts w:ascii="Times New Roman" w:hAnsi="宋体"/>
          <w:b/>
          <w:color w:val="000000" w:themeColor="text1"/>
          <w:sz w:val="30"/>
        </w:rPr>
      </w:pPr>
    </w:p>
    <w:p>
      <w:pPr>
        <w:jc w:val="center"/>
        <w:rPr>
          <w:rFonts w:ascii="Times New Roman" w:hAnsi="宋体"/>
          <w:b/>
          <w:color w:val="000000" w:themeColor="text1"/>
          <w:sz w:val="30"/>
        </w:rPr>
      </w:pPr>
      <w:r>
        <w:rPr>
          <w:rFonts w:hint="eastAsia" w:ascii="黑体" w:hAnsi="黑体" w:eastAsia="黑体"/>
          <w:b/>
          <w:color w:val="000000" w:themeColor="text1"/>
          <w:sz w:val="30"/>
        </w:rPr>
        <w:t xml:space="preserve">第一部分  </w:t>
      </w:r>
      <w:r>
        <w:rPr>
          <w:rFonts w:hint="eastAsia" w:ascii="黑体" w:hAnsi="黑体" w:eastAsia="黑体"/>
          <w:b/>
          <w:color w:val="000000" w:themeColor="text1"/>
          <w:sz w:val="30"/>
          <w:lang w:eastAsia="zh-CN"/>
        </w:rPr>
        <w:t>单位</w:t>
      </w:r>
      <w:r>
        <w:rPr>
          <w:rFonts w:hint="eastAsia" w:ascii="黑体" w:hAnsi="黑体" w:eastAsia="黑体"/>
          <w:b/>
          <w:color w:val="000000" w:themeColor="text1"/>
          <w:sz w:val="30"/>
        </w:rPr>
        <w:t>预算</w:t>
      </w:r>
    </w:p>
    <w:p>
      <w:pPr>
        <w:jc w:val="left"/>
        <w:rPr>
          <w:rFonts w:ascii="Times New Roman" w:hAnsi="宋体"/>
          <w:b/>
          <w:color w:val="000000" w:themeColor="text1"/>
          <w:sz w:val="28"/>
        </w:rPr>
      </w:pPr>
      <w:r>
        <w:rPr>
          <w:rFonts w:hint="eastAsia" w:ascii="方正楷体_GBK" w:eastAsia="方正楷体_GBK"/>
          <w:b/>
          <w:color w:val="000000" w:themeColor="text1"/>
          <w:sz w:val="28"/>
          <w:lang w:eastAsia="zh-CN"/>
        </w:rPr>
        <w:t>单位</w:t>
      </w:r>
      <w:r>
        <w:rPr>
          <w:rFonts w:hint="eastAsia" w:ascii="方正楷体_GBK" w:eastAsia="方正楷体_GBK"/>
          <w:b/>
          <w:color w:val="000000" w:themeColor="text1"/>
          <w:sz w:val="28"/>
        </w:rPr>
        <w:t>预算公开表</w:t>
      </w:r>
    </w:p>
    <w:p>
      <w:pPr>
        <w:pStyle w:val="6"/>
        <w:tabs>
          <w:tab w:val="right" w:leader="dot" w:pos="14789"/>
        </w:tabs>
        <w:jc w:val="center"/>
        <w:rPr>
          <w:rFonts w:ascii="Times New Roman" w:eastAsia="方正仿宋_GBK"/>
          <w:color w:val="000000" w:themeColor="text1"/>
          <w:sz w:val="28"/>
        </w:rPr>
      </w:pPr>
      <w:r>
        <w:rPr>
          <w:rFonts w:ascii="Times New Roman" w:eastAsia="方正仿宋_GBK"/>
          <w:color w:val="000000" w:themeColor="text1"/>
          <w:sz w:val="28"/>
        </w:rPr>
        <w:fldChar w:fldCharType="begin"/>
      </w:r>
      <w:r>
        <w:rPr>
          <w:rFonts w:ascii="Times New Roman" w:eastAsia="方正仿宋_GBK"/>
          <w:color w:val="000000" w:themeColor="text1"/>
          <w:sz w:val="28"/>
        </w:rPr>
        <w:instrText xml:space="preserve"> TOC \o "2-2" \h \z \u \t "-1" </w:instrText>
      </w:r>
      <w:r>
        <w:rPr>
          <w:rFonts w:ascii="Times New Roman" w:eastAsia="方正仿宋_GBK"/>
          <w:color w:val="000000" w:themeColor="text1"/>
          <w:sz w:val="28"/>
        </w:rPr>
        <w:fldChar w:fldCharType="separate"/>
      </w:r>
      <w:r>
        <w:fldChar w:fldCharType="begin"/>
      </w:r>
      <w:r>
        <w:instrText xml:space="preserve"> HYPERLINK \l "_Toc66435796" </w:instrText>
      </w:r>
      <w:r>
        <w:fldChar w:fldCharType="separate"/>
      </w:r>
      <w:r>
        <w:rPr>
          <w:rStyle w:val="11"/>
          <w:rFonts w:hint="eastAsia" w:ascii="Times New Roman" w:eastAsia="方正仿宋_GBK"/>
          <w:color w:val="000000" w:themeColor="text1"/>
          <w:sz w:val="28"/>
          <w:u w:val="none"/>
          <w:lang w:eastAsia="zh-CN"/>
        </w:rPr>
        <w:t>单位</w:t>
      </w:r>
      <w:r>
        <w:rPr>
          <w:rStyle w:val="11"/>
          <w:rFonts w:hint="eastAsia" w:ascii="Times New Roman" w:eastAsia="方正仿宋_GBK"/>
          <w:color w:val="000000" w:themeColor="text1"/>
          <w:sz w:val="28"/>
          <w:u w:val="none"/>
        </w:rPr>
        <w:t>预算收支总表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2</w:t>
      </w:r>
      <w:r>
        <w:rPr>
          <w:rFonts w:hint="eastAsia" w:ascii="Times New Roman" w:eastAsia="方正仿宋_GBK"/>
          <w:color w:val="000000" w:themeColor="text1"/>
          <w:sz w:val="28"/>
        </w:rPr>
        <w:fldChar w:fldCharType="end"/>
      </w:r>
    </w:p>
    <w:p>
      <w:pPr>
        <w:pStyle w:val="6"/>
        <w:tabs>
          <w:tab w:val="right" w:leader="dot" w:pos="14789"/>
        </w:tabs>
        <w:jc w:val="center"/>
        <w:rPr>
          <w:rFonts w:ascii="Times New Roman" w:eastAsia="方正仿宋_GBK"/>
          <w:color w:val="000000" w:themeColor="text1"/>
          <w:sz w:val="28"/>
        </w:rPr>
      </w:pPr>
      <w:r>
        <w:fldChar w:fldCharType="begin"/>
      </w:r>
      <w:r>
        <w:instrText xml:space="preserve"> HYPERLINK \l "_Toc66435797" </w:instrText>
      </w:r>
      <w:r>
        <w:fldChar w:fldCharType="separate"/>
      </w:r>
      <w:r>
        <w:rPr>
          <w:rStyle w:val="11"/>
          <w:rFonts w:hint="eastAsia" w:ascii="Times New Roman" w:eastAsia="方正仿宋_GBK"/>
          <w:color w:val="000000" w:themeColor="text1"/>
          <w:sz w:val="28"/>
          <w:u w:val="none"/>
          <w:lang w:eastAsia="zh-CN"/>
        </w:rPr>
        <w:t>单位</w:t>
      </w:r>
      <w:r>
        <w:rPr>
          <w:rStyle w:val="11"/>
          <w:rFonts w:hint="eastAsia" w:ascii="Times New Roman" w:eastAsia="方正仿宋_GBK"/>
          <w:color w:val="000000" w:themeColor="text1"/>
          <w:sz w:val="28"/>
          <w:u w:val="none"/>
        </w:rPr>
        <w:t>预算收入总表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4</w:t>
      </w:r>
      <w:r>
        <w:rPr>
          <w:rFonts w:hint="eastAsia" w:ascii="Times New Roman" w:eastAsia="方正仿宋_GBK"/>
          <w:color w:val="000000" w:themeColor="text1"/>
          <w:sz w:val="28"/>
        </w:rPr>
        <w:fldChar w:fldCharType="end"/>
      </w:r>
    </w:p>
    <w:p>
      <w:pPr>
        <w:pStyle w:val="6"/>
        <w:tabs>
          <w:tab w:val="right" w:leader="dot" w:pos="14789"/>
        </w:tabs>
        <w:jc w:val="center"/>
        <w:rPr>
          <w:rFonts w:ascii="Times New Roman" w:eastAsia="方正仿宋_GBK"/>
          <w:color w:val="000000" w:themeColor="text1"/>
          <w:sz w:val="28"/>
        </w:rPr>
      </w:pPr>
      <w:r>
        <w:fldChar w:fldCharType="begin"/>
      </w:r>
      <w:r>
        <w:instrText xml:space="preserve"> HYPERLINK \l "_Toc66435798" </w:instrText>
      </w:r>
      <w:r>
        <w:fldChar w:fldCharType="separate"/>
      </w:r>
      <w:r>
        <w:rPr>
          <w:rStyle w:val="11"/>
          <w:rFonts w:hint="eastAsia" w:ascii="Times New Roman" w:eastAsia="方正仿宋_GBK"/>
          <w:color w:val="000000" w:themeColor="text1"/>
          <w:sz w:val="28"/>
          <w:u w:val="none"/>
          <w:lang w:eastAsia="zh-CN"/>
        </w:rPr>
        <w:t>单位</w:t>
      </w:r>
      <w:r>
        <w:rPr>
          <w:rStyle w:val="11"/>
          <w:rFonts w:hint="eastAsia" w:ascii="Times New Roman" w:eastAsia="方正仿宋_GBK"/>
          <w:color w:val="000000" w:themeColor="text1"/>
          <w:sz w:val="28"/>
          <w:u w:val="none"/>
        </w:rPr>
        <w:t>预算支出总表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5</w:t>
      </w:r>
      <w:r>
        <w:rPr>
          <w:rFonts w:hint="eastAsia" w:ascii="Times New Roman" w:eastAsia="方正仿宋_GBK"/>
          <w:color w:val="000000" w:themeColor="text1"/>
          <w:sz w:val="28"/>
        </w:rPr>
        <w:fldChar w:fldCharType="end"/>
      </w:r>
    </w:p>
    <w:p>
      <w:pPr>
        <w:pStyle w:val="6"/>
        <w:tabs>
          <w:tab w:val="right" w:leader="dot" w:pos="14789"/>
        </w:tabs>
        <w:jc w:val="center"/>
        <w:rPr>
          <w:rFonts w:ascii="Times New Roman" w:eastAsia="方正仿宋_GBK"/>
          <w:color w:val="000000" w:themeColor="text1"/>
          <w:sz w:val="28"/>
        </w:rPr>
      </w:pPr>
      <w:r>
        <w:fldChar w:fldCharType="begin"/>
      </w:r>
      <w:r>
        <w:instrText xml:space="preserve"> HYPERLINK \l "_Toc66435799" </w:instrText>
      </w:r>
      <w:r>
        <w:fldChar w:fldCharType="separate"/>
      </w:r>
      <w:r>
        <w:rPr>
          <w:rStyle w:val="11"/>
          <w:rFonts w:hint="eastAsia" w:ascii="Times New Roman" w:eastAsia="方正仿宋_GBK"/>
          <w:color w:val="000000" w:themeColor="text1"/>
          <w:sz w:val="28"/>
          <w:u w:val="none"/>
          <w:lang w:eastAsia="zh-CN"/>
        </w:rPr>
        <w:t>单位</w:t>
      </w:r>
      <w:r>
        <w:rPr>
          <w:rStyle w:val="11"/>
          <w:rFonts w:hint="eastAsia" w:ascii="Times New Roman" w:eastAsia="方正仿宋_GBK"/>
          <w:color w:val="000000" w:themeColor="text1"/>
          <w:sz w:val="28"/>
          <w:u w:val="none"/>
        </w:rPr>
        <w:t>预算财政拨款收支总表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6</w:t>
      </w:r>
      <w:r>
        <w:rPr>
          <w:rFonts w:hint="eastAsia" w:ascii="Times New Roman" w:eastAsia="方正仿宋_GBK"/>
          <w:color w:val="000000" w:themeColor="text1"/>
          <w:sz w:val="28"/>
        </w:rPr>
        <w:fldChar w:fldCharType="end"/>
      </w:r>
    </w:p>
    <w:p>
      <w:pPr>
        <w:pStyle w:val="6"/>
        <w:tabs>
          <w:tab w:val="right" w:leader="dot" w:pos="14789"/>
        </w:tabs>
        <w:jc w:val="center"/>
        <w:rPr>
          <w:rFonts w:hint="eastAsia" w:ascii="Times New Roman" w:eastAsia="方正仿宋_GBK"/>
          <w:color w:val="000000" w:themeColor="text1"/>
          <w:sz w:val="28"/>
          <w:lang w:val="en-US" w:eastAsia="zh-CN"/>
        </w:rPr>
      </w:pPr>
      <w:r>
        <w:fldChar w:fldCharType="begin"/>
      </w:r>
      <w:r>
        <w:instrText xml:space="preserve"> HYPERLINK \l "_Toc66435800" </w:instrText>
      </w:r>
      <w:r>
        <w:fldChar w:fldCharType="separate"/>
      </w:r>
      <w:r>
        <w:rPr>
          <w:rStyle w:val="11"/>
          <w:rFonts w:hint="eastAsia" w:ascii="Times New Roman" w:eastAsia="方正仿宋_GBK"/>
          <w:color w:val="000000" w:themeColor="text1"/>
          <w:sz w:val="28"/>
          <w:u w:val="none"/>
          <w:lang w:eastAsia="zh-CN"/>
        </w:rPr>
        <w:t>单位</w:t>
      </w:r>
      <w:r>
        <w:rPr>
          <w:rStyle w:val="11"/>
          <w:rFonts w:hint="eastAsia" w:ascii="Times New Roman" w:eastAsia="方正仿宋_GBK"/>
          <w:color w:val="000000" w:themeColor="text1"/>
          <w:sz w:val="28"/>
          <w:u w:val="none"/>
        </w:rPr>
        <w:t>预算一般公共预算财政拨款支出表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8</w:t>
      </w:r>
      <w:r>
        <w:rPr>
          <w:rFonts w:hint="eastAsia" w:ascii="Times New Roman" w:eastAsia="方正仿宋_GBK"/>
          <w:color w:val="000000" w:themeColor="text1"/>
          <w:sz w:val="28"/>
        </w:rPr>
        <w:fldChar w:fldCharType="end"/>
      </w:r>
    </w:p>
    <w:p>
      <w:pPr>
        <w:pStyle w:val="6"/>
        <w:tabs>
          <w:tab w:val="right" w:leader="dot" w:pos="14789"/>
        </w:tabs>
        <w:jc w:val="center"/>
        <w:rPr>
          <w:rFonts w:hint="eastAsia" w:ascii="Times New Roman" w:eastAsia="方正仿宋_GBK"/>
          <w:color w:val="000000" w:themeColor="text1"/>
          <w:sz w:val="28"/>
          <w:lang w:val="en-US" w:eastAsia="zh-CN"/>
        </w:rPr>
      </w:pPr>
      <w:r>
        <w:fldChar w:fldCharType="begin"/>
      </w:r>
      <w:r>
        <w:instrText xml:space="preserve"> HYPERLINK \l "_Toc66435801" </w:instrText>
      </w:r>
      <w:r>
        <w:fldChar w:fldCharType="separate"/>
      </w:r>
      <w:r>
        <w:rPr>
          <w:rStyle w:val="11"/>
          <w:rFonts w:hint="eastAsia" w:ascii="Times New Roman" w:eastAsia="方正仿宋_GBK"/>
          <w:color w:val="000000" w:themeColor="text1"/>
          <w:sz w:val="28"/>
          <w:u w:val="none"/>
          <w:lang w:eastAsia="zh-CN"/>
        </w:rPr>
        <w:t>单位</w:t>
      </w:r>
      <w:r>
        <w:rPr>
          <w:rStyle w:val="11"/>
          <w:rFonts w:hint="eastAsia" w:ascii="Times New Roman" w:eastAsia="方正仿宋_GBK"/>
          <w:color w:val="000000" w:themeColor="text1"/>
          <w:sz w:val="28"/>
          <w:u w:val="none"/>
        </w:rPr>
        <w:t>预算一般公共预算财政拨款基本支出表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9</w:t>
      </w:r>
      <w:r>
        <w:rPr>
          <w:rFonts w:hint="eastAsia" w:ascii="Times New Roman" w:eastAsia="方正仿宋_GBK"/>
          <w:color w:val="000000" w:themeColor="text1"/>
          <w:sz w:val="28"/>
        </w:rPr>
        <w:fldChar w:fldCharType="end"/>
      </w:r>
    </w:p>
    <w:p>
      <w:pPr>
        <w:pStyle w:val="6"/>
        <w:tabs>
          <w:tab w:val="right" w:leader="dot" w:pos="14789"/>
        </w:tabs>
        <w:jc w:val="center"/>
        <w:rPr>
          <w:rFonts w:hint="default" w:ascii="Times New Roman" w:eastAsia="方正仿宋_GBK"/>
          <w:color w:val="000000" w:themeColor="text1"/>
          <w:sz w:val="28"/>
          <w:lang w:val="en-US" w:eastAsia="zh-CN"/>
        </w:rPr>
      </w:pPr>
      <w:r>
        <w:fldChar w:fldCharType="begin"/>
      </w:r>
      <w:r>
        <w:instrText xml:space="preserve"> HYPERLINK \l "_Toc66435802" </w:instrText>
      </w:r>
      <w:r>
        <w:fldChar w:fldCharType="separate"/>
      </w:r>
      <w:r>
        <w:rPr>
          <w:rStyle w:val="11"/>
          <w:rFonts w:hint="eastAsia" w:ascii="Times New Roman" w:eastAsia="方正仿宋_GBK"/>
          <w:color w:val="000000" w:themeColor="text1"/>
          <w:sz w:val="28"/>
          <w:u w:val="none"/>
          <w:lang w:eastAsia="zh-CN"/>
        </w:rPr>
        <w:t>单位</w:t>
      </w:r>
      <w:r>
        <w:rPr>
          <w:rStyle w:val="11"/>
          <w:rFonts w:hint="eastAsia" w:ascii="Times New Roman" w:eastAsia="方正仿宋_GBK"/>
          <w:color w:val="000000" w:themeColor="text1"/>
          <w:sz w:val="28"/>
          <w:u w:val="none"/>
        </w:rPr>
        <w:t>预算政府基金预算财政拨款支出表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1</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1</w:t>
      </w:r>
    </w:p>
    <w:p>
      <w:pPr>
        <w:pStyle w:val="6"/>
        <w:tabs>
          <w:tab w:val="right" w:leader="dot" w:pos="14789"/>
        </w:tabs>
        <w:jc w:val="center"/>
        <w:rPr>
          <w:rFonts w:ascii="Times New Roman" w:eastAsia="方正仿宋_GBK"/>
          <w:color w:val="000000" w:themeColor="text1"/>
          <w:sz w:val="28"/>
        </w:rPr>
      </w:pPr>
      <w:r>
        <w:fldChar w:fldCharType="begin"/>
      </w:r>
      <w:r>
        <w:instrText xml:space="preserve"> HYPERLINK \l "_Toc66435803" </w:instrText>
      </w:r>
      <w:r>
        <w:fldChar w:fldCharType="separate"/>
      </w:r>
      <w:r>
        <w:rPr>
          <w:rStyle w:val="11"/>
          <w:rFonts w:hint="eastAsia" w:ascii="Times New Roman" w:eastAsia="方正仿宋_GBK"/>
          <w:color w:val="000000" w:themeColor="text1"/>
          <w:sz w:val="28"/>
          <w:u w:val="none"/>
          <w:lang w:eastAsia="zh-CN"/>
        </w:rPr>
        <w:t>单位</w:t>
      </w:r>
      <w:r>
        <w:rPr>
          <w:rStyle w:val="11"/>
          <w:rFonts w:hint="eastAsia" w:ascii="Times New Roman" w:eastAsia="方正仿宋_GBK"/>
          <w:color w:val="000000" w:themeColor="text1"/>
          <w:sz w:val="28"/>
          <w:u w:val="none"/>
        </w:rPr>
        <w:t>预算国有资本经营预算财政拨款支出表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12</w:t>
      </w:r>
      <w:r>
        <w:rPr>
          <w:rFonts w:hint="eastAsia" w:ascii="Times New Roman" w:eastAsia="方正仿宋_GBK"/>
          <w:color w:val="000000" w:themeColor="text1"/>
          <w:sz w:val="28"/>
        </w:rPr>
        <w:fldChar w:fldCharType="end"/>
      </w:r>
    </w:p>
    <w:p>
      <w:pPr>
        <w:pStyle w:val="6"/>
        <w:tabs>
          <w:tab w:val="right" w:leader="dot" w:pos="14789"/>
        </w:tabs>
        <w:jc w:val="center"/>
        <w:rPr>
          <w:rFonts w:hint="eastAsia" w:ascii="Times New Roman" w:eastAsia="方正仿宋_GBK"/>
          <w:color w:val="000000" w:themeColor="text1"/>
          <w:sz w:val="28"/>
          <w:lang w:val="en-US" w:eastAsia="zh-CN"/>
        </w:rPr>
      </w:pPr>
      <w:r>
        <w:fldChar w:fldCharType="begin"/>
      </w:r>
      <w:r>
        <w:instrText xml:space="preserve"> HYPERLINK \l "_Toc66435804" </w:instrText>
      </w:r>
      <w:r>
        <w:fldChar w:fldCharType="separate"/>
      </w:r>
      <w:r>
        <w:rPr>
          <w:rStyle w:val="11"/>
          <w:rFonts w:hint="eastAsia" w:ascii="Times New Roman" w:eastAsia="方正仿宋_GBK"/>
          <w:color w:val="000000" w:themeColor="text1"/>
          <w:sz w:val="28"/>
          <w:u w:val="none"/>
          <w:lang w:eastAsia="zh-CN"/>
        </w:rPr>
        <w:t>单位</w:t>
      </w:r>
      <w:r>
        <w:rPr>
          <w:rStyle w:val="11"/>
          <w:rFonts w:hint="eastAsia" w:ascii="Times New Roman" w:eastAsia="方正仿宋_GBK"/>
          <w:color w:val="000000" w:themeColor="text1"/>
          <w:sz w:val="28"/>
          <w:u w:val="none"/>
        </w:rPr>
        <w:t>预算财政拨款“三公”经费支出表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1</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3</w:t>
      </w:r>
    </w:p>
    <w:p>
      <w:pPr>
        <w:ind w:left="420" w:leftChars="200"/>
        <w:jc w:val="center"/>
        <w:rPr>
          <w:rFonts w:ascii="Times New Roman" w:hAnsi="宋体"/>
          <w:color w:val="000000" w:themeColor="text1"/>
        </w:rPr>
      </w:pPr>
      <w:r>
        <w:rPr>
          <w:rFonts w:ascii="Times New Roman" w:eastAsia="方正仿宋_GBK"/>
          <w:color w:val="000000" w:themeColor="text1"/>
          <w:sz w:val="28"/>
        </w:rPr>
        <w:fldChar w:fldCharType="end"/>
      </w:r>
    </w:p>
    <w:p>
      <w:pPr>
        <w:jc w:val="left"/>
        <w:rPr>
          <w:rFonts w:ascii="Times New Roman" w:hAnsi="宋体"/>
          <w:b/>
          <w:color w:val="000000" w:themeColor="text1"/>
          <w:sz w:val="28"/>
        </w:rPr>
      </w:pPr>
      <w:r>
        <w:rPr>
          <w:rFonts w:hint="eastAsia" w:ascii="方正楷体_GBK" w:eastAsia="方正楷体_GBK"/>
          <w:b/>
          <w:color w:val="000000" w:themeColor="text1"/>
          <w:sz w:val="28"/>
          <w:lang w:eastAsia="zh-CN"/>
        </w:rPr>
        <w:t>单位</w:t>
      </w:r>
      <w:r>
        <w:rPr>
          <w:rFonts w:hint="eastAsia" w:ascii="方正楷体_GBK" w:eastAsia="方正楷体_GBK"/>
          <w:b/>
          <w:color w:val="000000" w:themeColor="text1"/>
          <w:sz w:val="28"/>
        </w:rPr>
        <w:t>预算信息公开情况说明</w:t>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rPr>
          <w:rFonts w:ascii="Times New Roman" w:eastAsia="方正仿宋_GBK"/>
          <w:color w:val="000000" w:themeColor="text1"/>
          <w:sz w:val="28"/>
        </w:rPr>
        <w:fldChar w:fldCharType="begin"/>
      </w:r>
      <w:r>
        <w:rPr>
          <w:rFonts w:ascii="Times New Roman" w:eastAsia="方正仿宋_GBK"/>
          <w:color w:val="000000" w:themeColor="text1"/>
          <w:sz w:val="28"/>
        </w:rPr>
        <w:instrText xml:space="preserve"> TOC \o "3-3" \h \z \u \t "-1" </w:instrText>
      </w:r>
      <w:r>
        <w:rPr>
          <w:rFonts w:ascii="Times New Roman" w:eastAsia="方正仿宋_GBK"/>
          <w:color w:val="000000" w:themeColor="text1"/>
          <w:sz w:val="28"/>
        </w:rPr>
        <w:fldChar w:fldCharType="separate"/>
      </w:r>
      <w:r>
        <w:fldChar w:fldCharType="begin"/>
      </w:r>
      <w:r>
        <w:instrText xml:space="preserve"> HYPERLINK \l "_Toc66435805" </w:instrText>
      </w:r>
      <w:r>
        <w:fldChar w:fldCharType="separate"/>
      </w:r>
      <w:r>
        <w:rPr>
          <w:rStyle w:val="11"/>
          <w:rFonts w:hint="eastAsia" w:ascii="Times New Roman" w:hAnsi="黑体" w:eastAsia="方正仿宋_GBK"/>
          <w:color w:val="000000" w:themeColor="text1"/>
          <w:sz w:val="28"/>
          <w:u w:val="none"/>
        </w:rPr>
        <w:t>一、</w:t>
      </w:r>
      <w:r>
        <w:rPr>
          <w:rStyle w:val="11"/>
          <w:rFonts w:hint="eastAsia" w:ascii="Times New Roman" w:hAnsi="黑体" w:eastAsia="方正仿宋_GBK"/>
          <w:color w:val="000000" w:themeColor="text1"/>
          <w:sz w:val="28"/>
          <w:u w:val="none"/>
          <w:lang w:eastAsia="zh-CN"/>
        </w:rPr>
        <w:t>单位</w:t>
      </w:r>
      <w:r>
        <w:rPr>
          <w:rStyle w:val="11"/>
          <w:rFonts w:hint="eastAsia" w:ascii="Times New Roman" w:hAnsi="黑体" w:eastAsia="方正仿宋_GBK"/>
          <w:color w:val="000000" w:themeColor="text1"/>
          <w:sz w:val="28"/>
          <w:u w:val="none"/>
        </w:rPr>
        <w:t>职责及机构设置情况</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1</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4</w:t>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"_Toc66435806" </w:instrText>
      </w:r>
      <w:r>
        <w:fldChar w:fldCharType="separate"/>
      </w:r>
      <w:r>
        <w:rPr>
          <w:rStyle w:val="11"/>
          <w:rFonts w:hint="eastAsia" w:ascii="Times New Roman" w:hAnsi="黑体" w:eastAsia="方正仿宋_GBK"/>
          <w:color w:val="000000" w:themeColor="text1"/>
          <w:sz w:val="28"/>
          <w:u w:val="none"/>
        </w:rPr>
        <w:t>二、</w:t>
      </w:r>
      <w:r>
        <w:rPr>
          <w:rStyle w:val="11"/>
          <w:rFonts w:hint="eastAsia" w:ascii="Times New Roman" w:hAnsi="黑体" w:eastAsia="方正仿宋_GBK"/>
          <w:color w:val="000000" w:themeColor="text1"/>
          <w:sz w:val="28"/>
          <w:u w:val="none"/>
          <w:lang w:eastAsia="zh-CN"/>
        </w:rPr>
        <w:t>单位</w:t>
      </w:r>
      <w:r>
        <w:rPr>
          <w:rStyle w:val="11"/>
          <w:rFonts w:hint="eastAsia" w:ascii="Times New Roman" w:hAnsi="黑体" w:eastAsia="方正仿宋_GBK"/>
          <w:color w:val="000000" w:themeColor="text1"/>
          <w:sz w:val="28"/>
          <w:u w:val="none"/>
        </w:rPr>
        <w:t>预算安排的总体情况</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23</w:t>
      </w:r>
      <w:r>
        <w:rPr>
          <w:rFonts w:hint="eastAsia" w:ascii="Times New Roman" w:eastAsia="方正仿宋_GBK"/>
          <w:color w:val="000000" w:themeColor="text1"/>
          <w:sz w:val="28"/>
        </w:rPr>
        <w:fldChar w:fldCharType="end"/>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"_Toc66435807" </w:instrText>
      </w:r>
      <w:r>
        <w:fldChar w:fldCharType="separate"/>
      </w:r>
      <w:r>
        <w:rPr>
          <w:rStyle w:val="11"/>
          <w:rFonts w:hint="eastAsia" w:ascii="Times New Roman" w:hAnsi="黑体" w:eastAsia="方正仿宋_GBK"/>
          <w:color w:val="000000" w:themeColor="text1"/>
          <w:sz w:val="28"/>
          <w:u w:val="none"/>
        </w:rPr>
        <w:t>三、机关运行经费安排情况</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23</w:t>
      </w:r>
      <w:r>
        <w:rPr>
          <w:rFonts w:hint="eastAsia" w:ascii="Times New Roman" w:eastAsia="方正仿宋_GBK"/>
          <w:color w:val="000000" w:themeColor="text1"/>
          <w:sz w:val="28"/>
        </w:rPr>
        <w:fldChar w:fldCharType="end"/>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"_Toc66435808" </w:instrText>
      </w:r>
      <w:r>
        <w:fldChar w:fldCharType="separate"/>
      </w:r>
      <w:r>
        <w:rPr>
          <w:rStyle w:val="11"/>
          <w:rFonts w:hint="eastAsia" w:ascii="Times New Roman" w:hAnsi="黑体" w:eastAsia="方正仿宋_GBK"/>
          <w:color w:val="000000" w:themeColor="text1"/>
          <w:sz w:val="28"/>
          <w:u w:val="none"/>
        </w:rPr>
        <w:t>四、财政拨款</w:t>
      </w:r>
      <w:r>
        <w:rPr>
          <w:rStyle w:val="11"/>
          <w:rFonts w:ascii="Times New Roman" w:hAnsi="黑体" w:eastAsia="方正仿宋_GBK"/>
          <w:color w:val="000000" w:themeColor="text1"/>
          <w:sz w:val="28"/>
          <w:u w:val="none"/>
        </w:rPr>
        <w:t>“</w:t>
      </w:r>
      <w:r>
        <w:rPr>
          <w:rStyle w:val="11"/>
          <w:rFonts w:hint="eastAsia" w:ascii="Times New Roman" w:hAnsi="黑体" w:eastAsia="方正仿宋_GBK"/>
          <w:color w:val="000000" w:themeColor="text1"/>
          <w:sz w:val="28"/>
          <w:u w:val="none"/>
        </w:rPr>
        <w:t>三公</w:t>
      </w:r>
      <w:r>
        <w:rPr>
          <w:rStyle w:val="11"/>
          <w:rFonts w:ascii="Times New Roman" w:hAnsi="黑体" w:eastAsia="方正仿宋_GBK"/>
          <w:color w:val="000000" w:themeColor="text1"/>
          <w:sz w:val="28"/>
          <w:u w:val="none"/>
        </w:rPr>
        <w:t>”</w:t>
      </w:r>
      <w:r>
        <w:rPr>
          <w:rStyle w:val="11"/>
          <w:rFonts w:hint="eastAsia" w:ascii="Times New Roman" w:hAnsi="黑体" w:eastAsia="方正仿宋_GBK"/>
          <w:color w:val="000000" w:themeColor="text1"/>
          <w:sz w:val="28"/>
          <w:u w:val="none"/>
        </w:rPr>
        <w:t>经费预算情况及增减变化原因</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24</w:t>
      </w:r>
      <w:r>
        <w:rPr>
          <w:rFonts w:hint="eastAsia" w:ascii="Times New Roman" w:eastAsia="方正仿宋_GBK"/>
          <w:color w:val="000000" w:themeColor="text1"/>
          <w:sz w:val="28"/>
        </w:rPr>
        <w:fldChar w:fldCharType="end"/>
      </w:r>
    </w:p>
    <w:p>
      <w:pPr>
        <w:pStyle w:val="2"/>
        <w:tabs>
          <w:tab w:val="right" w:leader="dot" w:pos="14789"/>
        </w:tabs>
        <w:ind w:left="420" w:leftChars="200"/>
        <w:jc w:val="center"/>
        <w:rPr>
          <w:rFonts w:hint="default" w:ascii="Times New Roman" w:eastAsia="方正仿宋_GBK"/>
          <w:color w:val="000000" w:themeColor="text1"/>
          <w:sz w:val="28"/>
          <w:lang w:val="en-US" w:eastAsia="zh-CN"/>
        </w:rPr>
      </w:pPr>
      <w:r>
        <w:fldChar w:fldCharType="begin"/>
      </w:r>
      <w:r>
        <w:instrText xml:space="preserve"> HYPERLINK \l "_Toc66435809" </w:instrText>
      </w:r>
      <w:r>
        <w:fldChar w:fldCharType="separate"/>
      </w:r>
      <w:r>
        <w:rPr>
          <w:rStyle w:val="11"/>
          <w:rFonts w:hint="eastAsia" w:ascii="Times New Roman" w:hAnsi="黑体" w:eastAsia="方正仿宋_GBK"/>
          <w:color w:val="000000" w:themeColor="text1"/>
          <w:sz w:val="28"/>
          <w:u w:val="none"/>
        </w:rPr>
        <w:t>五、预算绩效信息</w:t>
      </w:r>
      <w:r>
        <w:rPr>
          <w:rFonts w:ascii="Times New Roman" w:eastAsia="方正仿宋_GBK"/>
          <w:color w:val="000000" w:themeColor="text1"/>
          <w:sz w:val="28"/>
        </w:rPr>
        <w:tab/>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24</w:t>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"_Toc66435810" </w:instrText>
      </w:r>
      <w:r>
        <w:fldChar w:fldCharType="separate"/>
      </w:r>
      <w:r>
        <w:rPr>
          <w:rStyle w:val="11"/>
          <w:rFonts w:hint="eastAsia" w:ascii="Times New Roman" w:eastAsia="方正仿宋_GBK"/>
          <w:color w:val="000000" w:themeColor="text1"/>
          <w:sz w:val="28"/>
          <w:u w:val="none"/>
        </w:rPr>
        <w:t>六、政府采购预算情况</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5</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1</w:t>
      </w:r>
    </w:p>
    <w:p>
      <w:pPr>
        <w:pStyle w:val="2"/>
        <w:tabs>
          <w:tab w:val="right" w:leader="dot" w:pos="14789"/>
        </w:tabs>
        <w:ind w:left="420" w:leftChars="200"/>
        <w:jc w:val="center"/>
        <w:rPr>
          <w:rFonts w:hint="default" w:ascii="Times New Roman" w:eastAsia="方正仿宋_GBK"/>
          <w:color w:val="000000" w:themeColor="text1"/>
          <w:sz w:val="28"/>
          <w:lang w:val="en-US" w:eastAsia="zh-CN"/>
        </w:rPr>
      </w:pPr>
      <w:r>
        <w:fldChar w:fldCharType="begin"/>
      </w:r>
      <w:r>
        <w:instrText xml:space="preserve"> HYPERLINK \l "_Toc66435811" </w:instrText>
      </w:r>
      <w:r>
        <w:fldChar w:fldCharType="separate"/>
      </w:r>
      <w:r>
        <w:rPr>
          <w:rStyle w:val="11"/>
          <w:rFonts w:hint="eastAsia" w:ascii="Times New Roman" w:hAnsi="黑体" w:eastAsia="方正仿宋_GBK"/>
          <w:color w:val="000000" w:themeColor="text1"/>
          <w:sz w:val="28"/>
          <w:u w:val="none"/>
        </w:rPr>
        <w:t>七、国有资产信息</w:t>
      </w:r>
      <w:r>
        <w:rPr>
          <w:rFonts w:ascii="Times New Roman" w:eastAsia="方正仿宋_GBK"/>
          <w:color w:val="000000" w:themeColor="text1"/>
          <w:sz w:val="28"/>
        </w:rPr>
        <w:tab/>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52</w:t>
      </w:r>
    </w:p>
    <w:p>
      <w:pPr>
        <w:pStyle w:val="2"/>
        <w:tabs>
          <w:tab w:val="right" w:leader="dot" w:pos="14789"/>
        </w:tabs>
        <w:ind w:left="420" w:leftChars="200"/>
        <w:jc w:val="center"/>
        <w:rPr>
          <w:rFonts w:hint="default" w:ascii="Times New Roman" w:eastAsia="方正仿宋_GBK"/>
          <w:color w:val="000000" w:themeColor="text1"/>
          <w:sz w:val="28"/>
          <w:lang w:val="en-US" w:eastAsia="zh-CN"/>
        </w:rPr>
      </w:pPr>
      <w:r>
        <w:fldChar w:fldCharType="begin"/>
      </w:r>
      <w:r>
        <w:instrText xml:space="preserve"> HYPERLINK \l "_Toc66435812" </w:instrText>
      </w:r>
      <w:r>
        <w:fldChar w:fldCharType="separate"/>
      </w:r>
      <w:r>
        <w:rPr>
          <w:rStyle w:val="11"/>
          <w:rFonts w:hint="eastAsia" w:ascii="Times New Roman" w:hAnsi="黑体" w:eastAsia="方正仿宋_GBK"/>
          <w:color w:val="000000" w:themeColor="text1"/>
          <w:sz w:val="28"/>
          <w:u w:val="none"/>
        </w:rPr>
        <w:t>八、名词解释</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52</w:t>
      </w:r>
      <w:r>
        <w:rPr>
          <w:rFonts w:hint="eastAsia" w:ascii="Times New Roman" w:eastAsia="方正仿宋_GBK"/>
          <w:color w:val="000000" w:themeColor="text1"/>
          <w:sz w:val="28"/>
        </w:rPr>
        <w:fldChar w:fldCharType="end"/>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"_Toc66435813" </w:instrText>
      </w:r>
      <w:r>
        <w:fldChar w:fldCharType="separate"/>
      </w:r>
      <w:r>
        <w:rPr>
          <w:rStyle w:val="11"/>
          <w:rFonts w:hint="eastAsia" w:ascii="Times New Roman" w:hAnsi="黑体" w:eastAsia="方正仿宋_GBK"/>
          <w:color w:val="000000" w:themeColor="text1"/>
          <w:sz w:val="28"/>
          <w:u w:val="none"/>
        </w:rPr>
        <w:t>九、其他需要说明的事项</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52</w:t>
      </w:r>
      <w:r>
        <w:rPr>
          <w:rFonts w:hint="eastAsia" w:ascii="Times New Roman" w:eastAsia="方正仿宋_GBK"/>
          <w:color w:val="000000" w:themeColor="text1"/>
          <w:sz w:val="28"/>
        </w:rPr>
        <w:fldChar w:fldCharType="end"/>
      </w:r>
    </w:p>
    <w:p>
      <w:pPr>
        <w:ind w:left="420" w:leftChars="200"/>
        <w:jc w:val="center"/>
        <w:rPr>
          <w:rFonts w:ascii="Times New Roman" w:hAnsi="宋体"/>
          <w:color w:val="000000" w:themeColor="text1"/>
        </w:rPr>
      </w:pPr>
      <w:r>
        <w:rPr>
          <w:rFonts w:ascii="Times New Roman" w:eastAsia="方正仿宋_GBK"/>
          <w:color w:val="000000" w:themeColor="text1"/>
          <w:sz w:val="28"/>
        </w:rPr>
        <w:fldChar w:fldCharType="end"/>
      </w:r>
    </w:p>
    <w:p>
      <w:pPr>
        <w:rPr>
          <w:color w:val="000000" w:themeColor="text1"/>
        </w:rPr>
        <w:sectPr>
          <w:headerReference r:id="rId3" w:type="default"/>
          <w:footerReference r:id="rId4" w:type="even"/>
          <w:pgSz w:w="16839" w:h="11907" w:orient="landscape"/>
          <w:pgMar w:top="1587" w:right="1020" w:bottom="1361" w:left="1020" w:header="851" w:footer="992" w:gutter="0"/>
          <w:cols w:space="425" w:num="1"/>
          <w:docGrid w:type="lines" w:linePitch="312" w:charSpace="0"/>
        </w:sectPr>
      </w:pPr>
    </w:p>
    <w:p>
      <w:pPr>
        <w:numPr>
          <w:ilvl w:val="0"/>
          <w:numId w:val="1"/>
        </w:numPr>
        <w:spacing w:before="0" w:after="0" w:line="240" w:lineRule="auto"/>
        <w:ind w:firstLine="0"/>
        <w:jc w:val="center"/>
        <w:outlineLvl w:val="0"/>
        <w:rPr>
          <w:rFonts w:ascii="方正小标宋_GBK" w:hAnsi="方正小标宋_GBK" w:eastAsia="方正小标宋_GBK" w:cs="方正小标宋_GBK"/>
          <w:color w:val="000000"/>
          <w:sz w:val="72"/>
        </w:rPr>
      </w:pPr>
      <w:bookmarkStart w:id="0" w:name="_Toc66435796"/>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pPr>
    </w:p>
    <w:tbl>
      <w:tblPr>
        <w:tblStyle w:val="8"/>
        <w:tblW w:w="127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4"/>
        <w:gridCol w:w="4199"/>
        <w:gridCol w:w="1799"/>
        <w:gridCol w:w="4199"/>
        <w:gridCol w:w="1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754" w:type="dxa"/>
            <w:gridSpan w:val="5"/>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cs="宋体"/>
                <w:b/>
                <w:bCs/>
                <w:i w:val="0"/>
                <w:iCs w:val="0"/>
                <w:color w:val="000000"/>
                <w:kern w:val="0"/>
                <w:sz w:val="44"/>
                <w:szCs w:val="44"/>
                <w:u w:val="none"/>
                <w:lang w:val="en-US" w:eastAsia="zh-CN" w:bidi="ar"/>
              </w:rPr>
              <w:t>单位</w:t>
            </w:r>
            <w:r>
              <w:rPr>
                <w:rFonts w:hint="eastAsia" w:ascii="宋体" w:hAnsi="宋体" w:eastAsia="宋体" w:cs="宋体"/>
                <w:b/>
                <w:bCs/>
                <w:i w:val="0"/>
                <w:iCs w:val="0"/>
                <w:color w:val="000000"/>
                <w:kern w:val="0"/>
                <w:sz w:val="44"/>
                <w:szCs w:val="44"/>
                <w:u w:val="none"/>
                <w:lang w:val="en-US" w:eastAsia="zh-CN" w:bidi="ar"/>
              </w:rPr>
              <w:t>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4" w:type="dxa"/>
            <w:gridSpan w:val="3"/>
            <w:tcBorders>
              <w:top w:val="nil"/>
              <w:left w:val="nil"/>
              <w:bottom w:val="nil"/>
              <w:right w:val="nil"/>
            </w:tcBorders>
            <w:shd w:val="clear" w:color="auto" w:fill="993366"/>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预算单位编码及名称：[406</w:t>
            </w:r>
            <w:r>
              <w:rPr>
                <w:rFonts w:hint="eastAsia" w:ascii="宋体" w:hAnsi="宋体" w:cs="宋体"/>
                <w:i w:val="0"/>
                <w:iCs w:val="0"/>
                <w:color w:val="000000"/>
                <w:kern w:val="0"/>
                <w:sz w:val="18"/>
                <w:szCs w:val="18"/>
                <w:u w:val="none"/>
                <w:lang w:val="en-US" w:eastAsia="zh-CN" w:bidi="ar"/>
              </w:rPr>
              <w:t>001</w:t>
            </w:r>
            <w:r>
              <w:rPr>
                <w:rFonts w:hint="eastAsia" w:ascii="宋体" w:hAnsi="宋体" w:eastAsia="宋体" w:cs="宋体"/>
                <w:i w:val="0"/>
                <w:iCs w:val="0"/>
                <w:color w:val="000000"/>
                <w:kern w:val="0"/>
                <w:sz w:val="18"/>
                <w:szCs w:val="18"/>
                <w:u w:val="none"/>
                <w:lang w:val="en-US" w:eastAsia="zh-CN" w:bidi="ar"/>
              </w:rPr>
              <w:t>]唐山市丰南区文化广电和旅游局</w:t>
            </w:r>
            <w:r>
              <w:rPr>
                <w:rFonts w:hint="eastAsia" w:ascii="宋体" w:hAnsi="宋体" w:cs="宋体"/>
                <w:i w:val="0"/>
                <w:iCs w:val="0"/>
                <w:color w:val="000000"/>
                <w:kern w:val="0"/>
                <w:sz w:val="18"/>
                <w:szCs w:val="18"/>
                <w:u w:val="none"/>
                <w:lang w:val="en-US" w:eastAsia="zh-CN" w:bidi="ar"/>
              </w:rPr>
              <w:t>本级</w:t>
            </w:r>
          </w:p>
        </w:tc>
        <w:tc>
          <w:tcPr>
            <w:tcW w:w="42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8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000" w:type="dxa"/>
            <w:gridSpan w:val="2"/>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6000" w:type="dxa"/>
            <w:gridSpan w:val="2"/>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42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8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42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8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42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1630.38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六、事业单位经营收入</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七、上级补助收入</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1630.38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八、附属单位上缴收入</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九、其他收入</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1630.38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1630.38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上年结转结余</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年终结转结余</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1630.38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1630.38</w:t>
            </w:r>
          </w:p>
        </w:tc>
      </w:tr>
    </w:tbl>
    <w:p>
      <w:pPr>
        <w:widowControl w:val="0"/>
        <w:numPr>
          <w:ilvl w:val="0"/>
          <w:numId w:val="0"/>
        </w:numPr>
        <w:spacing w:before="0" w:after="0" w:line="240" w:lineRule="auto"/>
        <w:jc w:val="both"/>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both"/>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both"/>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both"/>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both"/>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both"/>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both"/>
        <w:outlineLvl w:val="0"/>
        <w:rPr>
          <w:rFonts w:ascii="方正小标宋_GBK" w:hAnsi="方正小标宋_GBK" w:eastAsia="方正小标宋_GBK" w:cs="方正小标宋_GBK"/>
          <w:color w:val="000000"/>
          <w:sz w:val="72"/>
        </w:rPr>
      </w:pPr>
    </w:p>
    <w:tbl>
      <w:tblPr>
        <w:tblStyle w:val="8"/>
        <w:tblW w:w="133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9"/>
        <w:gridCol w:w="924"/>
        <w:gridCol w:w="2565"/>
        <w:gridCol w:w="900"/>
        <w:gridCol w:w="960"/>
        <w:gridCol w:w="855"/>
        <w:gridCol w:w="1035"/>
        <w:gridCol w:w="510"/>
        <w:gridCol w:w="720"/>
        <w:gridCol w:w="900"/>
        <w:gridCol w:w="1185"/>
        <w:gridCol w:w="915"/>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13393" w:type="dxa"/>
            <w:gridSpan w:val="13"/>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cs="宋体"/>
                <w:b/>
                <w:bCs/>
                <w:i w:val="0"/>
                <w:iCs w:val="0"/>
                <w:color w:val="000000"/>
                <w:kern w:val="0"/>
                <w:sz w:val="44"/>
                <w:szCs w:val="44"/>
                <w:u w:val="none"/>
                <w:lang w:val="en-US" w:eastAsia="zh-CN" w:bidi="ar"/>
              </w:rPr>
              <w:t>单位</w:t>
            </w:r>
            <w:r>
              <w:rPr>
                <w:rFonts w:hint="eastAsia" w:ascii="宋体" w:hAnsi="宋体" w:eastAsia="宋体" w:cs="宋体"/>
                <w:b/>
                <w:bCs/>
                <w:i w:val="0"/>
                <w:iCs w:val="0"/>
                <w:color w:val="000000"/>
                <w:kern w:val="0"/>
                <w:sz w:val="44"/>
                <w:szCs w:val="44"/>
                <w:u w:val="none"/>
                <w:lang w:val="en-US" w:eastAsia="zh-CN" w:bidi="ar"/>
              </w:rPr>
              <w:t>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8938" w:type="dxa"/>
            <w:gridSpan w:val="9"/>
            <w:tcBorders>
              <w:top w:val="nil"/>
              <w:left w:val="nil"/>
              <w:bottom w:val="nil"/>
              <w:right w:val="nil"/>
            </w:tcBorders>
            <w:shd w:val="clear" w:color="auto" w:fill="993366"/>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预算单位编码及名称：[406</w:t>
            </w:r>
            <w:r>
              <w:rPr>
                <w:rFonts w:hint="eastAsia" w:ascii="宋体" w:hAnsi="宋体" w:cs="宋体"/>
                <w:i w:val="0"/>
                <w:iCs w:val="0"/>
                <w:color w:val="000000"/>
                <w:kern w:val="0"/>
                <w:sz w:val="18"/>
                <w:szCs w:val="18"/>
                <w:u w:val="none"/>
                <w:lang w:val="en-US" w:eastAsia="zh-CN" w:bidi="ar"/>
              </w:rPr>
              <w:t>001</w:t>
            </w:r>
            <w:r>
              <w:rPr>
                <w:rFonts w:hint="eastAsia" w:ascii="宋体" w:hAnsi="宋体" w:eastAsia="宋体" w:cs="宋体"/>
                <w:i w:val="0"/>
                <w:iCs w:val="0"/>
                <w:color w:val="000000"/>
                <w:kern w:val="0"/>
                <w:sz w:val="18"/>
                <w:szCs w:val="18"/>
                <w:u w:val="none"/>
                <w:lang w:val="en-US" w:eastAsia="zh-CN" w:bidi="ar"/>
              </w:rPr>
              <w:t>]唐山市丰南区文化广电和旅游局</w:t>
            </w:r>
            <w:r>
              <w:rPr>
                <w:rFonts w:hint="eastAsia" w:ascii="宋体" w:hAnsi="宋体" w:cs="宋体"/>
                <w:i w:val="0"/>
                <w:iCs w:val="0"/>
                <w:color w:val="000000"/>
                <w:kern w:val="0"/>
                <w:sz w:val="18"/>
                <w:szCs w:val="18"/>
                <w:u w:val="none"/>
                <w:lang w:val="en-US" w:eastAsia="zh-CN" w:bidi="ar"/>
              </w:rPr>
              <w:t>本级</w:t>
            </w:r>
          </w:p>
        </w:tc>
        <w:tc>
          <w:tcPr>
            <w:tcW w:w="2085" w:type="dxa"/>
            <w:gridSpan w:val="2"/>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370" w:type="dxa"/>
            <w:gridSpan w:val="2"/>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69"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489" w:type="dxa"/>
            <w:gridSpan w:val="2"/>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w:t>
            </w:r>
          </w:p>
        </w:tc>
        <w:tc>
          <w:tcPr>
            <w:tcW w:w="900"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080" w:type="dxa"/>
            <w:gridSpan w:val="8"/>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w:t>
            </w:r>
          </w:p>
        </w:tc>
        <w:tc>
          <w:tcPr>
            <w:tcW w:w="1455"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69"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924"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256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900"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85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103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财政专户收入</w:t>
            </w:r>
          </w:p>
        </w:tc>
        <w:tc>
          <w:tcPr>
            <w:tcW w:w="51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72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9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118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91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1455"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924"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6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5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1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2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8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5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24"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5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1630.38</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1630.38</w:t>
            </w:r>
          </w:p>
        </w:tc>
        <w:tc>
          <w:tcPr>
            <w:tcW w:w="8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1630.38</w:t>
            </w:r>
          </w:p>
        </w:tc>
        <w:tc>
          <w:tcPr>
            <w:tcW w:w="103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2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25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文化旅游体育与传媒支出</w:t>
            </w:r>
          </w:p>
        </w:tc>
        <w:tc>
          <w:tcPr>
            <w:tcW w:w="9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1630.38</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1630.38</w:t>
            </w:r>
          </w:p>
        </w:tc>
        <w:tc>
          <w:tcPr>
            <w:tcW w:w="8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1630.38</w:t>
            </w:r>
          </w:p>
        </w:tc>
        <w:tc>
          <w:tcPr>
            <w:tcW w:w="103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2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w:t>
            </w:r>
          </w:p>
        </w:tc>
        <w:tc>
          <w:tcPr>
            <w:tcW w:w="25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文化和旅游</w:t>
            </w:r>
          </w:p>
        </w:tc>
        <w:tc>
          <w:tcPr>
            <w:tcW w:w="9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1559.22</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1559.22</w:t>
            </w:r>
          </w:p>
        </w:tc>
        <w:tc>
          <w:tcPr>
            <w:tcW w:w="8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1559.22</w:t>
            </w:r>
          </w:p>
        </w:tc>
        <w:tc>
          <w:tcPr>
            <w:tcW w:w="103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2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2070101</w:t>
            </w:r>
          </w:p>
        </w:tc>
        <w:tc>
          <w:tcPr>
            <w:tcW w:w="25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9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920.43</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920.43</w:t>
            </w:r>
          </w:p>
        </w:tc>
        <w:tc>
          <w:tcPr>
            <w:tcW w:w="8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920.43</w:t>
            </w:r>
          </w:p>
        </w:tc>
        <w:tc>
          <w:tcPr>
            <w:tcW w:w="103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2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2070102</w:t>
            </w:r>
          </w:p>
        </w:tc>
        <w:tc>
          <w:tcPr>
            <w:tcW w:w="25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9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209.28</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209.28</w:t>
            </w:r>
          </w:p>
        </w:tc>
        <w:tc>
          <w:tcPr>
            <w:tcW w:w="8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209.28</w:t>
            </w:r>
          </w:p>
        </w:tc>
        <w:tc>
          <w:tcPr>
            <w:tcW w:w="103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2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2070104</w:t>
            </w:r>
          </w:p>
        </w:tc>
        <w:tc>
          <w:tcPr>
            <w:tcW w:w="25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图书馆</w:t>
            </w:r>
          </w:p>
        </w:tc>
        <w:tc>
          <w:tcPr>
            <w:tcW w:w="9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56.00</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56.00</w:t>
            </w:r>
          </w:p>
        </w:tc>
        <w:tc>
          <w:tcPr>
            <w:tcW w:w="8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56.00</w:t>
            </w:r>
          </w:p>
        </w:tc>
        <w:tc>
          <w:tcPr>
            <w:tcW w:w="103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2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2070109</w:t>
            </w:r>
          </w:p>
        </w:tc>
        <w:tc>
          <w:tcPr>
            <w:tcW w:w="25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群众文化</w:t>
            </w:r>
          </w:p>
        </w:tc>
        <w:tc>
          <w:tcPr>
            <w:tcW w:w="9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269.16</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269.16</w:t>
            </w:r>
          </w:p>
        </w:tc>
        <w:tc>
          <w:tcPr>
            <w:tcW w:w="8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269.16</w:t>
            </w:r>
          </w:p>
        </w:tc>
        <w:tc>
          <w:tcPr>
            <w:tcW w:w="103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2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2070111</w:t>
            </w:r>
          </w:p>
        </w:tc>
        <w:tc>
          <w:tcPr>
            <w:tcW w:w="25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文化创作与保护</w:t>
            </w:r>
          </w:p>
        </w:tc>
        <w:tc>
          <w:tcPr>
            <w:tcW w:w="9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w:t>
            </w:r>
          </w:p>
        </w:tc>
        <w:tc>
          <w:tcPr>
            <w:tcW w:w="8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w:t>
            </w:r>
          </w:p>
        </w:tc>
        <w:tc>
          <w:tcPr>
            <w:tcW w:w="103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2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2070112</w:t>
            </w:r>
          </w:p>
        </w:tc>
        <w:tc>
          <w:tcPr>
            <w:tcW w:w="25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文化和旅游市场管理</w:t>
            </w:r>
          </w:p>
        </w:tc>
        <w:tc>
          <w:tcPr>
            <w:tcW w:w="9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8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103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2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2070113</w:t>
            </w:r>
          </w:p>
        </w:tc>
        <w:tc>
          <w:tcPr>
            <w:tcW w:w="25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旅游宣传</w:t>
            </w:r>
          </w:p>
        </w:tc>
        <w:tc>
          <w:tcPr>
            <w:tcW w:w="9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w:t>
            </w:r>
          </w:p>
        </w:tc>
        <w:tc>
          <w:tcPr>
            <w:tcW w:w="8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w:t>
            </w:r>
          </w:p>
        </w:tc>
        <w:tc>
          <w:tcPr>
            <w:tcW w:w="103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2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2070199</w:t>
            </w:r>
          </w:p>
        </w:tc>
        <w:tc>
          <w:tcPr>
            <w:tcW w:w="25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其他文化和旅游支出</w:t>
            </w:r>
          </w:p>
        </w:tc>
        <w:tc>
          <w:tcPr>
            <w:tcW w:w="9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86.95</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86.95</w:t>
            </w:r>
          </w:p>
        </w:tc>
        <w:tc>
          <w:tcPr>
            <w:tcW w:w="8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86.95</w:t>
            </w:r>
          </w:p>
        </w:tc>
        <w:tc>
          <w:tcPr>
            <w:tcW w:w="103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17</w:t>
            </w:r>
          </w:p>
        </w:tc>
        <w:tc>
          <w:tcPr>
            <w:tcW w:w="92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20799</w:t>
            </w:r>
          </w:p>
        </w:tc>
        <w:tc>
          <w:tcPr>
            <w:tcW w:w="25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其他文化旅游体育与传媒支出</w:t>
            </w:r>
          </w:p>
        </w:tc>
        <w:tc>
          <w:tcPr>
            <w:tcW w:w="9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71.16</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71.16</w:t>
            </w:r>
          </w:p>
        </w:tc>
        <w:tc>
          <w:tcPr>
            <w:tcW w:w="8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71.16</w:t>
            </w:r>
          </w:p>
        </w:tc>
        <w:tc>
          <w:tcPr>
            <w:tcW w:w="103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18</w:t>
            </w:r>
          </w:p>
        </w:tc>
        <w:tc>
          <w:tcPr>
            <w:tcW w:w="92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2079999</w:t>
            </w:r>
          </w:p>
        </w:tc>
        <w:tc>
          <w:tcPr>
            <w:tcW w:w="25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其他文化旅游体育与传媒支出</w:t>
            </w:r>
          </w:p>
        </w:tc>
        <w:tc>
          <w:tcPr>
            <w:tcW w:w="9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71.16</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71.16</w:t>
            </w:r>
          </w:p>
        </w:tc>
        <w:tc>
          <w:tcPr>
            <w:tcW w:w="8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71.16</w:t>
            </w:r>
          </w:p>
        </w:tc>
        <w:tc>
          <w:tcPr>
            <w:tcW w:w="103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widowControl w:val="0"/>
        <w:numPr>
          <w:ilvl w:val="0"/>
          <w:numId w:val="0"/>
        </w:numPr>
        <w:spacing w:before="0" w:after="0" w:line="240" w:lineRule="auto"/>
        <w:jc w:val="both"/>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both"/>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both"/>
        <w:outlineLvl w:val="0"/>
        <w:rPr>
          <w:rFonts w:ascii="方正小标宋_GBK" w:hAnsi="方正小标宋_GBK" w:eastAsia="方正小标宋_GBK" w:cs="方正小标宋_GBK"/>
          <w:color w:val="000000"/>
          <w:sz w:val="72"/>
        </w:rPr>
      </w:pPr>
    </w:p>
    <w:tbl>
      <w:tblPr>
        <w:tblStyle w:val="8"/>
        <w:tblW w:w="14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4"/>
        <w:gridCol w:w="1730"/>
        <w:gridCol w:w="3000"/>
        <w:gridCol w:w="1509"/>
        <w:gridCol w:w="1509"/>
        <w:gridCol w:w="1509"/>
        <w:gridCol w:w="1508"/>
        <w:gridCol w:w="1508"/>
        <w:gridCol w:w="1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535" w:type="dxa"/>
            <w:gridSpan w:val="9"/>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cs="宋体"/>
                <w:b/>
                <w:bCs/>
                <w:i w:val="0"/>
                <w:iCs w:val="0"/>
                <w:color w:val="000000"/>
                <w:kern w:val="0"/>
                <w:sz w:val="44"/>
                <w:szCs w:val="44"/>
                <w:u w:val="none"/>
                <w:lang w:val="en-US" w:eastAsia="zh-CN" w:bidi="ar"/>
              </w:rPr>
              <w:t>单位</w:t>
            </w:r>
            <w:r>
              <w:rPr>
                <w:rFonts w:hint="eastAsia" w:ascii="宋体" w:hAnsi="宋体" w:eastAsia="宋体" w:cs="宋体"/>
                <w:b/>
                <w:bCs/>
                <w:i w:val="0"/>
                <w:iCs w:val="0"/>
                <w:color w:val="000000"/>
                <w:kern w:val="0"/>
                <w:sz w:val="44"/>
                <w:szCs w:val="44"/>
                <w:u w:val="none"/>
                <w:lang w:val="en-US" w:eastAsia="zh-CN" w:bidi="ar"/>
              </w:rPr>
              <w:t>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2" w:type="dxa"/>
            <w:gridSpan w:val="5"/>
            <w:tcBorders>
              <w:top w:val="nil"/>
              <w:left w:val="nil"/>
              <w:bottom w:val="nil"/>
              <w:right w:val="nil"/>
            </w:tcBorders>
            <w:shd w:val="clear" w:color="auto" w:fill="993366"/>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预算单位编码及名称：[406</w:t>
            </w:r>
            <w:r>
              <w:rPr>
                <w:rFonts w:hint="eastAsia" w:ascii="宋体" w:hAnsi="宋体" w:cs="宋体"/>
                <w:i w:val="0"/>
                <w:iCs w:val="0"/>
                <w:color w:val="000000"/>
                <w:kern w:val="0"/>
                <w:sz w:val="18"/>
                <w:szCs w:val="18"/>
                <w:u w:val="none"/>
                <w:lang w:val="en-US" w:eastAsia="zh-CN" w:bidi="ar"/>
              </w:rPr>
              <w:t>001</w:t>
            </w:r>
            <w:r>
              <w:rPr>
                <w:rFonts w:hint="eastAsia" w:ascii="宋体" w:hAnsi="宋体" w:eastAsia="宋体" w:cs="宋体"/>
                <w:i w:val="0"/>
                <w:iCs w:val="0"/>
                <w:color w:val="000000"/>
                <w:kern w:val="0"/>
                <w:sz w:val="18"/>
                <w:szCs w:val="18"/>
                <w:u w:val="none"/>
                <w:lang w:val="en-US" w:eastAsia="zh-CN" w:bidi="ar"/>
              </w:rPr>
              <w:t>]唐山市丰南区文化广电和旅游局</w:t>
            </w:r>
            <w:r>
              <w:rPr>
                <w:rFonts w:hint="eastAsia" w:ascii="宋体" w:hAnsi="宋体" w:cs="宋体"/>
                <w:i w:val="0"/>
                <w:iCs w:val="0"/>
                <w:color w:val="000000"/>
                <w:kern w:val="0"/>
                <w:sz w:val="18"/>
                <w:szCs w:val="18"/>
                <w:u w:val="none"/>
                <w:lang w:val="en-US" w:eastAsia="zh-CN" w:bidi="ar"/>
              </w:rPr>
              <w:t>本级</w:t>
            </w:r>
          </w:p>
        </w:tc>
        <w:tc>
          <w:tcPr>
            <w:tcW w:w="3017" w:type="dxa"/>
            <w:gridSpan w:val="2"/>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16" w:type="dxa"/>
            <w:gridSpan w:val="2"/>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30" w:type="dxa"/>
            <w:gridSpan w:val="2"/>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1509"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509"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509"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508"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1508"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1508"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73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509"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509"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509"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508"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508"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508"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3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0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08"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08"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08"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1630.38</w:t>
            </w:r>
          </w:p>
        </w:tc>
        <w:tc>
          <w:tcPr>
            <w:tcW w:w="150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920.43</w:t>
            </w:r>
          </w:p>
        </w:tc>
        <w:tc>
          <w:tcPr>
            <w:tcW w:w="150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709.95</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文化旅游体育与传媒支出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1630.38</w:t>
            </w:r>
          </w:p>
        </w:tc>
        <w:tc>
          <w:tcPr>
            <w:tcW w:w="150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920.43</w:t>
            </w:r>
          </w:p>
        </w:tc>
        <w:tc>
          <w:tcPr>
            <w:tcW w:w="150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709.95</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文化和旅游</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1559.22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920.43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638.79</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920.43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920.43</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209.28</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209.28</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图书馆</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群众文化</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269.16</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269.16</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文化创作与保护</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2070112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文化和旅游市场管理</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2070113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旅游宣传</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2070199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其他文化和旅游支出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86.95</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86.95</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20799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其他文化旅游体育与传媒支出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71.16</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71.16</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2079999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其他文化旅游体育与传媒支出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71.16</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71.16</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sectPr>
          <w:footerReference r:id="rId5" w:type="default"/>
          <w:footerReference r:id="rId6" w:type="even"/>
          <w:pgSz w:w="16840" w:h="11900" w:orient="landscape"/>
          <w:pgMar w:top="1361" w:right="1020" w:bottom="1134" w:left="1020" w:header="720" w:footer="720" w:gutter="0"/>
          <w:pgNumType w:start="1"/>
          <w:cols w:space="720" w:num="1"/>
        </w:sectPr>
      </w:pPr>
    </w:p>
    <w:tbl>
      <w:tblPr>
        <w:tblStyle w:val="8"/>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2509"/>
        <w:gridCol w:w="939"/>
        <w:gridCol w:w="2745"/>
        <w:gridCol w:w="915"/>
        <w:gridCol w:w="2085"/>
        <w:gridCol w:w="2248"/>
        <w:gridCol w:w="2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14760" w:type="dxa"/>
            <w:gridSpan w:val="8"/>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1" w:name="_Toc_2_2_0000000002"/>
            <w:r>
              <w:rPr>
                <w:rFonts w:hint="eastAsia" w:ascii="宋体" w:hAnsi="宋体" w:cs="宋体"/>
                <w:b/>
                <w:bCs/>
                <w:i w:val="0"/>
                <w:iCs w:val="0"/>
                <w:color w:val="000000"/>
                <w:kern w:val="0"/>
                <w:sz w:val="44"/>
                <w:szCs w:val="44"/>
                <w:u w:val="none"/>
                <w:lang w:val="en-US" w:eastAsia="zh-CN" w:bidi="ar"/>
              </w:rPr>
              <w:t>单位</w:t>
            </w:r>
            <w:r>
              <w:rPr>
                <w:rFonts w:hint="eastAsia" w:ascii="宋体" w:hAnsi="宋体" w:eastAsia="宋体" w:cs="宋体"/>
                <w:b/>
                <w:bCs/>
                <w:i w:val="0"/>
                <w:iCs w:val="0"/>
                <w:color w:val="000000"/>
                <w:kern w:val="0"/>
                <w:sz w:val="44"/>
                <w:szCs w:val="44"/>
                <w:u w:val="none"/>
                <w:lang w:val="en-US" w:eastAsia="zh-CN" w:bidi="ar"/>
              </w:rPr>
              <w:t>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883" w:type="dxa"/>
            <w:gridSpan w:val="4"/>
            <w:tcBorders>
              <w:top w:val="nil"/>
              <w:left w:val="nil"/>
              <w:bottom w:val="nil"/>
              <w:right w:val="nil"/>
            </w:tcBorders>
            <w:shd w:val="clear" w:color="auto" w:fill="993366"/>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预算单位编码及名称：[406</w:t>
            </w:r>
            <w:r>
              <w:rPr>
                <w:rFonts w:hint="eastAsia" w:ascii="宋体" w:hAnsi="宋体" w:cs="宋体"/>
                <w:i w:val="0"/>
                <w:iCs w:val="0"/>
                <w:color w:val="000000"/>
                <w:kern w:val="0"/>
                <w:sz w:val="18"/>
                <w:szCs w:val="18"/>
                <w:u w:val="none"/>
                <w:lang w:val="en-US" w:eastAsia="zh-CN" w:bidi="ar"/>
              </w:rPr>
              <w:t>001</w:t>
            </w:r>
            <w:r>
              <w:rPr>
                <w:rFonts w:hint="eastAsia" w:ascii="宋体" w:hAnsi="宋体" w:eastAsia="宋体" w:cs="宋体"/>
                <w:i w:val="0"/>
                <w:iCs w:val="0"/>
                <w:color w:val="000000"/>
                <w:kern w:val="0"/>
                <w:sz w:val="18"/>
                <w:szCs w:val="18"/>
                <w:u w:val="none"/>
                <w:lang w:val="en-US" w:eastAsia="zh-CN" w:bidi="ar"/>
              </w:rPr>
              <w:t>]唐山市丰南区文化广电和旅游局</w:t>
            </w:r>
            <w:r>
              <w:rPr>
                <w:rFonts w:hint="eastAsia" w:ascii="宋体" w:hAnsi="宋体" w:cs="宋体"/>
                <w:i w:val="0"/>
                <w:iCs w:val="0"/>
                <w:color w:val="000000"/>
                <w:kern w:val="0"/>
                <w:sz w:val="18"/>
                <w:szCs w:val="18"/>
                <w:u w:val="none"/>
                <w:lang w:val="en-US" w:eastAsia="zh-CN" w:bidi="ar"/>
              </w:rPr>
              <w:t>本级</w:t>
            </w:r>
          </w:p>
        </w:tc>
        <w:tc>
          <w:tcPr>
            <w:tcW w:w="3000" w:type="dxa"/>
            <w:gridSpan w:val="2"/>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4877" w:type="dxa"/>
            <w:gridSpan w:val="2"/>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448" w:type="dxa"/>
            <w:gridSpan w:val="2"/>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10622" w:type="dxa"/>
            <w:gridSpan w:val="5"/>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690"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250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93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274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91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08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248"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262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50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4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8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48"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62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93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1630.38</w:t>
            </w: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93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91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1630.38</w:t>
            </w:r>
          </w:p>
        </w:tc>
        <w:tc>
          <w:tcPr>
            <w:tcW w:w="208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1630.38</w:t>
            </w: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91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93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1630.38</w:t>
            </w: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91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1630.38</w:t>
            </w:r>
          </w:p>
        </w:tc>
        <w:tc>
          <w:tcPr>
            <w:tcW w:w="208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1630.38</w:t>
            </w:r>
          </w:p>
        </w:tc>
        <w:tc>
          <w:tcPr>
            <w:tcW w:w="224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93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1630.38</w:t>
            </w: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91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1630.38</w:t>
            </w:r>
          </w:p>
        </w:tc>
        <w:tc>
          <w:tcPr>
            <w:tcW w:w="208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1630.38</w:t>
            </w:r>
          </w:p>
        </w:tc>
        <w:tc>
          <w:tcPr>
            <w:tcW w:w="224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bookmarkEnd w:id="1"/>
    <w:p>
      <w:pPr>
        <w:sectPr>
          <w:pgSz w:w="16840" w:h="11900" w:orient="landscape"/>
          <w:pgMar w:top="1361" w:right="1020" w:bottom="1134" w:left="1020" w:header="720" w:footer="720" w:gutter="0"/>
          <w:cols w:space="720" w:num="1"/>
        </w:sectPr>
      </w:pPr>
    </w:p>
    <w:p>
      <w:pPr>
        <w:spacing w:before="0" w:after="0" w:line="240" w:lineRule="auto"/>
        <w:ind w:firstLine="0"/>
        <w:jc w:val="both"/>
        <w:outlineLvl w:val="1"/>
        <w:rPr>
          <w:rFonts w:ascii="方正小标宋_GBK" w:hAnsi="方正小标宋_GBK" w:eastAsia="方正小标宋_GBK" w:cs="方正小标宋_GBK"/>
          <w:color w:val="000000"/>
          <w:sz w:val="36"/>
        </w:rPr>
      </w:pPr>
      <w:bookmarkStart w:id="2" w:name="_Toc_2_2_0000000005"/>
    </w:p>
    <w:bookmarkEnd w:id="2"/>
    <w:tbl>
      <w:tblPr>
        <w:tblStyle w:val="8"/>
        <w:tblW w:w="138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3"/>
        <w:gridCol w:w="1730"/>
        <w:gridCol w:w="2999"/>
        <w:gridCol w:w="2397"/>
        <w:gridCol w:w="1199"/>
        <w:gridCol w:w="1199"/>
        <w:gridCol w:w="1200"/>
        <w:gridCol w:w="2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3875" w:type="dxa"/>
            <w:gridSpan w:val="8"/>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3" w:name="_Toc_2_2_0000000006"/>
            <w:r>
              <w:rPr>
                <w:rFonts w:hint="eastAsia" w:ascii="宋体" w:hAnsi="宋体" w:cs="宋体"/>
                <w:b/>
                <w:bCs/>
                <w:i w:val="0"/>
                <w:iCs w:val="0"/>
                <w:color w:val="000000"/>
                <w:kern w:val="0"/>
                <w:sz w:val="44"/>
                <w:szCs w:val="44"/>
                <w:u w:val="none"/>
                <w:lang w:val="en-US" w:eastAsia="zh-CN" w:bidi="ar"/>
              </w:rPr>
              <w:t>单位</w:t>
            </w:r>
            <w:r>
              <w:rPr>
                <w:rFonts w:hint="eastAsia" w:ascii="宋体" w:hAnsi="宋体" w:eastAsia="宋体" w:cs="宋体"/>
                <w:b/>
                <w:bCs/>
                <w:i w:val="0"/>
                <w:iCs w:val="0"/>
                <w:color w:val="000000"/>
                <w:kern w:val="0"/>
                <w:sz w:val="44"/>
                <w:szCs w:val="44"/>
                <w:u w:val="none"/>
                <w:lang w:val="en-US" w:eastAsia="zh-CN" w:bidi="ar"/>
              </w:rPr>
              <w:t>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78" w:type="dxa"/>
            <w:gridSpan w:val="5"/>
            <w:tcBorders>
              <w:top w:val="nil"/>
              <w:left w:val="nil"/>
              <w:bottom w:val="nil"/>
              <w:right w:val="nil"/>
            </w:tcBorders>
            <w:shd w:val="clear" w:color="auto" w:fill="993366"/>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预算单位编码及名称：[406</w:t>
            </w:r>
            <w:r>
              <w:rPr>
                <w:rFonts w:hint="eastAsia" w:ascii="宋体" w:hAnsi="宋体" w:cs="宋体"/>
                <w:i w:val="0"/>
                <w:iCs w:val="0"/>
                <w:color w:val="000000"/>
                <w:kern w:val="0"/>
                <w:sz w:val="18"/>
                <w:szCs w:val="18"/>
                <w:u w:val="none"/>
                <w:lang w:val="en-US" w:eastAsia="zh-CN" w:bidi="ar"/>
              </w:rPr>
              <w:t>001</w:t>
            </w:r>
            <w:r>
              <w:rPr>
                <w:rFonts w:hint="eastAsia" w:ascii="宋体" w:hAnsi="宋体" w:eastAsia="宋体" w:cs="宋体"/>
                <w:i w:val="0"/>
                <w:iCs w:val="0"/>
                <w:color w:val="000000"/>
                <w:kern w:val="0"/>
                <w:sz w:val="18"/>
                <w:szCs w:val="18"/>
                <w:u w:val="none"/>
                <w:lang w:val="en-US" w:eastAsia="zh-CN" w:bidi="ar"/>
              </w:rPr>
              <w:t>]唐山市丰南区文化广电和旅游局</w:t>
            </w:r>
            <w:r>
              <w:rPr>
                <w:rFonts w:hint="eastAsia" w:ascii="宋体" w:hAnsi="宋体" w:cs="宋体"/>
                <w:i w:val="0"/>
                <w:iCs w:val="0"/>
                <w:color w:val="000000"/>
                <w:kern w:val="0"/>
                <w:sz w:val="18"/>
                <w:szCs w:val="18"/>
                <w:u w:val="none"/>
                <w:lang w:val="en-US" w:eastAsia="zh-CN" w:bidi="ar"/>
              </w:rPr>
              <w:t>本级</w:t>
            </w:r>
          </w:p>
        </w:tc>
        <w:tc>
          <w:tcPr>
            <w:tcW w:w="2399" w:type="dxa"/>
            <w:gridSpan w:val="2"/>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398"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9" w:type="dxa"/>
            <w:gridSpan w:val="2"/>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2397"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598" w:type="dxa"/>
            <w:gridSpan w:val="3"/>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2398"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73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299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397"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19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9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2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2398"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3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9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97"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9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9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398"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1630.38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920.43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549.04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371.39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709.95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文化旅游体育与传媒支出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1630.38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920.43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549.04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371.39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709.95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文化和旅游</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1559.22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920.43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549.04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371.39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920.43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920.43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549.04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371.39</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209.28</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图书馆</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群众文化</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269.16</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文化创作与保护</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2070112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文化和旅游市场管理</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2070113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旅游宣传</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2070199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其他文化和旅游支出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86.95</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20799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其他文化旅游体育与传媒支出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71.16</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2079999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其他文化旅游体育与传媒支出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71.16</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71.16</w:t>
            </w: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bookmarkEnd w:id="3"/>
    <w:tbl>
      <w:tblPr>
        <w:tblStyle w:val="8"/>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3"/>
        <w:gridCol w:w="1729"/>
        <w:gridCol w:w="3000"/>
        <w:gridCol w:w="3000"/>
        <w:gridCol w:w="2996"/>
        <w:gridCol w:w="2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485" w:type="dxa"/>
            <w:gridSpan w:val="6"/>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4" w:name="_Toc_2_2_0000000008"/>
            <w:r>
              <w:rPr>
                <w:rFonts w:hint="eastAsia" w:ascii="宋体" w:hAnsi="宋体" w:cs="宋体"/>
                <w:b/>
                <w:bCs/>
                <w:i w:val="0"/>
                <w:iCs w:val="0"/>
                <w:color w:val="000000"/>
                <w:kern w:val="0"/>
                <w:sz w:val="44"/>
                <w:szCs w:val="44"/>
                <w:u w:val="none"/>
                <w:lang w:val="en-US" w:eastAsia="zh-CN" w:bidi="ar"/>
              </w:rPr>
              <w:t>单位</w:t>
            </w:r>
            <w:r>
              <w:rPr>
                <w:rFonts w:hint="eastAsia" w:ascii="宋体" w:hAnsi="宋体" w:eastAsia="宋体" w:cs="宋体"/>
                <w:b/>
                <w:bCs/>
                <w:i w:val="0"/>
                <w:iCs w:val="0"/>
                <w:color w:val="000000"/>
                <w:kern w:val="0"/>
                <w:sz w:val="44"/>
                <w:szCs w:val="44"/>
                <w:u w:val="none"/>
                <w:lang w:val="en-US" w:eastAsia="zh-CN" w:bidi="ar"/>
              </w:rPr>
              <w:t>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85" w:type="dxa"/>
            <w:gridSpan w:val="4"/>
            <w:tcBorders>
              <w:top w:val="nil"/>
              <w:left w:val="nil"/>
              <w:bottom w:val="nil"/>
              <w:right w:val="nil"/>
            </w:tcBorders>
            <w:shd w:val="clear" w:color="auto" w:fill="993366"/>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预算单位编码及名称：[406</w:t>
            </w:r>
            <w:r>
              <w:rPr>
                <w:rFonts w:hint="eastAsia" w:ascii="宋体" w:hAnsi="宋体" w:cs="宋体"/>
                <w:i w:val="0"/>
                <w:iCs w:val="0"/>
                <w:color w:val="000000"/>
                <w:kern w:val="0"/>
                <w:sz w:val="18"/>
                <w:szCs w:val="18"/>
                <w:u w:val="none"/>
                <w:lang w:val="en-US" w:eastAsia="zh-CN" w:bidi="ar"/>
              </w:rPr>
              <w:t>001</w:t>
            </w:r>
            <w:r>
              <w:rPr>
                <w:rFonts w:hint="eastAsia" w:ascii="宋体" w:hAnsi="宋体" w:eastAsia="宋体" w:cs="宋体"/>
                <w:i w:val="0"/>
                <w:iCs w:val="0"/>
                <w:color w:val="000000"/>
                <w:kern w:val="0"/>
                <w:sz w:val="18"/>
                <w:szCs w:val="18"/>
                <w:u w:val="none"/>
                <w:lang w:val="en-US" w:eastAsia="zh-CN" w:bidi="ar"/>
              </w:rPr>
              <w:t>]唐山市丰南区文化广电和旅游局</w:t>
            </w:r>
            <w:r>
              <w:rPr>
                <w:rFonts w:hint="eastAsia" w:ascii="宋体" w:hAnsi="宋体" w:cs="宋体"/>
                <w:i w:val="0"/>
                <w:iCs w:val="0"/>
                <w:color w:val="000000"/>
                <w:kern w:val="0"/>
                <w:sz w:val="18"/>
                <w:szCs w:val="18"/>
                <w:u w:val="none"/>
                <w:lang w:val="en-US" w:eastAsia="zh-CN" w:bidi="ar"/>
              </w:rPr>
              <w:t>本级</w:t>
            </w:r>
          </w:p>
        </w:tc>
        <w:tc>
          <w:tcPr>
            <w:tcW w:w="30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31" w:type="dxa"/>
            <w:gridSpan w:val="2"/>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r>
              <w:rPr>
                <w:rFonts w:hint="eastAsia" w:ascii="宋体" w:hAnsi="宋体"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经济分类科目</w:t>
            </w:r>
          </w:p>
        </w:tc>
        <w:tc>
          <w:tcPr>
            <w:tcW w:w="9000" w:type="dxa"/>
            <w:gridSpan w:val="3"/>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731"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31"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920.43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549.04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371.39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522.76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522.76</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299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161.30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161.30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299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100.03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100.03</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299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7.77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7.77</w:t>
            </w:r>
          </w:p>
        </w:tc>
        <w:tc>
          <w:tcPr>
            <w:tcW w:w="0" w:type="auto"/>
            <w:tcBorders>
              <w:top w:val="nil"/>
              <w:left w:val="nil"/>
              <w:bottom w:val="nil"/>
              <w:right w:val="nil"/>
            </w:tcBorders>
            <w:shd w:val="clear" w:color="auto" w:fill="auto"/>
            <w:noWrap/>
            <w:vAlign w:val="center"/>
          </w:tcPr>
          <w:p>
            <w:pPr>
              <w:jc w:val="right"/>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299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94.05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94.05</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99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56.88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56.88</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职业年金缴费</w:t>
            </w:r>
          </w:p>
        </w:tc>
        <w:tc>
          <w:tcPr>
            <w:tcW w:w="299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城镇职工基本医疗保险缴费</w:t>
            </w:r>
          </w:p>
        </w:tc>
        <w:tc>
          <w:tcPr>
            <w:tcW w:w="299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25.17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25.17</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公务员医疗补助缴费</w:t>
            </w:r>
          </w:p>
        </w:tc>
        <w:tc>
          <w:tcPr>
            <w:tcW w:w="299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29.30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29.30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299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5.17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5.17</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299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43.09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43.09</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371.39</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highlight w:val="none"/>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371.39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7.78</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印刷费</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水费</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电费</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8.90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181.0</w:t>
            </w: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181.06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差旅费</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0.67</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6.53</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3.90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26.28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26.28</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离休费</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16.42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16.42</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8.98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8.98</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0.5</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奖励金</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0.38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0.38</w:t>
            </w:r>
          </w:p>
        </w:tc>
        <w:tc>
          <w:tcPr>
            <w:tcW w:w="0" w:type="auto"/>
            <w:tcBorders>
              <w:top w:val="nil"/>
              <w:left w:val="nil"/>
              <w:bottom w:val="nil"/>
              <w:right w:val="nil"/>
            </w:tcBorders>
            <w:shd w:val="clear" w:color="auto" w:fill="auto"/>
            <w:noWrap/>
            <w:vAlign w:val="center"/>
          </w:tcPr>
          <w:p>
            <w:pPr>
              <w:jc w:val="right"/>
              <w:rPr>
                <w:rFonts w:hint="default" w:ascii="宋体" w:hAnsi="宋体" w:eastAsia="宋体" w:cs="宋体"/>
                <w:i w:val="0"/>
                <w:iCs w:val="0"/>
                <w:color w:val="000000"/>
                <w:sz w:val="18"/>
                <w:szCs w:val="18"/>
                <w:u w:val="none"/>
                <w:lang w:val="en-US"/>
              </w:rPr>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hint="default" w:ascii="方正小标宋_GBK" w:hAnsi="方正小标宋_GBK" w:eastAsia="方正小标宋_GBK" w:cs="方正小标宋_GBK"/>
          <w:color w:val="000000"/>
          <w:sz w:val="36"/>
          <w:lang w:val="en-US" w:eastAsia="zh-CN"/>
        </w:r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15" w:name="_GoBack"/>
      <w:bookmarkEnd w:id="15"/>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bookmarkEnd w:id="4"/>
    <w:tbl>
      <w:tblPr>
        <w:tblStyle w:val="8"/>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3"/>
        <w:gridCol w:w="1730"/>
        <w:gridCol w:w="2998"/>
        <w:gridCol w:w="2998"/>
        <w:gridCol w:w="2998"/>
        <w:gridCol w:w="2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485" w:type="dxa"/>
            <w:gridSpan w:val="6"/>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5" w:name="_Toc_2_2_0000000009"/>
            <w:r>
              <w:rPr>
                <w:rFonts w:hint="eastAsia" w:ascii="宋体" w:hAnsi="宋体" w:cs="宋体"/>
                <w:b/>
                <w:bCs/>
                <w:i w:val="0"/>
                <w:iCs w:val="0"/>
                <w:color w:val="000000"/>
                <w:kern w:val="0"/>
                <w:sz w:val="44"/>
                <w:szCs w:val="44"/>
                <w:u w:val="none"/>
                <w:lang w:val="en-US" w:eastAsia="zh-CN" w:bidi="ar"/>
              </w:rPr>
              <w:t>单位</w:t>
            </w:r>
            <w:r>
              <w:rPr>
                <w:rFonts w:hint="eastAsia" w:ascii="宋体" w:hAnsi="宋体" w:eastAsia="宋体" w:cs="宋体"/>
                <w:b/>
                <w:bCs/>
                <w:i w:val="0"/>
                <w:iCs w:val="0"/>
                <w:color w:val="000000"/>
                <w:kern w:val="0"/>
                <w:sz w:val="44"/>
                <w:szCs w:val="44"/>
                <w:u w:val="none"/>
                <w:lang w:val="en-US" w:eastAsia="zh-CN" w:bidi="ar"/>
              </w:rPr>
              <w:t>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85" w:type="dxa"/>
            <w:gridSpan w:val="4"/>
            <w:tcBorders>
              <w:top w:val="nil"/>
              <w:left w:val="nil"/>
              <w:bottom w:val="nil"/>
              <w:right w:val="nil"/>
            </w:tcBorders>
            <w:shd w:val="clear" w:color="auto" w:fill="993366"/>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预算单位编码及名称：[406</w:t>
            </w:r>
            <w:r>
              <w:rPr>
                <w:rFonts w:hint="eastAsia" w:ascii="宋体" w:hAnsi="宋体" w:cs="宋体"/>
                <w:i w:val="0"/>
                <w:iCs w:val="0"/>
                <w:color w:val="000000"/>
                <w:kern w:val="0"/>
                <w:sz w:val="18"/>
                <w:szCs w:val="18"/>
                <w:u w:val="none"/>
                <w:lang w:val="en-US" w:eastAsia="zh-CN" w:bidi="ar"/>
              </w:rPr>
              <w:t>001</w:t>
            </w:r>
            <w:r>
              <w:rPr>
                <w:rFonts w:hint="eastAsia" w:ascii="宋体" w:hAnsi="宋体" w:eastAsia="宋体" w:cs="宋体"/>
                <w:i w:val="0"/>
                <w:iCs w:val="0"/>
                <w:color w:val="000000"/>
                <w:kern w:val="0"/>
                <w:sz w:val="18"/>
                <w:szCs w:val="18"/>
                <w:u w:val="none"/>
                <w:lang w:val="en-US" w:eastAsia="zh-CN" w:bidi="ar"/>
              </w:rPr>
              <w:t>]唐山市丰南区文化广电和旅游局</w:t>
            </w:r>
            <w:r>
              <w:rPr>
                <w:rFonts w:hint="eastAsia" w:ascii="宋体" w:hAnsi="宋体" w:cs="宋体"/>
                <w:i w:val="0"/>
                <w:iCs w:val="0"/>
                <w:color w:val="000000"/>
                <w:kern w:val="0"/>
                <w:sz w:val="18"/>
                <w:szCs w:val="18"/>
                <w:u w:val="none"/>
                <w:lang w:val="en-US" w:eastAsia="zh-CN" w:bidi="ar"/>
              </w:rPr>
              <w:t>本级</w:t>
            </w:r>
          </w:p>
        </w:tc>
        <w:tc>
          <w:tcPr>
            <w:tcW w:w="30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754"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31" w:type="dxa"/>
            <w:gridSpan w:val="2"/>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3000"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3000"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4"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731"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4"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31"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此表无数据</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bookmarkEnd w:id="5"/>
    <w:tbl>
      <w:tblPr>
        <w:tblStyle w:val="8"/>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3"/>
        <w:gridCol w:w="1730"/>
        <w:gridCol w:w="2998"/>
        <w:gridCol w:w="2998"/>
        <w:gridCol w:w="2998"/>
        <w:gridCol w:w="2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475" w:type="dxa"/>
            <w:gridSpan w:val="6"/>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4"/>
                <w:szCs w:val="44"/>
                <w:u w:val="none"/>
              </w:rPr>
            </w:pPr>
            <w:r>
              <w:rPr>
                <w:rFonts w:hint="eastAsia" w:ascii="宋体" w:hAnsi="宋体" w:cs="宋体"/>
                <w:b/>
                <w:bCs/>
                <w:i w:val="0"/>
                <w:iCs w:val="0"/>
                <w:color w:val="auto"/>
                <w:kern w:val="0"/>
                <w:sz w:val="44"/>
                <w:szCs w:val="44"/>
                <w:u w:val="none"/>
                <w:lang w:val="en-US" w:eastAsia="zh-CN" w:bidi="ar"/>
              </w:rPr>
              <w:t>单位</w:t>
            </w:r>
            <w:r>
              <w:rPr>
                <w:rFonts w:hint="eastAsia" w:ascii="宋体" w:hAnsi="宋体" w:eastAsia="宋体" w:cs="宋体"/>
                <w:b/>
                <w:bCs/>
                <w:i w:val="0"/>
                <w:iCs w:val="0"/>
                <w:color w:val="auto"/>
                <w:kern w:val="0"/>
                <w:sz w:val="44"/>
                <w:szCs w:val="44"/>
                <w:u w:val="none"/>
                <w:lang w:val="en-US" w:eastAsia="zh-CN" w:bidi="ar"/>
              </w:rPr>
              <w:t>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79" w:type="dxa"/>
            <w:gridSpan w:val="4"/>
            <w:tcBorders>
              <w:top w:val="nil"/>
              <w:left w:val="nil"/>
              <w:bottom w:val="nil"/>
              <w:right w:val="nil"/>
            </w:tcBorders>
            <w:shd w:val="clear" w:color="auto" w:fill="333333"/>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预算单位编码及名称：[406</w:t>
            </w:r>
            <w:r>
              <w:rPr>
                <w:rFonts w:hint="eastAsia" w:ascii="宋体" w:hAnsi="宋体" w:cs="宋体"/>
                <w:i w:val="0"/>
                <w:iCs w:val="0"/>
                <w:color w:val="auto"/>
                <w:kern w:val="0"/>
                <w:sz w:val="18"/>
                <w:szCs w:val="18"/>
                <w:u w:val="none"/>
                <w:lang w:val="en-US" w:eastAsia="zh-CN" w:bidi="ar"/>
              </w:rPr>
              <w:t>001</w:t>
            </w:r>
            <w:r>
              <w:rPr>
                <w:rFonts w:hint="eastAsia" w:ascii="宋体" w:hAnsi="宋体" w:eastAsia="宋体" w:cs="宋体"/>
                <w:i w:val="0"/>
                <w:iCs w:val="0"/>
                <w:color w:val="auto"/>
                <w:kern w:val="0"/>
                <w:sz w:val="18"/>
                <w:szCs w:val="18"/>
                <w:u w:val="none"/>
                <w:lang w:val="en-US" w:eastAsia="zh-CN" w:bidi="ar"/>
              </w:rPr>
              <w:t>]唐山市丰南区文化广电和旅游局</w:t>
            </w:r>
            <w:r>
              <w:rPr>
                <w:rFonts w:hint="eastAsia" w:ascii="宋体" w:hAnsi="宋体" w:cs="宋体"/>
                <w:i w:val="0"/>
                <w:iCs w:val="0"/>
                <w:color w:val="auto"/>
                <w:kern w:val="0"/>
                <w:sz w:val="18"/>
                <w:szCs w:val="18"/>
                <w:u w:val="none"/>
                <w:lang w:val="en-US" w:eastAsia="zh-CN" w:bidi="ar"/>
              </w:rPr>
              <w:t>本级</w:t>
            </w:r>
          </w:p>
        </w:tc>
        <w:tc>
          <w:tcPr>
            <w:tcW w:w="2998" w:type="dxa"/>
            <w:tcBorders>
              <w:top w:val="nil"/>
              <w:left w:val="nil"/>
              <w:bottom w:val="nil"/>
              <w:right w:val="nil"/>
            </w:tcBorders>
            <w:shd w:val="clear" w:color="auto" w:fill="333333"/>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预算年度：2021</w:t>
            </w:r>
          </w:p>
        </w:tc>
        <w:tc>
          <w:tcPr>
            <w:tcW w:w="2998" w:type="dxa"/>
            <w:tcBorders>
              <w:top w:val="nil"/>
              <w:left w:val="nil"/>
              <w:bottom w:val="nil"/>
              <w:right w:val="nil"/>
            </w:tcBorders>
            <w:shd w:val="clear" w:color="auto" w:fill="333333"/>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3" w:type="dxa"/>
            <w:vMerge w:val="restart"/>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4728" w:type="dxa"/>
            <w:gridSpan w:val="2"/>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支出功能分类科目</w:t>
            </w:r>
          </w:p>
        </w:tc>
        <w:tc>
          <w:tcPr>
            <w:tcW w:w="2998" w:type="dxa"/>
            <w:vMerge w:val="restart"/>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2998" w:type="dxa"/>
            <w:vMerge w:val="restart"/>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基本支出</w:t>
            </w:r>
          </w:p>
        </w:tc>
        <w:tc>
          <w:tcPr>
            <w:tcW w:w="2998" w:type="dxa"/>
            <w:vMerge w:val="restart"/>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3" w:type="dxa"/>
            <w:vMerge w:val="continue"/>
            <w:tcBorders>
              <w:top w:val="nil"/>
              <w:left w:val="nil"/>
              <w:bottom w:val="nil"/>
              <w:right w:val="nil"/>
            </w:tcBorders>
            <w:shd w:val="clear" w:color="auto" w:fill="333333"/>
            <w:vAlign w:val="center"/>
          </w:tcPr>
          <w:p>
            <w:pPr>
              <w:jc w:val="center"/>
              <w:rPr>
                <w:rFonts w:hint="eastAsia" w:ascii="宋体" w:hAnsi="宋体" w:eastAsia="宋体" w:cs="宋体"/>
                <w:i w:val="0"/>
                <w:iCs w:val="0"/>
                <w:color w:val="auto"/>
                <w:sz w:val="18"/>
                <w:szCs w:val="18"/>
                <w:u w:val="none"/>
              </w:rPr>
            </w:pPr>
          </w:p>
        </w:tc>
        <w:tc>
          <w:tcPr>
            <w:tcW w:w="1730" w:type="dxa"/>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科目编码</w:t>
            </w:r>
          </w:p>
        </w:tc>
        <w:tc>
          <w:tcPr>
            <w:tcW w:w="2998" w:type="dxa"/>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科目名称</w:t>
            </w:r>
          </w:p>
        </w:tc>
        <w:tc>
          <w:tcPr>
            <w:tcW w:w="2998" w:type="dxa"/>
            <w:vMerge w:val="continue"/>
            <w:tcBorders>
              <w:top w:val="nil"/>
              <w:left w:val="nil"/>
              <w:bottom w:val="nil"/>
              <w:right w:val="nil"/>
            </w:tcBorders>
            <w:shd w:val="clear" w:color="auto" w:fill="333333"/>
            <w:vAlign w:val="center"/>
          </w:tcPr>
          <w:p>
            <w:pPr>
              <w:jc w:val="center"/>
              <w:rPr>
                <w:rFonts w:hint="eastAsia" w:ascii="宋体" w:hAnsi="宋体" w:eastAsia="宋体" w:cs="宋体"/>
                <w:i w:val="0"/>
                <w:iCs w:val="0"/>
                <w:color w:val="auto"/>
                <w:sz w:val="18"/>
                <w:szCs w:val="18"/>
                <w:u w:val="none"/>
              </w:rPr>
            </w:pPr>
          </w:p>
        </w:tc>
        <w:tc>
          <w:tcPr>
            <w:tcW w:w="2998" w:type="dxa"/>
            <w:vMerge w:val="continue"/>
            <w:tcBorders>
              <w:top w:val="nil"/>
              <w:left w:val="nil"/>
              <w:bottom w:val="nil"/>
              <w:right w:val="nil"/>
            </w:tcBorders>
            <w:shd w:val="clear" w:color="auto" w:fill="333333"/>
            <w:vAlign w:val="center"/>
          </w:tcPr>
          <w:p>
            <w:pPr>
              <w:jc w:val="center"/>
              <w:rPr>
                <w:rFonts w:hint="eastAsia" w:ascii="宋体" w:hAnsi="宋体" w:eastAsia="宋体" w:cs="宋体"/>
                <w:i w:val="0"/>
                <w:iCs w:val="0"/>
                <w:color w:val="auto"/>
                <w:sz w:val="18"/>
                <w:szCs w:val="18"/>
                <w:u w:val="none"/>
              </w:rPr>
            </w:pPr>
          </w:p>
        </w:tc>
        <w:tc>
          <w:tcPr>
            <w:tcW w:w="2998" w:type="dxa"/>
            <w:vMerge w:val="continue"/>
            <w:tcBorders>
              <w:top w:val="nil"/>
              <w:left w:val="nil"/>
              <w:bottom w:val="nil"/>
              <w:right w:val="nil"/>
            </w:tcBorders>
            <w:shd w:val="clear" w:color="auto" w:fill="333333"/>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3" w:type="dxa"/>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栏次</w:t>
            </w:r>
          </w:p>
        </w:tc>
        <w:tc>
          <w:tcPr>
            <w:tcW w:w="1730" w:type="dxa"/>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998" w:type="dxa"/>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998" w:type="dxa"/>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998" w:type="dxa"/>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998" w:type="dxa"/>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此表无数据</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r>
    </w:tbl>
    <w:p>
      <w:pPr>
        <w:numPr>
          <w:ilvl w:val="0"/>
          <w:numId w:val="0"/>
        </w:numPr>
        <w:spacing w:before="0" w:after="0" w:line="240" w:lineRule="auto"/>
        <w:jc w:val="both"/>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 xml:space="preserve"> </w:t>
      </w: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tbl>
      <w:tblPr>
        <w:tblStyle w:val="8"/>
        <w:tblW w:w="142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3"/>
        <w:gridCol w:w="3907"/>
        <w:gridCol w:w="2397"/>
        <w:gridCol w:w="2397"/>
        <w:gridCol w:w="2398"/>
        <w:gridCol w:w="2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263" w:type="dxa"/>
            <w:gridSpan w:val="6"/>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cs="宋体"/>
                <w:b/>
                <w:bCs/>
                <w:i w:val="0"/>
                <w:iCs w:val="0"/>
                <w:color w:val="000000"/>
                <w:kern w:val="0"/>
                <w:sz w:val="44"/>
                <w:szCs w:val="44"/>
                <w:u w:val="none"/>
                <w:lang w:val="en-US" w:eastAsia="zh-CN" w:bidi="ar"/>
              </w:rPr>
              <w:t>单位</w:t>
            </w:r>
            <w:r>
              <w:rPr>
                <w:rFonts w:hint="eastAsia" w:ascii="宋体" w:hAnsi="宋体" w:eastAsia="宋体" w:cs="宋体"/>
                <w:b/>
                <w:bCs/>
                <w:i w:val="0"/>
                <w:iCs w:val="0"/>
                <w:color w:val="000000"/>
                <w:kern w:val="0"/>
                <w:sz w:val="44"/>
                <w:szCs w:val="44"/>
                <w:u w:val="none"/>
                <w:lang w:val="en-US" w:eastAsia="zh-CN" w:bidi="ar"/>
              </w:rPr>
              <w:t>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63" w:type="dxa"/>
            <w:gridSpan w:val="4"/>
            <w:tcBorders>
              <w:top w:val="nil"/>
              <w:left w:val="nil"/>
              <w:bottom w:val="nil"/>
              <w:right w:val="nil"/>
            </w:tcBorders>
            <w:shd w:val="clear" w:color="auto" w:fill="993366"/>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预算单位编码及名称：[406</w:t>
            </w:r>
            <w:r>
              <w:rPr>
                <w:rFonts w:hint="eastAsia" w:ascii="宋体" w:hAnsi="宋体" w:cs="宋体"/>
                <w:i w:val="0"/>
                <w:iCs w:val="0"/>
                <w:color w:val="000000"/>
                <w:kern w:val="0"/>
                <w:sz w:val="18"/>
                <w:szCs w:val="18"/>
                <w:u w:val="none"/>
                <w:lang w:val="en-US" w:eastAsia="zh-CN" w:bidi="ar"/>
              </w:rPr>
              <w:t>001</w:t>
            </w:r>
            <w:r>
              <w:rPr>
                <w:rFonts w:hint="eastAsia" w:ascii="宋体" w:hAnsi="宋体" w:eastAsia="宋体" w:cs="宋体"/>
                <w:i w:val="0"/>
                <w:iCs w:val="0"/>
                <w:color w:val="000000"/>
                <w:kern w:val="0"/>
                <w:sz w:val="18"/>
                <w:szCs w:val="18"/>
                <w:u w:val="none"/>
                <w:lang w:val="en-US" w:eastAsia="zh-CN" w:bidi="ar"/>
              </w:rPr>
              <w:t>]唐山市丰南区文化广电和旅游局</w:t>
            </w:r>
            <w:r>
              <w:rPr>
                <w:rFonts w:hint="eastAsia" w:ascii="宋体" w:hAnsi="宋体" w:cs="宋体"/>
                <w:i w:val="0"/>
                <w:iCs w:val="0"/>
                <w:color w:val="000000"/>
                <w:kern w:val="0"/>
                <w:sz w:val="18"/>
                <w:szCs w:val="18"/>
                <w:u w:val="none"/>
                <w:lang w:val="en-US" w:eastAsia="zh-CN" w:bidi="ar"/>
              </w:rPr>
              <w:t>本级</w:t>
            </w:r>
          </w:p>
        </w:tc>
        <w:tc>
          <w:tcPr>
            <w:tcW w:w="24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4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909"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9600" w:type="dxa"/>
            <w:gridSpan w:val="4"/>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3909"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4"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90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3.17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3.17</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2.5</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2.5</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0.67</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numPr>
          <w:ilvl w:val="0"/>
          <w:numId w:val="2"/>
        </w:numPr>
        <w:spacing w:before="0" w:after="0" w:line="240" w:lineRule="auto"/>
        <w:ind w:firstLine="0"/>
        <w:jc w:val="center"/>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唐山市丰南区文化广电和旅游局2022年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w:t>
      </w:r>
    </w:p>
    <w:p>
      <w:pPr>
        <w:numPr>
          <w:ilvl w:val="0"/>
          <w:numId w:val="2"/>
        </w:numPr>
        <w:spacing w:before="0" w:after="0" w:line="240" w:lineRule="auto"/>
        <w:ind w:firstLine="0"/>
        <w:jc w:val="center"/>
        <w:outlineLvl w:val="0"/>
        <w:rPr>
          <w:rFonts w:ascii="方正书宋_GBK" w:hAnsi="方正书宋_GBK" w:eastAsia="方正书宋_GBK" w:cs="方正书宋_GBK"/>
          <w:color w:val="FFFFFF"/>
          <w:sz w:val="21"/>
        </w:rPr>
        <w:sectPr>
          <w:pgSz w:w="16840" w:h="11900" w:orient="landscape"/>
          <w:pgMar w:top="1361" w:right="1020" w:bottom="1361" w:left="1020" w:header="720" w:footer="720" w:gutter="0"/>
          <w:cols w:space="720" w:num="1"/>
        </w:sectPr>
      </w:pPr>
    </w:p>
    <w:bookmarkEnd w:id="0"/>
    <w:p>
      <w:pPr>
        <w:jc w:val="left"/>
        <w:rPr>
          <w:rFonts w:hint="eastAsia" w:ascii="方正小标宋_GBK" w:eastAsia="方正小标宋_GBK"/>
          <w:color w:val="000000" w:themeColor="text1"/>
          <w:sz w:val="44"/>
        </w:rPr>
      </w:pPr>
      <w:r>
        <w:rPr>
          <w:rFonts w:hint="eastAsia" w:ascii="宋体" w:hAnsi="宋体"/>
          <w:sz w:val="30"/>
          <w:szCs w:val="30"/>
        </w:rPr>
        <w:t>附件3</w:t>
      </w:r>
    </w:p>
    <w:p>
      <w:pPr>
        <w:jc w:val="center"/>
        <w:rPr>
          <w:rFonts w:hint="eastAsia" w:ascii="方正小标宋_GBK" w:eastAsia="方正小标宋_GBK"/>
          <w:color w:val="000000" w:themeColor="text1"/>
          <w:sz w:val="44"/>
          <w:lang w:eastAsia="zh-CN"/>
        </w:rPr>
      </w:pPr>
      <w:r>
        <w:rPr>
          <w:rFonts w:hint="eastAsia" w:ascii="方正小标宋_GBK" w:eastAsia="方正小标宋_GBK"/>
          <w:color w:val="000000" w:themeColor="text1"/>
          <w:sz w:val="44"/>
          <w:lang w:eastAsia="zh-CN"/>
        </w:rPr>
        <w:t>唐山市丰南区文化广电和旅游局</w:t>
      </w:r>
    </w:p>
    <w:p>
      <w:pPr>
        <w:jc w:val="center"/>
        <w:rPr>
          <w:rFonts w:ascii="Times New Roman" w:hAnsi="宋体"/>
          <w:color w:val="000000" w:themeColor="text1"/>
          <w:sz w:val="44"/>
        </w:rPr>
      </w:pPr>
      <w:r>
        <w:rPr>
          <w:rFonts w:hint="eastAsia" w:ascii="方正小标宋_GBK" w:eastAsia="方正小标宋_GBK"/>
          <w:color w:val="000000" w:themeColor="text1"/>
          <w:sz w:val="44"/>
        </w:rPr>
        <w:t>202</w:t>
      </w:r>
      <w:r>
        <w:rPr>
          <w:rFonts w:hint="eastAsia" w:ascii="方正小标宋_GBK" w:eastAsia="方正小标宋_GBK"/>
          <w:color w:val="000000" w:themeColor="text1"/>
          <w:sz w:val="44"/>
          <w:lang w:val="en-US" w:eastAsia="zh-CN"/>
        </w:rPr>
        <w:t>1</w:t>
      </w:r>
      <w:r>
        <w:rPr>
          <w:rFonts w:hint="eastAsia" w:ascii="方正小标宋_GBK" w:eastAsia="方正小标宋_GBK"/>
          <w:color w:val="000000" w:themeColor="text1"/>
          <w:sz w:val="44"/>
        </w:rPr>
        <w:t>年</w:t>
      </w:r>
      <w:r>
        <w:rPr>
          <w:rFonts w:hint="eastAsia" w:ascii="方正小标宋_GBK" w:eastAsia="方正小标宋_GBK"/>
          <w:color w:val="000000" w:themeColor="text1"/>
          <w:sz w:val="44"/>
          <w:lang w:eastAsia="zh-CN"/>
        </w:rPr>
        <w:t>单位</w:t>
      </w:r>
      <w:r>
        <w:rPr>
          <w:rFonts w:hint="eastAsia" w:ascii="方正小标宋_GBK" w:eastAsia="方正小标宋_GBK"/>
          <w:color w:val="000000" w:themeColor="text1"/>
          <w:sz w:val="44"/>
        </w:rPr>
        <w:t>预算信息公开情况说明</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按照《预算法》、《地方预决算公开操作规程》和《河北省</w:t>
      </w:r>
      <w:r>
        <w:rPr>
          <w:rFonts w:hint="eastAsia" w:ascii="Times New Roman" w:eastAsia="方正仿宋_GBK"/>
          <w:color w:val="000000" w:themeColor="text1"/>
          <w:sz w:val="28"/>
          <w:lang w:eastAsia="zh-CN"/>
        </w:rPr>
        <w:t>区级</w:t>
      </w:r>
      <w:r>
        <w:rPr>
          <w:rFonts w:hint="eastAsia" w:ascii="Times New Roman" w:eastAsia="方正仿宋_GBK"/>
          <w:color w:val="000000" w:themeColor="text1"/>
          <w:sz w:val="28"/>
        </w:rPr>
        <w:t>预算公开办法》规定，现将丰南区</w:t>
      </w:r>
      <w:r>
        <w:rPr>
          <w:rFonts w:hint="eastAsia" w:ascii="Times New Roman" w:eastAsia="方正仿宋_GBK"/>
          <w:color w:val="000000" w:themeColor="text1"/>
          <w:sz w:val="28"/>
          <w:lang w:eastAsia="zh-CN"/>
        </w:rPr>
        <w:t>文化广电和旅游局</w:t>
      </w:r>
      <w:r>
        <w:rPr>
          <w:rFonts w:hint="eastAsia" w:ascii="Times New Roman" w:eastAsia="方正仿宋_GBK"/>
          <w:color w:val="000000" w:themeColor="text1"/>
          <w:sz w:val="28"/>
        </w:rPr>
        <w:t>202</w:t>
      </w:r>
      <w:r>
        <w:rPr>
          <w:rFonts w:hint="eastAsia" w:ascii="Times New Roman" w:eastAsia="方正仿宋_GBK"/>
          <w:color w:val="000000" w:themeColor="text1"/>
          <w:sz w:val="28"/>
          <w:lang w:val="en-US" w:eastAsia="zh-CN"/>
        </w:rPr>
        <w:t>1</w:t>
      </w:r>
      <w:r>
        <w:rPr>
          <w:rFonts w:hint="eastAsia" w:ascii="Times New Roman" w:eastAsia="方正仿宋_GBK"/>
          <w:color w:val="000000" w:themeColor="text1"/>
          <w:sz w:val="28"/>
        </w:rPr>
        <w:t>年</w:t>
      </w:r>
      <w:r>
        <w:rPr>
          <w:rFonts w:hint="eastAsia" w:ascii="Times New Roman" w:eastAsia="方正仿宋_GBK"/>
          <w:color w:val="000000" w:themeColor="text1"/>
          <w:sz w:val="28"/>
          <w:lang w:eastAsia="zh-CN"/>
        </w:rPr>
        <w:t>单位</w:t>
      </w:r>
      <w:r>
        <w:rPr>
          <w:rFonts w:hint="eastAsia" w:ascii="Times New Roman" w:eastAsia="方正仿宋_GBK"/>
          <w:color w:val="000000" w:themeColor="text1"/>
          <w:sz w:val="28"/>
        </w:rPr>
        <w:t>预算公开如下：</w:t>
      </w:r>
    </w:p>
    <w:p>
      <w:pPr>
        <w:spacing w:beforeLines="50" w:afterLines="50"/>
        <w:ind w:firstLine="640" w:firstLineChars="200"/>
        <w:jc w:val="left"/>
        <w:outlineLvl w:val="2"/>
        <w:rPr>
          <w:rFonts w:ascii="Times New Roman" w:hAnsi="宋体"/>
          <w:color w:val="000000" w:themeColor="text1"/>
          <w:sz w:val="32"/>
        </w:rPr>
      </w:pPr>
      <w:bookmarkStart w:id="6" w:name="_Toc66435805"/>
      <w:r>
        <w:rPr>
          <w:rFonts w:hint="eastAsia" w:ascii="黑体" w:hAnsi="黑体" w:eastAsia="黑体"/>
          <w:color w:val="000000" w:themeColor="text1"/>
          <w:sz w:val="32"/>
        </w:rPr>
        <w:t>一、</w:t>
      </w:r>
      <w:r>
        <w:rPr>
          <w:rFonts w:hint="eastAsia" w:ascii="黑体" w:hAnsi="黑体" w:eastAsia="黑体"/>
          <w:color w:val="000000" w:themeColor="text1"/>
          <w:sz w:val="32"/>
          <w:lang w:eastAsia="zh-CN"/>
        </w:rPr>
        <w:t>单位</w:t>
      </w:r>
      <w:r>
        <w:rPr>
          <w:rFonts w:hint="eastAsia" w:ascii="黑体" w:hAnsi="黑体" w:eastAsia="黑体"/>
          <w:color w:val="000000" w:themeColor="text1"/>
          <w:sz w:val="32"/>
        </w:rPr>
        <w:t>职责及机构设置情况</w:t>
      </w:r>
      <w:bookmarkEnd w:id="6"/>
    </w:p>
    <w:p>
      <w:pPr>
        <w:spacing w:line="570" w:lineRule="exact"/>
        <w:ind w:firstLine="643" w:firstLineChars="200"/>
        <w:rPr>
          <w:rFonts w:hint="eastAsia" w:ascii="仿宋_GB2312" w:eastAsia="仿宋_GB2312"/>
          <w:b/>
          <w:sz w:val="32"/>
          <w:szCs w:val="32"/>
        </w:rPr>
      </w:pPr>
      <w:bookmarkStart w:id="7" w:name="_Toc66435806"/>
      <w:r>
        <w:rPr>
          <w:rFonts w:hint="eastAsia" w:ascii="仿宋_GB2312" w:eastAsia="仿宋_GB2312"/>
          <w:b/>
          <w:sz w:val="32"/>
          <w:szCs w:val="32"/>
        </w:rPr>
        <w:t>1、</w:t>
      </w:r>
      <w:r>
        <w:rPr>
          <w:rFonts w:hint="eastAsia" w:ascii="仿宋_GB2312" w:eastAsia="仿宋_GB2312"/>
          <w:b/>
          <w:sz w:val="32"/>
          <w:szCs w:val="32"/>
          <w:lang w:eastAsia="zh-CN"/>
        </w:rPr>
        <w:t>单位</w:t>
      </w:r>
      <w:r>
        <w:rPr>
          <w:rFonts w:hint="eastAsia" w:ascii="仿宋_GB2312" w:eastAsia="仿宋_GB2312"/>
          <w:b/>
          <w:sz w:val="32"/>
          <w:szCs w:val="32"/>
        </w:rPr>
        <w:t>职责：</w:t>
      </w:r>
    </w:p>
    <w:p>
      <w:pPr>
        <w:spacing w:line="570" w:lineRule="exact"/>
        <w:ind w:firstLine="640" w:firstLineChars="200"/>
        <w:rPr>
          <w:rFonts w:hint="eastAsia" w:ascii="仿宋" w:eastAsia="仿宋"/>
          <w:sz w:val="32"/>
          <w:szCs w:val="32"/>
        </w:rPr>
      </w:pPr>
      <w:r>
        <w:rPr>
          <w:rFonts w:hint="eastAsia" w:ascii="仿宋" w:eastAsia="仿宋"/>
          <w:sz w:val="32"/>
          <w:szCs w:val="32"/>
        </w:rPr>
        <w:t>（1）贯彻执行党和国家文化、文物、广播电视、旅游和体育工作方针政策和法律法规。研究拟订全区文化、文物、广播电视、旅游和体育政策措施。</w:t>
      </w:r>
    </w:p>
    <w:p>
      <w:pPr>
        <w:spacing w:line="570" w:lineRule="exact"/>
        <w:ind w:firstLine="640" w:firstLineChars="200"/>
        <w:rPr>
          <w:rFonts w:hint="eastAsia" w:ascii="仿宋" w:eastAsia="仿宋"/>
          <w:sz w:val="32"/>
          <w:szCs w:val="32"/>
        </w:rPr>
      </w:pPr>
      <w:r>
        <w:rPr>
          <w:rFonts w:hint="eastAsia" w:ascii="仿宋" w:eastAsia="仿宋"/>
          <w:sz w:val="32"/>
          <w:szCs w:val="32"/>
        </w:rPr>
        <w:t>（2）拟订全区文化文物广播电视事业、文化产业、旅游业和体育发展规划并组织实施，推进文化和旅游融合发展，推进文化、文物、广播电视、旅游和体育体制机制改革。</w:t>
      </w:r>
    </w:p>
    <w:p>
      <w:pPr>
        <w:spacing w:line="570" w:lineRule="exact"/>
        <w:ind w:firstLine="640" w:firstLineChars="200"/>
        <w:rPr>
          <w:rFonts w:hint="eastAsia" w:ascii="仿宋" w:eastAsia="仿宋"/>
          <w:sz w:val="32"/>
          <w:szCs w:val="32"/>
        </w:rPr>
      </w:pPr>
      <w:r>
        <w:rPr>
          <w:rFonts w:hint="eastAsia" w:ascii="仿宋" w:eastAsia="仿宋"/>
          <w:sz w:val="32"/>
          <w:szCs w:val="32"/>
        </w:rPr>
        <w:t>（3）管理全区性重大文化活动。指导全区重点文化设施建设，组织实施全区广播电视公共服务重大公益工程和公益活动，指导和监管全区广播电视重点基础设施建设。组织丰南旅游整体形象推广，促进文化产业和旅游产业对外合作和国际市场推广，制定全区旅游市场开发营销战略并组织实施，指导、推进全域旅游。</w:t>
      </w:r>
    </w:p>
    <w:p>
      <w:pPr>
        <w:spacing w:line="570" w:lineRule="exact"/>
        <w:ind w:firstLine="640" w:firstLineChars="200"/>
        <w:rPr>
          <w:rFonts w:hint="eastAsia" w:ascii="仿宋" w:eastAsia="仿宋"/>
          <w:sz w:val="32"/>
          <w:szCs w:val="32"/>
        </w:rPr>
      </w:pPr>
      <w:r>
        <w:rPr>
          <w:rFonts w:hint="eastAsia" w:ascii="仿宋" w:eastAsia="仿宋"/>
          <w:sz w:val="32"/>
          <w:szCs w:val="32"/>
        </w:rPr>
        <w:t>（4）指导、管理全区文艺事业。指导艺术创作生产，扶持体现社会主义核心价值观、具有导向性代表性示范性的文艺作品，推动全区各门类艺术、各艺术品种发展。</w:t>
      </w:r>
    </w:p>
    <w:p>
      <w:pPr>
        <w:spacing w:line="570" w:lineRule="exact"/>
        <w:ind w:firstLine="640" w:firstLineChars="200"/>
        <w:rPr>
          <w:rFonts w:hint="eastAsia" w:ascii="仿宋" w:eastAsia="仿宋"/>
          <w:sz w:val="32"/>
          <w:szCs w:val="32"/>
        </w:rPr>
      </w:pPr>
      <w:r>
        <w:rPr>
          <w:rFonts w:hint="eastAsia" w:ascii="仿宋" w:eastAsia="仿宋"/>
          <w:sz w:val="32"/>
          <w:szCs w:val="32"/>
        </w:rPr>
        <w:t>（5）负责全区公共文化事业发展。推进全区文化、文物、广播电视和旅游公共服务体系建设，深入实施文化惠民工程，统筹推进全区基本公共文化服务标准化、均等化。</w:t>
      </w:r>
    </w:p>
    <w:p>
      <w:pPr>
        <w:spacing w:line="570" w:lineRule="exact"/>
        <w:ind w:firstLine="640" w:firstLineChars="200"/>
        <w:rPr>
          <w:rFonts w:hint="eastAsia" w:ascii="仿宋" w:eastAsia="仿宋"/>
          <w:sz w:val="32"/>
          <w:szCs w:val="32"/>
        </w:rPr>
      </w:pPr>
      <w:r>
        <w:rPr>
          <w:rFonts w:hint="eastAsia" w:ascii="仿宋" w:eastAsia="仿宋"/>
          <w:sz w:val="32"/>
          <w:szCs w:val="32"/>
        </w:rPr>
        <w:t>（6）指导、推进全区文化、文物、广播电视和旅游科技创新发展，推进文化、文物、广播电视和旅游行业信息化、标准化建设。促进智慧文化、文物、广播电视和旅游发展。</w:t>
      </w:r>
    </w:p>
    <w:p>
      <w:pPr>
        <w:spacing w:line="570" w:lineRule="exact"/>
        <w:ind w:firstLine="640" w:firstLineChars="200"/>
        <w:rPr>
          <w:rFonts w:hint="eastAsia" w:ascii="仿宋" w:eastAsia="仿宋"/>
          <w:sz w:val="32"/>
          <w:szCs w:val="32"/>
        </w:rPr>
      </w:pPr>
      <w:r>
        <w:rPr>
          <w:rFonts w:hint="eastAsia" w:ascii="仿宋" w:eastAsia="仿宋"/>
          <w:sz w:val="32"/>
          <w:szCs w:val="32"/>
        </w:rPr>
        <w:t>（7）负责全区非物质文化遗产保护，推动非物质文化遗产的保护传承、普及、弘扬和振兴。</w:t>
      </w:r>
    </w:p>
    <w:p>
      <w:pPr>
        <w:spacing w:line="570" w:lineRule="exact"/>
        <w:ind w:firstLine="640" w:firstLineChars="200"/>
        <w:rPr>
          <w:rFonts w:hint="eastAsia" w:ascii="仿宋" w:eastAsia="仿宋"/>
          <w:sz w:val="32"/>
          <w:szCs w:val="32"/>
        </w:rPr>
      </w:pPr>
      <w:r>
        <w:rPr>
          <w:rFonts w:hint="eastAsia" w:ascii="仿宋" w:eastAsia="仿宋"/>
          <w:sz w:val="32"/>
          <w:szCs w:val="32"/>
        </w:rPr>
        <w:t>（8）统筹规划全区文化、广播电视和旅游产业。组织实施文化、文物、广播电视和旅游资源普查、挖掘、保护和利用工作，促进文化产业、广播电视产业和旅游产业发展。</w:t>
      </w:r>
    </w:p>
    <w:p>
      <w:pPr>
        <w:spacing w:line="570" w:lineRule="exact"/>
        <w:ind w:firstLine="640" w:firstLineChars="200"/>
        <w:rPr>
          <w:rFonts w:hint="eastAsia" w:ascii="仿宋" w:eastAsia="仿宋"/>
          <w:sz w:val="32"/>
          <w:szCs w:val="32"/>
        </w:rPr>
      </w:pPr>
      <w:r>
        <w:rPr>
          <w:rFonts w:hint="eastAsia" w:ascii="仿宋" w:eastAsia="仿宋"/>
          <w:sz w:val="32"/>
          <w:szCs w:val="32"/>
        </w:rPr>
        <w:t>（9）指导全区文化、文物、广播电视和旅游市场发展。对文化、文物、广播电视和旅游市场经营进行行业监管，会同有关</w:t>
      </w:r>
      <w:r>
        <w:rPr>
          <w:rFonts w:hint="eastAsia" w:ascii="仿宋" w:eastAsia="仿宋"/>
          <w:sz w:val="32"/>
          <w:szCs w:val="32"/>
          <w:lang w:eastAsia="zh-CN"/>
        </w:rPr>
        <w:t>单位</w:t>
      </w:r>
      <w:r>
        <w:rPr>
          <w:rFonts w:hint="eastAsia" w:ascii="仿宋" w:eastAsia="仿宋"/>
          <w:sz w:val="32"/>
          <w:szCs w:val="32"/>
        </w:rPr>
        <w:t>对全区网络视听节目服务机构进行管理，组织查处重大违法违规行为，推进全区文化、文物、广播电视和旅游行业信用体系建设，依法规范文化、文物、广播电视和旅游市场。</w:t>
      </w:r>
    </w:p>
    <w:p>
      <w:pPr>
        <w:spacing w:line="570" w:lineRule="exact"/>
        <w:ind w:firstLine="640" w:firstLineChars="200"/>
        <w:rPr>
          <w:rFonts w:hint="eastAsia" w:ascii="仿宋" w:eastAsia="仿宋"/>
          <w:sz w:val="32"/>
          <w:szCs w:val="32"/>
        </w:rPr>
      </w:pPr>
      <w:r>
        <w:rPr>
          <w:rFonts w:hint="eastAsia" w:ascii="仿宋" w:eastAsia="仿宋"/>
          <w:sz w:val="32"/>
          <w:szCs w:val="32"/>
        </w:rPr>
        <w:t>（10）负责组织、指导全区文物保护管理工作；指导全区考古、文物修缮工作；组织、协调重大文物保护和考古项目的实施；指导全区文物和博物馆的业务工作；推进全区文物事业发展。</w:t>
      </w:r>
    </w:p>
    <w:p>
      <w:pPr>
        <w:spacing w:line="570" w:lineRule="exact"/>
        <w:ind w:firstLine="640" w:firstLineChars="200"/>
        <w:rPr>
          <w:rFonts w:hint="eastAsia" w:ascii="仿宋" w:eastAsia="仿宋"/>
          <w:sz w:val="32"/>
          <w:szCs w:val="32"/>
        </w:rPr>
      </w:pPr>
      <w:r>
        <w:rPr>
          <w:rFonts w:hint="eastAsia" w:ascii="仿宋" w:eastAsia="仿宋"/>
          <w:sz w:val="32"/>
          <w:szCs w:val="32"/>
        </w:rPr>
        <w:t>（11）指导全区电视剧行业发展和电视剧创作生产，监管全区广播电视节目、网络视听节目和公共视听载体播放的视听节目，审查其内容和质量，指导、监管全区广播电视广告播放。</w:t>
      </w:r>
    </w:p>
    <w:p>
      <w:pPr>
        <w:spacing w:line="570" w:lineRule="exact"/>
        <w:ind w:firstLine="640" w:firstLineChars="200"/>
        <w:rPr>
          <w:rFonts w:hint="eastAsia" w:ascii="仿宋" w:eastAsia="仿宋"/>
          <w:sz w:val="32"/>
          <w:szCs w:val="32"/>
        </w:rPr>
      </w:pPr>
      <w:r>
        <w:rPr>
          <w:rFonts w:hint="eastAsia" w:ascii="仿宋" w:eastAsia="仿宋"/>
          <w:sz w:val="32"/>
          <w:szCs w:val="32"/>
        </w:rPr>
        <w:t>（12）负责拟定全区广播电视科技发展规划、政策并组织实施和监督检查，负责对广播电视节目传输覆盖、监听、监看、监测的监管，推进全区应急广播体系建设，监管协调、调度全区广播电视安全播出。</w:t>
      </w:r>
    </w:p>
    <w:p>
      <w:pPr>
        <w:spacing w:line="570" w:lineRule="exact"/>
        <w:ind w:firstLine="640" w:firstLineChars="200"/>
        <w:rPr>
          <w:rFonts w:hint="eastAsia" w:ascii="仿宋" w:eastAsia="仿宋"/>
          <w:sz w:val="32"/>
          <w:szCs w:val="32"/>
        </w:rPr>
      </w:pPr>
      <w:r>
        <w:rPr>
          <w:rFonts w:hint="eastAsia" w:ascii="仿宋" w:eastAsia="仿宋"/>
          <w:sz w:val="32"/>
          <w:szCs w:val="32"/>
        </w:rPr>
        <w:t>（13）指导全区文化市场综合执法。组织查处全区性、跨区域文化、文物、出版、广播电视、电影、旅游等市场的违法行为，维护市场秩序。</w:t>
      </w:r>
    </w:p>
    <w:p>
      <w:pPr>
        <w:spacing w:line="570" w:lineRule="exact"/>
        <w:ind w:firstLine="640" w:firstLineChars="200"/>
        <w:rPr>
          <w:rFonts w:hint="eastAsia" w:ascii="仿宋" w:eastAsia="仿宋"/>
          <w:sz w:val="32"/>
          <w:szCs w:val="32"/>
        </w:rPr>
      </w:pPr>
      <w:r>
        <w:rPr>
          <w:rFonts w:hint="eastAsia" w:ascii="仿宋" w:eastAsia="仿宋"/>
          <w:sz w:val="32"/>
          <w:szCs w:val="32"/>
        </w:rPr>
        <w:t>（14）指导、管理全区文化、文物、广播电视、旅游和体育对外及对港澳台交流、合作和宣传、推广工作。代表区政府签订对外文化、文物、广播电视、旅游和体育合作协定；组织大型文化、文物、广播电视、旅游和体育对外及对港澳台交流活动，推动中华文化和丰南特色文化走出去。</w:t>
      </w:r>
    </w:p>
    <w:p>
      <w:pPr>
        <w:spacing w:line="570" w:lineRule="exact"/>
        <w:ind w:firstLine="640" w:firstLineChars="200"/>
        <w:rPr>
          <w:rFonts w:hint="eastAsia" w:ascii="仿宋" w:eastAsia="仿宋"/>
          <w:sz w:val="32"/>
          <w:szCs w:val="32"/>
        </w:rPr>
      </w:pPr>
      <w:r>
        <w:rPr>
          <w:rFonts w:hint="eastAsia" w:ascii="仿宋" w:eastAsia="仿宋"/>
          <w:sz w:val="32"/>
          <w:szCs w:val="32"/>
        </w:rPr>
        <w:t>（15）统筹规划全区群众体育发展。负责推行全民健身计划，监督实施国家体育锻炼标准，推动国民体质监测，指导公共体育设施建设，负责公共体育设施的监督管理工作，指导开展群众性体育活动。</w:t>
      </w:r>
    </w:p>
    <w:p>
      <w:pPr>
        <w:spacing w:line="570" w:lineRule="exact"/>
        <w:ind w:firstLine="640" w:firstLineChars="200"/>
        <w:rPr>
          <w:rFonts w:hint="eastAsia" w:ascii="仿宋" w:eastAsia="仿宋"/>
          <w:sz w:val="32"/>
          <w:szCs w:val="32"/>
        </w:rPr>
      </w:pPr>
      <w:r>
        <w:rPr>
          <w:rFonts w:hint="eastAsia" w:ascii="仿宋" w:eastAsia="仿宋"/>
          <w:sz w:val="32"/>
          <w:szCs w:val="32"/>
        </w:rPr>
        <w:t>（16）统筹规划全区竞技体育发展。负责布局设置全区竞技体育训练项目，指导协调竞技体育训练、科研以及教练员、运动员队伍建设；负责承办丽办重大体育赛事活动；负责组织、协调、监督体育运动中的反兴奋剂工作。</w:t>
      </w:r>
    </w:p>
    <w:p>
      <w:pPr>
        <w:spacing w:line="570" w:lineRule="exact"/>
        <w:ind w:firstLine="640" w:firstLineChars="200"/>
        <w:rPr>
          <w:rFonts w:hint="eastAsia" w:ascii="仿宋" w:eastAsia="仿宋"/>
          <w:sz w:val="32"/>
          <w:szCs w:val="32"/>
        </w:rPr>
      </w:pPr>
      <w:r>
        <w:rPr>
          <w:rFonts w:hint="eastAsia" w:ascii="仿宋" w:eastAsia="仿宋"/>
          <w:sz w:val="32"/>
          <w:szCs w:val="32"/>
        </w:rPr>
        <w:t>（17）统筹规划青少年体育发展，指导和推进青少年体育工作。</w:t>
      </w:r>
    </w:p>
    <w:p>
      <w:pPr>
        <w:spacing w:line="570" w:lineRule="exact"/>
        <w:ind w:firstLine="640" w:firstLineChars="200"/>
        <w:rPr>
          <w:rFonts w:hint="eastAsia" w:ascii="仿宋" w:eastAsia="仿宋"/>
          <w:sz w:val="32"/>
          <w:szCs w:val="32"/>
        </w:rPr>
      </w:pPr>
      <w:r>
        <w:rPr>
          <w:rFonts w:hint="eastAsia" w:ascii="仿宋" w:eastAsia="仿宋"/>
          <w:sz w:val="32"/>
          <w:szCs w:val="32"/>
        </w:rPr>
        <w:t>（18）拟定全区体育产业发展规划、政策，规范体育服务管理，推动体育标准化建设。</w:t>
      </w:r>
    </w:p>
    <w:p>
      <w:pPr>
        <w:spacing w:line="570" w:lineRule="exact"/>
        <w:ind w:firstLine="640" w:firstLineChars="200"/>
        <w:rPr>
          <w:rFonts w:hint="eastAsia" w:ascii="仿宋" w:eastAsia="仿宋"/>
          <w:sz w:val="32"/>
          <w:szCs w:val="32"/>
        </w:rPr>
      </w:pPr>
      <w:r>
        <w:rPr>
          <w:rFonts w:hint="eastAsia" w:ascii="仿宋" w:eastAsia="仿宋"/>
          <w:sz w:val="32"/>
          <w:szCs w:val="32"/>
        </w:rPr>
        <w:t>（19）指导全区体育社团建设工作。</w:t>
      </w:r>
    </w:p>
    <w:p>
      <w:pPr>
        <w:spacing w:line="570" w:lineRule="exact"/>
        <w:ind w:firstLine="640" w:firstLineChars="200"/>
        <w:rPr>
          <w:rFonts w:hint="eastAsia" w:ascii="仿宋" w:eastAsia="仿宋"/>
          <w:sz w:val="32"/>
          <w:szCs w:val="32"/>
        </w:rPr>
      </w:pPr>
      <w:r>
        <w:rPr>
          <w:rFonts w:hint="eastAsia" w:ascii="仿宋" w:eastAsia="仿宋"/>
          <w:sz w:val="32"/>
          <w:szCs w:val="32"/>
        </w:rPr>
        <w:t>（20）负责全区体育系统的安全生产监管工作，监督督察全区高危险体育项目的安全生产工作。</w:t>
      </w:r>
    </w:p>
    <w:p>
      <w:pPr>
        <w:spacing w:line="570" w:lineRule="exact"/>
        <w:ind w:firstLine="640" w:firstLineChars="200"/>
        <w:rPr>
          <w:rFonts w:hint="eastAsia" w:ascii="仿宋" w:eastAsia="仿宋"/>
          <w:sz w:val="32"/>
          <w:szCs w:val="32"/>
        </w:rPr>
      </w:pPr>
      <w:r>
        <w:rPr>
          <w:rFonts w:hint="eastAsia" w:ascii="仿宋" w:eastAsia="仿宋"/>
          <w:sz w:val="32"/>
          <w:szCs w:val="32"/>
        </w:rPr>
        <w:t>（21）完成区委、区政府交办的其他任务。</w:t>
      </w:r>
    </w:p>
    <w:p>
      <w:pPr>
        <w:spacing w:line="560" w:lineRule="exact"/>
        <w:ind w:firstLine="803" w:firstLineChars="250"/>
        <w:rPr>
          <w:rFonts w:hint="eastAsia" w:ascii="仿宋_GB2312" w:eastAsia="仿宋_GB2312"/>
          <w:b/>
          <w:sz w:val="32"/>
          <w:szCs w:val="32"/>
        </w:rPr>
      </w:pPr>
      <w:r>
        <w:rPr>
          <w:rFonts w:hint="eastAsia" w:ascii="仿宋_GB2312" w:eastAsia="仿宋_GB2312" w:cs="宋体"/>
          <w:b/>
          <w:sz w:val="32"/>
          <w:szCs w:val="32"/>
          <w:lang w:bidi="ar-SA"/>
        </w:rPr>
        <w:t>2、</w:t>
      </w:r>
      <w:r>
        <w:rPr>
          <w:rFonts w:hint="eastAsia" w:ascii="仿宋_GB2312" w:eastAsia="仿宋_GB2312"/>
          <w:b/>
          <w:sz w:val="32"/>
          <w:szCs w:val="32"/>
        </w:rPr>
        <w:t>机构设置：</w:t>
      </w:r>
    </w:p>
    <w:p>
      <w:pPr>
        <w:spacing w:line="560" w:lineRule="exact"/>
        <w:ind w:firstLine="640" w:firstLineChars="200"/>
        <w:rPr>
          <w:rFonts w:hint="eastAsia" w:ascii="仿宋" w:eastAsia="仿宋"/>
          <w:sz w:val="32"/>
          <w:szCs w:val="32"/>
        </w:rPr>
      </w:pPr>
      <w:r>
        <w:rPr>
          <w:rFonts w:hint="eastAsia" w:ascii="仿宋" w:eastAsia="仿宋"/>
          <w:sz w:val="32"/>
          <w:szCs w:val="32"/>
        </w:rPr>
        <w:t>（1）区文化广电和旅游局要加强事中事后监管。按照“放管服”改革要求，改进工作方式，强化监管责任，避免监管缺失，做好本</w:t>
      </w:r>
      <w:r>
        <w:rPr>
          <w:rFonts w:hint="eastAsia" w:ascii="仿宋" w:eastAsia="仿宋"/>
          <w:sz w:val="32"/>
          <w:szCs w:val="32"/>
          <w:lang w:eastAsia="zh-CN"/>
        </w:rPr>
        <w:t>单位</w:t>
      </w:r>
      <w:r>
        <w:rPr>
          <w:rFonts w:hint="eastAsia" w:ascii="仿宋" w:eastAsia="仿宋"/>
          <w:sz w:val="32"/>
          <w:szCs w:val="32"/>
        </w:rPr>
        <w:t>的决策、规划、行业标准制定工作，强化公共</w:t>
      </w:r>
    </w:p>
    <w:p>
      <w:pPr>
        <w:spacing w:line="560" w:lineRule="exact"/>
        <w:ind w:firstLine="640" w:firstLineChars="200"/>
        <w:rPr>
          <w:rFonts w:hint="eastAsia" w:ascii="仿宋" w:eastAsia="仿宋"/>
          <w:sz w:val="32"/>
          <w:szCs w:val="32"/>
        </w:rPr>
      </w:pPr>
      <w:r>
        <w:rPr>
          <w:rFonts w:hint="eastAsia" w:ascii="仿宋" w:eastAsia="仿宋"/>
          <w:sz w:val="32"/>
          <w:szCs w:val="32"/>
        </w:rPr>
        <w:t>服务体系建设。区行政审批局与区文化广电和旅游局要建立相关行政审批结果及监管结果通报制度，实现审批</w:t>
      </w:r>
      <w:r>
        <w:rPr>
          <w:rFonts w:hint="eastAsia" w:ascii="仿宋" w:eastAsia="仿宋"/>
          <w:sz w:val="32"/>
          <w:szCs w:val="32"/>
          <w:lang w:eastAsia="zh-CN"/>
        </w:rPr>
        <w:t>单位</w:t>
      </w:r>
      <w:r>
        <w:rPr>
          <w:rFonts w:hint="eastAsia" w:ascii="仿宋" w:eastAsia="仿宋"/>
          <w:sz w:val="32"/>
          <w:szCs w:val="32"/>
        </w:rPr>
        <w:t>和监管</w:t>
      </w:r>
      <w:r>
        <w:rPr>
          <w:rFonts w:hint="eastAsia" w:ascii="仿宋" w:eastAsia="仿宋"/>
          <w:sz w:val="32"/>
          <w:szCs w:val="32"/>
          <w:lang w:eastAsia="zh-CN"/>
        </w:rPr>
        <w:t>单位</w:t>
      </w:r>
      <w:r>
        <w:rPr>
          <w:rFonts w:hint="eastAsia" w:ascii="仿宋" w:eastAsia="仿宋"/>
          <w:sz w:val="32"/>
          <w:szCs w:val="32"/>
        </w:rPr>
        <w:t>间的信息互通、数据共享，确保审批、监管及时衔接和工作的连续性。</w:t>
      </w:r>
    </w:p>
    <w:p>
      <w:pPr>
        <w:spacing w:line="560" w:lineRule="exact"/>
        <w:ind w:firstLine="640" w:firstLineChars="200"/>
        <w:rPr>
          <w:rFonts w:hint="eastAsia" w:ascii="仿宋" w:eastAsia="仿宋"/>
          <w:sz w:val="32"/>
          <w:szCs w:val="32"/>
        </w:rPr>
      </w:pPr>
      <w:r>
        <w:rPr>
          <w:rFonts w:hint="eastAsia" w:ascii="仿宋" w:eastAsia="仿宋"/>
          <w:sz w:val="32"/>
          <w:szCs w:val="32"/>
        </w:rPr>
        <w:t>（2）区行政审批局与区文化广电和旅游局之间要加强工作联系，建立</w:t>
      </w:r>
      <w:r>
        <w:rPr>
          <w:rFonts w:hint="eastAsia" w:ascii="仿宋" w:eastAsia="仿宋"/>
          <w:sz w:val="32"/>
          <w:szCs w:val="32"/>
          <w:lang w:eastAsia="zh-CN"/>
        </w:rPr>
        <w:t>单位</w:t>
      </w:r>
      <w:r>
        <w:rPr>
          <w:rFonts w:hint="eastAsia" w:ascii="仿宋" w:eastAsia="仿宋"/>
          <w:sz w:val="32"/>
          <w:szCs w:val="32"/>
        </w:rPr>
        <w:t>间协商制度。区行政审批局在行政审批过程中需要现场勘察、论证、听证等相关资料的，区文化广电和旅游局要积极配合，并对相关资料的真实性、合法性负责，及时将上级对口</w:t>
      </w:r>
      <w:r>
        <w:rPr>
          <w:rFonts w:hint="eastAsia" w:ascii="仿宋" w:eastAsia="仿宋"/>
          <w:sz w:val="32"/>
          <w:szCs w:val="32"/>
          <w:lang w:eastAsia="zh-CN"/>
        </w:rPr>
        <w:t>单位</w:t>
      </w:r>
      <w:r>
        <w:rPr>
          <w:rFonts w:hint="eastAsia" w:ascii="仿宋" w:eastAsia="仿宋"/>
          <w:sz w:val="32"/>
          <w:szCs w:val="32"/>
        </w:rPr>
        <w:t>涉及政策、会议培训等相关文件，告知区行政审批局并协调上级主管</w:t>
      </w:r>
      <w:r>
        <w:rPr>
          <w:rFonts w:hint="eastAsia" w:ascii="仿宋" w:eastAsia="仿宋"/>
          <w:sz w:val="32"/>
          <w:szCs w:val="32"/>
          <w:lang w:eastAsia="zh-CN"/>
        </w:rPr>
        <w:t>单位</w:t>
      </w:r>
      <w:r>
        <w:rPr>
          <w:rFonts w:hint="eastAsia" w:ascii="仿宋" w:eastAsia="仿宋"/>
          <w:sz w:val="32"/>
          <w:szCs w:val="32"/>
        </w:rPr>
        <w:t>，做好审批相关事项的办理工作。</w:t>
      </w:r>
    </w:p>
    <w:p>
      <w:pPr>
        <w:spacing w:line="560" w:lineRule="exact"/>
        <w:ind w:firstLine="640" w:firstLineChars="200"/>
        <w:rPr>
          <w:rFonts w:hint="eastAsia" w:ascii="仿宋" w:eastAsia="仿宋"/>
          <w:sz w:val="32"/>
          <w:szCs w:val="32"/>
        </w:rPr>
      </w:pPr>
      <w:r>
        <w:rPr>
          <w:rFonts w:hint="eastAsia" w:ascii="仿宋" w:eastAsia="仿宋"/>
          <w:sz w:val="32"/>
          <w:szCs w:val="32"/>
        </w:rPr>
        <w:t>区文化广电和旅游局设下列内设机构：</w:t>
      </w:r>
    </w:p>
    <w:p>
      <w:pPr>
        <w:spacing w:line="560" w:lineRule="exact"/>
        <w:ind w:firstLine="640" w:firstLineChars="200"/>
        <w:rPr>
          <w:rFonts w:hint="eastAsia" w:ascii="仿宋" w:eastAsia="仿宋"/>
          <w:sz w:val="32"/>
          <w:szCs w:val="32"/>
        </w:rPr>
      </w:pPr>
      <w:r>
        <w:rPr>
          <w:rFonts w:hint="eastAsia" w:ascii="仿宋" w:eastAsia="仿宋"/>
          <w:sz w:val="32"/>
          <w:szCs w:val="32"/>
        </w:rPr>
        <w:t>（1）综合办公室。办公室负责机关日常运转工作，组织协调机关和所属单位业务，督促重大事项的落实；承担政务公开、机要保密、信访、局机关安全保卫工作。协调重要政策调研工作；组织拟订全区文化、文物、广电、旅游和体育发展规划；承担综合性文字材料的起草工作。承担全区文化、文物、广电、旅游和体育领域体制机制改革工作。开展法律法规宣传教育；负责机关规范性文件的合法性审核工作；承担新闻宣传工作。按有关规定拟订全区文化、文物、广播电视、旅游和体育行业人才队伍建设规划并组织实施。负责机关、所属单位的人事管理、机构编制及队伍建设等工作。负责</w:t>
      </w:r>
      <w:r>
        <w:rPr>
          <w:rFonts w:hint="eastAsia" w:ascii="仿宋" w:eastAsia="仿宋"/>
          <w:sz w:val="32"/>
          <w:szCs w:val="32"/>
          <w:lang w:eastAsia="zh-CN"/>
        </w:rPr>
        <w:t>单位</w:t>
      </w:r>
      <w:r>
        <w:rPr>
          <w:rFonts w:hint="eastAsia" w:ascii="仿宋" w:eastAsia="仿宋"/>
          <w:sz w:val="32"/>
          <w:szCs w:val="32"/>
        </w:rPr>
        <w:t>预算和相关财政资金管理工作；负责机关财务、资产管理；负责全区文化、文物、广播电视、旅游和体育统计工作；负责机关和所属单位内部审计、政府采购工作；指导、监督所属单位财务、资产和各类专项资金的管理；指导全区重点及基层文化、旅游和体育设施建设。负责机关和所属单位的党群工作。</w:t>
      </w:r>
    </w:p>
    <w:p>
      <w:pPr>
        <w:spacing w:line="560" w:lineRule="exact"/>
        <w:ind w:firstLine="640" w:firstLineChars="200"/>
        <w:rPr>
          <w:rFonts w:hint="eastAsia" w:ascii="仿宋" w:eastAsia="仿宋"/>
          <w:sz w:val="32"/>
          <w:szCs w:val="32"/>
        </w:rPr>
      </w:pPr>
      <w:r>
        <w:rPr>
          <w:rFonts w:hint="eastAsia" w:ascii="仿宋" w:eastAsia="仿宋"/>
          <w:sz w:val="32"/>
          <w:szCs w:val="32"/>
        </w:rPr>
        <w:t>拟订全区文化、旅游和体育公共服务政策及公共文化事业发展规划，并组织实施；承担全区公共文化服务、旅游公共服务和体育公共服务的指导、协调和推动工作；拟订全区文化、旅游、体育公共服务标准并监督实施；指导全区群众文化、少数民族文化、未成年人文化和老年文化工作；指导全区图书馆、文化馆事业和基层综合性文化服务中心建设；指导全区公共数字文化和古籍保护工作。拟订全区非物质文化遗产保护政策和规划，并组织实施。组织开展非物质文化遗产保护工作；指导全区非物质文化遗产调查、记录、确认和建立名录；组织非物质文化遗产研究、宣传和传播工作。拟订全区文化和旅游对外及对港澳台交流合作政策。拟订全区文化和旅游品牉推广规划，制定品牉战略并组织实施；指导、管理全区文化和旅游对外及对港澳台交流、合作；承办文化和旅游对外合作协定及其他合作文件的商签工作；承担政府、民间及国际组织在文化和旅游领域交流合作相关事务；组织大型文化和旅游对外及对港澳台交流推广活动。</w:t>
      </w:r>
    </w:p>
    <w:p>
      <w:pPr>
        <w:spacing w:line="560" w:lineRule="exact"/>
        <w:ind w:firstLine="640" w:firstLineChars="200"/>
        <w:rPr>
          <w:rFonts w:hint="eastAsia" w:ascii="仿宋" w:eastAsia="仿宋"/>
          <w:sz w:val="32"/>
          <w:szCs w:val="32"/>
        </w:rPr>
      </w:pPr>
      <w:r>
        <w:rPr>
          <w:rFonts w:hint="eastAsia" w:ascii="仿宋" w:eastAsia="仿宋"/>
          <w:sz w:val="32"/>
          <w:szCs w:val="32"/>
        </w:rPr>
        <w:t>（2）文化广电旅游科。拟定全区音乐、舞蹈、戏曲、戏剧、美术等文艺事业发展规划和扶持政策并组织实施；扶持体现社会主义核心价值观、具有导向性代表性示范性的文艺作品和代表区级水准及丰南特色的艺术团体，推动全区各门类艺术、各艺术品种发展；指导、协调全区性艺术展演、展览和重大文艺活动。 拟定全区文化、文物、广播电视、旅游科技创新发展规划和艺术科研规划并组织实施。组织开展文化、文物、广播电视和旅游科研工作及成果推广；组织协调全区文化、文物、广播电视和旅游行业信息化、标准化工作；指导全区文化、文物、广播电视和旅游装备技术提升；指导全区文化、文物、广播电视和旅游学校共建和行业职业教育工作；指导协调全区广播电视传输覆盖网和监测监管网的规划并推进建设；协调监管全区广播电视安全播出工作和设施保护工作；指导协调卫星电视接收设施、境外卫星电视节目的落地和接收的监督管理工作；指导推进全区应急广播体系建设；协调推进广播电视公共服务均等化和城乡一体化发展，组织推进全区广播电视“户户通”工程并实施监督；对发展相对滞后地区广播电视公共服务项目进行扶持，承担对口支援、救灾及美丼乡村建设等方面公共服务工作；承担广播电视扶贫工作；配合上级</w:t>
      </w:r>
      <w:r>
        <w:rPr>
          <w:rFonts w:hint="eastAsia" w:ascii="仿宋" w:eastAsia="仿宋"/>
          <w:sz w:val="32"/>
          <w:szCs w:val="32"/>
          <w:lang w:eastAsia="zh-CN"/>
        </w:rPr>
        <w:t>单位</w:t>
      </w:r>
      <w:r>
        <w:rPr>
          <w:rFonts w:hint="eastAsia" w:ascii="仿宋" w:eastAsia="仿宋"/>
          <w:sz w:val="32"/>
          <w:szCs w:val="32"/>
        </w:rPr>
        <w:t>负责境外人员参与节目录制管理、对国外人员参与制作国产电视剧进行审查。拟定全区文化、广播电视和旅游产业政策和发展规划并组织实施；指导、促进文化产业相关门类、广播电视产业和旅游产业及新型业态发展；推动全区文化产业、广播电视和旅游产业投融资体系建设；促进文化、广播电视和旅游与相关产业融合发展；指导全区文化产业园区基地建设。承担全区文化和旅游资源普查、规划、开发和保护。负责全区乡村旅游和旅游扶贫工作；指导、推进全区全域旅游示范区、旅游度假区创建工作；指导全区重点旅游区域、目的地、线路的规划工作；指导全区文化和旅游产品创新及开发体系建设。指导区级文化公园建设；承担红色旅游相关工作。</w:t>
      </w:r>
    </w:p>
    <w:p>
      <w:pPr>
        <w:spacing w:line="560" w:lineRule="exact"/>
        <w:ind w:firstLine="640" w:firstLineChars="200"/>
        <w:rPr>
          <w:rFonts w:hint="eastAsia" w:ascii="仿宋" w:eastAsia="仿宋"/>
          <w:sz w:val="32"/>
          <w:szCs w:val="32"/>
        </w:rPr>
      </w:pPr>
      <w:r>
        <w:rPr>
          <w:rFonts w:hint="eastAsia" w:ascii="仿宋" w:eastAsia="仿宋"/>
          <w:sz w:val="32"/>
          <w:szCs w:val="32"/>
        </w:rPr>
        <w:t>（3）市场文物传媒管理科。拟订全区文化市场和旅游市场政策和发展规划并组织实施。对全区文化和旅游市场经营进行行业监管；承担全区文化和旅游行业信用体系建设工作；组织拟订全区文化和旅游市场经营场所、设施、服务、产品等标准并监督实施；监管全区文化和旅游市场服务质量，指导服务质量提升；承担全区旅游经济运行监测、假日旅游市场、旅游安全综合协调和监督管理；拟定全区文化市场综合执法工作标准和规范并监督实施；指导、推动整合组建全区文化市场综合执法队伍；指导、监督全区文化市场综合执法工作，组织查处全区性、跨区域文化市场重大案件。组织全区文物资源调查，参与起草文物保护方面的规范性文件；负责世界文化遗产保护和管理的监督工作，组织审核世界文化遗产申报，协同相关</w:t>
      </w:r>
      <w:r>
        <w:rPr>
          <w:rFonts w:hint="eastAsia" w:ascii="仿宋" w:eastAsia="仿宋"/>
          <w:sz w:val="32"/>
          <w:szCs w:val="32"/>
          <w:lang w:eastAsia="zh-CN"/>
        </w:rPr>
        <w:t>单位</w:t>
      </w:r>
      <w:r>
        <w:rPr>
          <w:rFonts w:hint="eastAsia" w:ascii="仿宋" w:eastAsia="仿宋"/>
          <w:sz w:val="32"/>
          <w:szCs w:val="32"/>
        </w:rPr>
        <w:t>审核世界文化和自然双重遗产申报，协同相关</w:t>
      </w:r>
      <w:r>
        <w:rPr>
          <w:rFonts w:hint="eastAsia" w:ascii="仿宋" w:eastAsia="仿宋"/>
          <w:sz w:val="32"/>
          <w:szCs w:val="32"/>
          <w:lang w:eastAsia="zh-CN"/>
        </w:rPr>
        <w:t>单位</w:t>
      </w:r>
      <w:r>
        <w:rPr>
          <w:rFonts w:hint="eastAsia" w:ascii="仿宋" w:eastAsia="仿宋"/>
          <w:sz w:val="32"/>
          <w:szCs w:val="32"/>
        </w:rPr>
        <w:t>负责历史文化名城（镇、村）保护和监督管理工作；负责不可移动文物保护工作，管理和指导全区考古、文物修缮工作，组织、协调文物保护和考古项目的实施，承担确定区级文物保护单位的有关工作；负责推动完善文物和博物馆公共服务体系建设，指导全区文物和博物馆的业务工作，协调博物馆间的交流与协作；组织指导文物保护宣传工作。拟订全区广播电视播出机构的发展规划和政策；承担广播电视播出机构和业务、广播电视节目制作机构、广播电视节目传送、有线电视付费频道、移动电视业务的监督管理；承办全区广播电视播出机构及频率频道的申报、广播电视台变更台标申报工作；指导和监督管理广播电视广告播放及区级广播电视台影视文艺节目统一供片工作；组织对全区播出机构、传送机构、广播电视节目制作经营机构违规查处工作。指导全区网络视听节目服务的发展和宣传；对信息网络和公共载体传播的视听节目进行监管，审查其内容和质量，承担节目应急处置工作。指导全区视听节目监管体系建设，组织查处非法开展网络视听节目服务行为；负责信息网络视听节目（含 IP 电视、网络广播电视、手机视听节目）服务行业的监管。拟定全区广播电视重大改革措施，推进体制机制改革；协调推进三网融合，推进广播电视与新媒体技术新业态创新融合发展；承担全区广播电视视频点播业务的监管。研究制定全区广播电视宣传政策、规划并督导落实；指导协调广播电视重大宣传活动及重大突发事件报道和应急播报；指导、监管理论文献片、纪录片、电视动画片的制作与播出；组织开展全区公益宣传，对广播电视公益广告创作、制作、播出进行管理；指导广播电视节目创新创优；组织开展全区广播电视宣传管理工作；对各级广播电视播出机构落实宣传管理制度情况进行督导检查，组织全区广播电视节目的监听监看及违规查处工作。配合上级</w:t>
      </w:r>
      <w:r>
        <w:rPr>
          <w:rFonts w:hint="eastAsia" w:ascii="仿宋" w:eastAsia="仿宋"/>
          <w:sz w:val="32"/>
          <w:szCs w:val="32"/>
          <w:lang w:eastAsia="zh-CN"/>
        </w:rPr>
        <w:t>单位</w:t>
      </w:r>
      <w:r>
        <w:rPr>
          <w:rFonts w:hint="eastAsia" w:ascii="仿宋" w:eastAsia="仿宋"/>
          <w:sz w:val="32"/>
          <w:szCs w:val="32"/>
        </w:rPr>
        <w:t>承担电视剧制作的指导、监管工作，组织对国产电视剧、引进电视剧，以及对外合拍电视剧的内容进行审查；指导、调控电视剧的播出；鼓励、引导、扶持丰南电视剧精品生产。</w:t>
      </w:r>
    </w:p>
    <w:p>
      <w:pPr>
        <w:spacing w:line="560" w:lineRule="exact"/>
        <w:ind w:firstLine="640" w:firstLineChars="200"/>
        <w:rPr>
          <w:rFonts w:hint="eastAsia" w:ascii="仿宋" w:eastAsia="仿宋"/>
          <w:sz w:val="32"/>
          <w:szCs w:val="32"/>
        </w:rPr>
      </w:pPr>
      <w:r>
        <w:rPr>
          <w:rFonts w:hint="eastAsia" w:ascii="仿宋" w:eastAsia="仿宋"/>
          <w:sz w:val="32"/>
          <w:szCs w:val="32"/>
        </w:rPr>
        <w:t>（4）体育科。拟订全区群众体育工作发展规划和政策；贯彻落实《全民健身计划》，积极推行《全民健身实施计划》；推动落实全民健身联席会议制度；负责群众体育组织网络、设施网络、服务网络建设，完善全民健身公共服务体系，指导推动群众体育活动；指导人群（行业）体育协会的组建及活动开展；指导公共体育设施建设，规范公共体育设施的管理和使用；协调推动全民健身志愿者服务工作；负责推行社会体育指导员和国民体质监测制度，指导《国家体育锻炼标准》以及《国民体质测定标准》、《国家学生体质健康标准》的实施；负责社会体育指导员培训工作，指导城区社区、农村行政村体育协管员队伍建设等工作。</w:t>
      </w:r>
    </w:p>
    <w:p>
      <w:pPr>
        <w:spacing w:line="560" w:lineRule="exact"/>
        <w:ind w:firstLine="640" w:firstLineChars="200"/>
        <w:rPr>
          <w:rFonts w:hint="eastAsia" w:ascii="仿宋" w:eastAsia="仿宋"/>
          <w:sz w:val="32"/>
          <w:szCs w:val="32"/>
        </w:rPr>
      </w:pPr>
      <w:r>
        <w:rPr>
          <w:rFonts w:hint="eastAsia" w:ascii="仿宋" w:eastAsia="仿宋"/>
          <w:sz w:val="32"/>
          <w:szCs w:val="32"/>
        </w:rPr>
        <w:t>拟订全区竞技体育发展规划；负责制定全区体育竞赛制度；负责全区体育竞赛、竞技运动项目的设置和布局；负责组队参加国家和省市体育比赛和综合性运动会，组织丽办全区运动会和区级单项体育比赛；统筹协调全区的国际、国内重大体育赛事；拟订全区青少年体育发展规划；拟订全区青少年业余训练管理制度，完善青少年业余训练体系；协调推进学校体育工作，指导全区各级各类体育运动学校、体育传统项目学校、体育特色项目学校、青少年体育俱乐部建设以及国家、省市高水平后备人才基地建设，指导运动员文化教育工作；负责裁判员、运动员的注册和有关审核申报工作；负责运动员、教练员队伍的管理和相关培训工作；组织开展反兴奋剂工作；指导体育科研工作；承办市下达的有关奥运事务。拟订全区体育产业发展规划草案；指导协调全区体育产业发展；规范体育服务管理，推动体育标准化建设具体工作；负责体育统计工作；负责体育行业安全生产监管；负责高危险性体育项目经营单位（场所）安全监督管理；指导督促相关生产经营单位安全生产风险辨识管控和隐患排查治理工作。</w:t>
      </w:r>
    </w:p>
    <w:p>
      <w:pPr>
        <w:adjustRightInd w:val="0"/>
        <w:snapToGrid w:val="0"/>
        <w:spacing w:line="560" w:lineRule="exact"/>
        <w:ind w:left="178" w:leftChars="85" w:firstLine="540"/>
        <w:rPr>
          <w:rFonts w:hint="eastAsia" w:ascii="仿宋_GB2312" w:eastAsia="仿宋_GB2312"/>
          <w:color w:val="FF0000"/>
          <w:sz w:val="32"/>
          <w:szCs w:val="32"/>
        </w:rPr>
      </w:pPr>
      <w:r>
        <w:rPr>
          <w:rFonts w:hint="eastAsia" w:ascii="仿宋_GB2312" w:eastAsia="仿宋_GB2312"/>
          <w:sz w:val="32"/>
          <w:szCs w:val="32"/>
        </w:rPr>
        <w:t>机构设置：</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50"/>
        <w:gridCol w:w="1559"/>
        <w:gridCol w:w="1701"/>
        <w:gridCol w:w="23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tblHeader/>
          <w:jc w:val="center"/>
        </w:trPr>
        <w:tc>
          <w:tcPr>
            <w:tcW w:w="325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b/>
                <w:szCs w:val="24"/>
              </w:rPr>
            </w:pPr>
            <w:r>
              <w:rPr>
                <w:rFonts w:hint="eastAsia" w:ascii="仿宋" w:eastAsia="仿宋"/>
                <w:b/>
                <w:szCs w:val="24"/>
              </w:rPr>
              <w:t>单位名称</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b/>
                <w:szCs w:val="24"/>
              </w:rPr>
            </w:pPr>
            <w:r>
              <w:rPr>
                <w:rFonts w:hint="eastAsia" w:ascii="仿宋" w:eastAsia="仿宋"/>
                <w:b/>
                <w:szCs w:val="24"/>
              </w:rPr>
              <w:t>单位性质</w:t>
            </w:r>
          </w:p>
        </w:tc>
        <w:tc>
          <w:tcPr>
            <w:tcW w:w="170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b/>
                <w:szCs w:val="24"/>
              </w:rPr>
            </w:pPr>
            <w:r>
              <w:rPr>
                <w:rFonts w:hint="eastAsia" w:ascii="仿宋" w:eastAsia="仿宋"/>
                <w:b/>
                <w:szCs w:val="24"/>
              </w:rPr>
              <w:t>单位规格</w:t>
            </w:r>
          </w:p>
        </w:tc>
        <w:tc>
          <w:tcPr>
            <w:tcW w:w="231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b/>
                <w:szCs w:val="24"/>
              </w:rPr>
            </w:pPr>
            <w:r>
              <w:rPr>
                <w:rFonts w:hint="eastAsia" w:ascii="仿宋" w:eastAsia="仿宋"/>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325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hint="eastAsia" w:ascii="仿宋" w:eastAsia="仿宋"/>
                <w:szCs w:val="24"/>
                <w:lang w:eastAsia="zh-CN"/>
              </w:rPr>
            </w:pPr>
            <w:r>
              <w:rPr>
                <w:rFonts w:hint="eastAsia" w:ascii="仿宋" w:eastAsia="仿宋"/>
                <w:szCs w:val="24"/>
              </w:rPr>
              <w:t>文化广电和旅游局</w:t>
            </w:r>
            <w:r>
              <w:rPr>
                <w:rFonts w:hint="eastAsia" w:ascii="仿宋" w:eastAsia="仿宋"/>
                <w:szCs w:val="24"/>
                <w:lang w:eastAsia="zh-CN"/>
              </w:rPr>
              <w:t>本级</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szCs w:val="24"/>
              </w:rPr>
            </w:pPr>
            <w:r>
              <w:rPr>
                <w:rFonts w:hint="eastAsia" w:ascii="仿宋" w:eastAsia="仿宋"/>
                <w:szCs w:val="24"/>
              </w:rPr>
              <w:t>行政</w:t>
            </w:r>
          </w:p>
        </w:tc>
        <w:tc>
          <w:tcPr>
            <w:tcW w:w="170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szCs w:val="24"/>
              </w:rPr>
            </w:pPr>
            <w:r>
              <w:rPr>
                <w:rFonts w:hint="eastAsia" w:ascii="仿宋" w:eastAsia="仿宋"/>
                <w:szCs w:val="24"/>
              </w:rPr>
              <w:t>正科级</w:t>
            </w:r>
          </w:p>
        </w:tc>
        <w:tc>
          <w:tcPr>
            <w:tcW w:w="231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szCs w:val="24"/>
              </w:rPr>
            </w:pPr>
            <w:r>
              <w:rPr>
                <w:rFonts w:hint="eastAsia" w:ascii="仿宋" w:eastAsia="仿宋"/>
                <w:szCs w:val="24"/>
              </w:rPr>
              <w:t>财政拨款</w:t>
            </w:r>
          </w:p>
        </w:tc>
      </w:tr>
    </w:tbl>
    <w:p>
      <w:pPr>
        <w:spacing w:beforeLines="50" w:afterLines="50"/>
        <w:ind w:firstLine="640" w:firstLineChars="200"/>
        <w:jc w:val="left"/>
        <w:outlineLvl w:val="2"/>
        <w:rPr>
          <w:rFonts w:hint="eastAsia" w:ascii="黑体" w:hAnsi="黑体" w:eastAsia="黑体"/>
          <w:color w:val="000000" w:themeColor="text1"/>
          <w:sz w:val="32"/>
        </w:rPr>
      </w:pPr>
    </w:p>
    <w:p>
      <w:pPr>
        <w:spacing w:beforeLines="50" w:afterLines="50"/>
        <w:ind w:firstLine="640" w:firstLineChars="200"/>
        <w:jc w:val="left"/>
        <w:outlineLvl w:val="2"/>
        <w:rPr>
          <w:rFonts w:hint="eastAsia" w:ascii="黑体" w:hAnsi="黑体" w:eastAsia="黑体"/>
          <w:color w:val="000000" w:themeColor="text1"/>
          <w:sz w:val="32"/>
        </w:rPr>
      </w:pPr>
    </w:p>
    <w:p>
      <w:pPr>
        <w:keepNext w:val="0"/>
        <w:keepLines w:val="0"/>
        <w:pageBreakBefore w:val="0"/>
        <w:widowControl w:val="0"/>
        <w:kinsoku/>
        <w:wordWrap/>
        <w:overflowPunct/>
        <w:topLinePunct w:val="0"/>
        <w:autoSpaceDE/>
        <w:autoSpaceDN/>
        <w:bidi w:val="0"/>
        <w:adjustRightInd/>
        <w:snapToGrid/>
        <w:spacing w:beforeLines="50" w:afterLines="50"/>
        <w:ind w:firstLine="640" w:firstLineChars="200"/>
        <w:jc w:val="left"/>
        <w:textAlignment w:val="auto"/>
        <w:outlineLvl w:val="2"/>
        <w:rPr>
          <w:rFonts w:ascii="Times New Roman" w:hAnsi="宋体"/>
          <w:color w:val="000000" w:themeColor="text1"/>
          <w:sz w:val="32"/>
        </w:rPr>
      </w:pPr>
      <w:r>
        <w:rPr>
          <w:rFonts w:hint="eastAsia" w:ascii="黑体" w:hAnsi="黑体" w:eastAsia="黑体"/>
          <w:color w:val="000000" w:themeColor="text1"/>
          <w:sz w:val="32"/>
        </w:rPr>
        <w:t>二、</w:t>
      </w:r>
      <w:r>
        <w:rPr>
          <w:rFonts w:hint="eastAsia" w:ascii="黑体" w:hAnsi="黑体" w:eastAsia="黑体"/>
          <w:color w:val="000000" w:themeColor="text1"/>
          <w:sz w:val="32"/>
          <w:lang w:eastAsia="zh-CN"/>
        </w:rPr>
        <w:t>单位</w:t>
      </w:r>
      <w:r>
        <w:rPr>
          <w:rFonts w:hint="eastAsia" w:ascii="黑体" w:hAnsi="黑体" w:eastAsia="黑体"/>
          <w:color w:val="000000" w:themeColor="text1"/>
          <w:sz w:val="32"/>
        </w:rPr>
        <w:t>预算安排的总体情况</w:t>
      </w:r>
      <w:bookmarkEnd w:id="7"/>
    </w:p>
    <w:p>
      <w:pPr>
        <w:spacing w:line="560" w:lineRule="exact"/>
        <w:ind w:firstLine="640" w:firstLineChars="200"/>
        <w:rPr>
          <w:rFonts w:hint="eastAsia" w:ascii="仿宋" w:eastAsia="仿宋"/>
          <w:sz w:val="32"/>
          <w:szCs w:val="32"/>
        </w:rPr>
      </w:pPr>
      <w:r>
        <w:rPr>
          <w:rFonts w:hint="eastAsia" w:ascii="仿宋" w:eastAsia="仿宋"/>
          <w:sz w:val="32"/>
          <w:szCs w:val="32"/>
        </w:rPr>
        <w:t>按照预算管理有关规定，目前我区</w:t>
      </w:r>
      <w:r>
        <w:rPr>
          <w:rFonts w:hint="eastAsia" w:ascii="仿宋" w:eastAsia="仿宋"/>
          <w:sz w:val="32"/>
          <w:szCs w:val="32"/>
          <w:lang w:eastAsia="zh-CN"/>
        </w:rPr>
        <w:t>单位</w:t>
      </w:r>
      <w:r>
        <w:rPr>
          <w:rFonts w:hint="eastAsia" w:ascii="仿宋" w:eastAsia="仿宋"/>
          <w:sz w:val="32"/>
          <w:szCs w:val="32"/>
        </w:rPr>
        <w:t>预算的编制实行综合预算管理，即全部收入和支出都反映在预算中。丰南区</w:t>
      </w:r>
      <w:r>
        <w:rPr>
          <w:rFonts w:hint="eastAsia" w:ascii="仿宋" w:eastAsia="仿宋"/>
          <w:sz w:val="32"/>
          <w:szCs w:val="32"/>
          <w:lang w:eastAsia="zh-CN"/>
        </w:rPr>
        <w:t>文化广电和旅游局</w:t>
      </w:r>
      <w:r>
        <w:rPr>
          <w:rFonts w:hint="eastAsia" w:ascii="仿宋" w:eastAsia="仿宋"/>
          <w:sz w:val="32"/>
          <w:szCs w:val="32"/>
        </w:rPr>
        <w:t>机关及所属事业单位的收支包含在</w:t>
      </w:r>
      <w:r>
        <w:rPr>
          <w:rFonts w:hint="eastAsia" w:ascii="仿宋" w:eastAsia="仿宋"/>
          <w:sz w:val="32"/>
          <w:szCs w:val="32"/>
          <w:lang w:eastAsia="zh-CN"/>
        </w:rPr>
        <w:t>单位</w:t>
      </w:r>
      <w:r>
        <w:rPr>
          <w:rFonts w:hint="eastAsia" w:ascii="仿宋" w:eastAsia="仿宋"/>
          <w:sz w:val="32"/>
          <w:szCs w:val="32"/>
        </w:rPr>
        <w:t>预算中。</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（一）收入说明</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2021年</w:t>
      </w:r>
      <w:r>
        <w:rPr>
          <w:rFonts w:hint="eastAsia" w:ascii="仿宋_GB2312" w:eastAsia="仿宋_GB2312"/>
          <w:sz w:val="32"/>
          <w:szCs w:val="32"/>
          <w:lang w:eastAsia="zh-CN"/>
        </w:rPr>
        <w:t>单位</w:t>
      </w:r>
      <w:r>
        <w:rPr>
          <w:rFonts w:hint="eastAsia" w:ascii="仿宋_GB2312" w:eastAsia="仿宋_GB2312"/>
          <w:sz w:val="32"/>
          <w:szCs w:val="32"/>
        </w:rPr>
        <w:t>收入预算</w:t>
      </w:r>
      <w:r>
        <w:rPr>
          <w:rFonts w:hint="eastAsia" w:ascii="仿宋_GB2312" w:eastAsia="仿宋_GB2312"/>
          <w:sz w:val="32"/>
          <w:szCs w:val="32"/>
          <w:lang w:val="en-US" w:eastAsia="zh-CN"/>
        </w:rPr>
        <w:t>1630.38</w:t>
      </w:r>
      <w:r>
        <w:rPr>
          <w:rFonts w:hint="eastAsia" w:ascii="仿宋_GB2312" w:eastAsia="仿宋_GB2312"/>
          <w:sz w:val="32"/>
          <w:szCs w:val="32"/>
        </w:rPr>
        <w:t>万元，其中：一般公共预算拨款</w:t>
      </w:r>
      <w:r>
        <w:rPr>
          <w:rFonts w:hint="eastAsia" w:ascii="仿宋_GB2312" w:eastAsia="仿宋_GB2312"/>
          <w:sz w:val="32"/>
          <w:szCs w:val="32"/>
          <w:lang w:val="en-US" w:eastAsia="zh-CN"/>
        </w:rPr>
        <w:t>1630.38</w:t>
      </w:r>
      <w:r>
        <w:rPr>
          <w:rFonts w:hint="eastAsia" w:ascii="仿宋_GB2312" w:eastAsia="仿宋_GB2312"/>
          <w:sz w:val="32"/>
          <w:szCs w:val="32"/>
        </w:rPr>
        <w:t>万元，政府性基金预算拨款</w:t>
      </w:r>
      <w:r>
        <w:rPr>
          <w:rFonts w:hint="eastAsia" w:ascii="仿宋_GB2312" w:eastAsia="仿宋_GB2312"/>
          <w:sz w:val="32"/>
          <w:szCs w:val="32"/>
          <w:lang w:val="en-US" w:eastAsia="zh-CN"/>
        </w:rPr>
        <w:t>0</w:t>
      </w:r>
      <w:r>
        <w:rPr>
          <w:rFonts w:hint="eastAsia" w:ascii="仿宋_GB2312" w:eastAsia="仿宋_GB2312"/>
          <w:sz w:val="32"/>
          <w:szCs w:val="32"/>
        </w:rPr>
        <w:t>万元，国有资本经营预算拨款0万元，财政专户核拨0万元，其它来源收入0万元。</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highlight w:val="none"/>
        </w:rPr>
        <w:t>（二）支出说明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2021年支出预算</w:t>
      </w:r>
      <w:r>
        <w:rPr>
          <w:rFonts w:hint="eastAsia" w:ascii="仿宋_GB2312" w:eastAsia="仿宋_GB2312"/>
          <w:sz w:val="32"/>
          <w:szCs w:val="32"/>
          <w:lang w:val="en-US" w:eastAsia="zh-CN"/>
        </w:rPr>
        <w:t>1630.38</w:t>
      </w:r>
      <w:r>
        <w:rPr>
          <w:rFonts w:hint="eastAsia" w:ascii="仿宋_GB2312" w:eastAsia="仿宋_GB2312"/>
          <w:sz w:val="32"/>
          <w:szCs w:val="32"/>
        </w:rPr>
        <w:t>万元，其中：人员经费支出</w:t>
      </w:r>
      <w:r>
        <w:rPr>
          <w:rFonts w:hint="eastAsia" w:ascii="仿宋_GB2312" w:eastAsia="仿宋_GB2312"/>
          <w:sz w:val="32"/>
          <w:szCs w:val="32"/>
          <w:lang w:val="en-US" w:eastAsia="zh-CN"/>
        </w:rPr>
        <w:t>549.04</w:t>
      </w:r>
      <w:r>
        <w:rPr>
          <w:rFonts w:hint="eastAsia" w:ascii="仿宋_GB2312" w:eastAsia="仿宋_GB2312"/>
          <w:sz w:val="32"/>
          <w:szCs w:val="32"/>
        </w:rPr>
        <w:t>万元，日常公用经费支出</w:t>
      </w:r>
      <w:r>
        <w:rPr>
          <w:rFonts w:hint="eastAsia" w:ascii="仿宋_GB2312" w:eastAsia="仿宋_GB2312"/>
          <w:sz w:val="32"/>
          <w:szCs w:val="32"/>
          <w:lang w:val="en-US" w:eastAsia="zh-CN"/>
        </w:rPr>
        <w:t>371.39</w:t>
      </w:r>
      <w:r>
        <w:rPr>
          <w:rFonts w:hint="eastAsia" w:ascii="仿宋_GB2312" w:eastAsia="仿宋_GB2312"/>
          <w:sz w:val="32"/>
          <w:szCs w:val="32"/>
        </w:rPr>
        <w:t>万元；项目支出</w:t>
      </w:r>
      <w:r>
        <w:rPr>
          <w:rFonts w:hint="eastAsia" w:ascii="仿宋_GB2312" w:eastAsia="仿宋_GB2312"/>
          <w:sz w:val="32"/>
          <w:szCs w:val="32"/>
          <w:lang w:val="en-US" w:eastAsia="zh-CN"/>
        </w:rPr>
        <w:t>709.95</w:t>
      </w:r>
      <w:r>
        <w:rPr>
          <w:rFonts w:hint="eastAsia" w:ascii="仿宋_GB2312" w:eastAsia="仿宋_GB2312"/>
          <w:sz w:val="32"/>
          <w:szCs w:val="32"/>
        </w:rPr>
        <w:t>万元，主要用于、农村文化建设-城乡公共文化服务项目、农村文化建设-城乡文化活动资金、大剧院运行费、三馆运行费、三馆免费开放资金（上级）、丰南区全域旅游专项规划设计费、劳务派遣人员费用（劳务费）等项目。</w:t>
      </w:r>
    </w:p>
    <w:p>
      <w:pPr>
        <w:spacing w:line="360" w:lineRule="auto"/>
        <w:ind w:firstLine="560" w:firstLineChars="200"/>
        <w:jc w:val="left"/>
        <w:rPr>
          <w:rFonts w:ascii="楷体_GB2312" w:hAnsi="仿宋" w:eastAsia="楷体_GB2312"/>
          <w:color w:val="000000" w:themeColor="text1"/>
          <w:sz w:val="32"/>
          <w:szCs w:val="32"/>
          <w:highlight w:val="none"/>
        </w:rPr>
      </w:pPr>
      <w:r>
        <w:rPr>
          <w:rFonts w:hint="eastAsia" w:ascii="Times New Roman" w:eastAsia="方正仿宋_GBK"/>
          <w:color w:val="000000" w:themeColor="text1"/>
          <w:sz w:val="28"/>
          <w:highlight w:val="none"/>
        </w:rPr>
        <w:t>（三）比上年增减情况</w:t>
      </w:r>
    </w:p>
    <w:p>
      <w:pPr>
        <w:adjustRightInd w:val="0"/>
        <w:snapToGrid w:val="0"/>
        <w:spacing w:line="560" w:lineRule="exact"/>
        <w:ind w:firstLine="640"/>
        <w:rPr>
          <w:rFonts w:hint="eastAsia" w:ascii="仿宋_GB2312" w:eastAsia="仿宋_GB2312"/>
          <w:sz w:val="32"/>
          <w:szCs w:val="32"/>
        </w:rPr>
      </w:pPr>
      <w:bookmarkStart w:id="8" w:name="_Toc66435807"/>
      <w:r>
        <w:rPr>
          <w:rFonts w:hint="eastAsia" w:ascii="仿宋_GB2312" w:eastAsia="仿宋_GB2312"/>
          <w:sz w:val="32"/>
          <w:szCs w:val="32"/>
        </w:rPr>
        <w:t>2021年收入预算较2020年</w:t>
      </w:r>
      <w:r>
        <w:rPr>
          <w:rFonts w:hint="eastAsia" w:ascii="仿宋_GB2312" w:eastAsia="仿宋_GB2312"/>
          <w:sz w:val="32"/>
          <w:szCs w:val="32"/>
          <w:lang w:eastAsia="zh-CN"/>
        </w:rPr>
        <w:t>减少</w:t>
      </w:r>
      <w:r>
        <w:rPr>
          <w:rFonts w:hint="eastAsia" w:ascii="仿宋_GB2312" w:eastAsia="仿宋_GB2312"/>
          <w:sz w:val="32"/>
          <w:szCs w:val="32"/>
          <w:lang w:val="en-US" w:eastAsia="zh-CN"/>
        </w:rPr>
        <w:t>201.23</w:t>
      </w:r>
      <w:r>
        <w:rPr>
          <w:rFonts w:hint="eastAsia" w:ascii="仿宋_GB2312" w:eastAsia="仿宋_GB2312"/>
          <w:sz w:val="32"/>
          <w:szCs w:val="32"/>
        </w:rPr>
        <w:t>万元，主要是</w:t>
      </w:r>
      <w:r>
        <w:rPr>
          <w:rFonts w:hint="eastAsia" w:ascii="仿宋_GB2312" w:eastAsia="仿宋_GB2312"/>
          <w:sz w:val="32"/>
          <w:szCs w:val="32"/>
          <w:lang w:eastAsia="zh-CN"/>
        </w:rPr>
        <w:t>上级转移支付收入减少、项目支出减少</w:t>
      </w:r>
      <w:r>
        <w:rPr>
          <w:rFonts w:hint="eastAsia" w:ascii="仿宋_GB2312" w:eastAsia="仿宋_GB2312"/>
          <w:sz w:val="32"/>
          <w:szCs w:val="32"/>
        </w:rPr>
        <w:t>。</w:t>
      </w:r>
    </w:p>
    <w:p>
      <w:pPr>
        <w:adjustRightInd w:val="0"/>
        <w:snapToGrid w:val="0"/>
        <w:spacing w:line="560" w:lineRule="exact"/>
        <w:ind w:firstLine="640"/>
        <w:rPr>
          <w:rFonts w:hint="eastAsia" w:ascii="仿宋_GB2312" w:eastAsia="仿宋_GB2312"/>
          <w:sz w:val="32"/>
          <w:szCs w:val="32"/>
        </w:rPr>
      </w:pPr>
      <w:r>
        <w:rPr>
          <w:rFonts w:hint="eastAsia" w:ascii="仿宋_GB2312" w:eastAsia="仿宋_GB2312"/>
          <w:sz w:val="32"/>
          <w:szCs w:val="32"/>
        </w:rPr>
        <w:t>2021年支出预算较2020年</w:t>
      </w:r>
      <w:r>
        <w:rPr>
          <w:rFonts w:hint="eastAsia" w:ascii="仿宋_GB2312" w:eastAsia="仿宋_GB2312"/>
          <w:sz w:val="32"/>
          <w:szCs w:val="32"/>
          <w:lang w:eastAsia="zh-CN"/>
        </w:rPr>
        <w:t>减少</w:t>
      </w:r>
      <w:r>
        <w:rPr>
          <w:rFonts w:hint="eastAsia" w:ascii="仿宋_GB2312" w:eastAsia="仿宋_GB2312"/>
          <w:sz w:val="32"/>
          <w:szCs w:val="32"/>
          <w:lang w:val="en-US" w:eastAsia="zh-CN"/>
        </w:rPr>
        <w:t>201.23</w:t>
      </w:r>
      <w:r>
        <w:rPr>
          <w:rFonts w:hint="eastAsia" w:ascii="仿宋_GB2312" w:eastAsia="仿宋_GB2312"/>
          <w:sz w:val="32"/>
          <w:szCs w:val="32"/>
        </w:rPr>
        <w:t>万元，其中：基本支出减少</w:t>
      </w:r>
      <w:r>
        <w:rPr>
          <w:rFonts w:hint="eastAsia" w:ascii="仿宋_GB2312" w:eastAsia="仿宋_GB2312"/>
          <w:sz w:val="32"/>
          <w:szCs w:val="32"/>
          <w:lang w:val="en-US" w:eastAsia="zh-CN"/>
        </w:rPr>
        <w:t>103.25</w:t>
      </w:r>
      <w:r>
        <w:rPr>
          <w:rFonts w:hint="eastAsia" w:ascii="仿宋_GB2312" w:eastAsia="仿宋_GB2312"/>
          <w:sz w:val="32"/>
          <w:szCs w:val="32"/>
        </w:rPr>
        <w:t>万元，主要是人员经费减少</w:t>
      </w:r>
      <w:r>
        <w:rPr>
          <w:rFonts w:hint="eastAsia" w:ascii="仿宋_GB2312" w:eastAsia="仿宋_GB2312"/>
          <w:sz w:val="32"/>
          <w:szCs w:val="32"/>
          <w:lang w:val="en-US" w:eastAsia="zh-CN"/>
        </w:rPr>
        <w:t>58.4</w:t>
      </w:r>
      <w:r>
        <w:rPr>
          <w:rFonts w:hint="eastAsia" w:ascii="仿宋_GB2312" w:eastAsia="仿宋_GB2312"/>
          <w:sz w:val="32"/>
          <w:szCs w:val="32"/>
        </w:rPr>
        <w:t>万元，日常公用经费减少</w:t>
      </w:r>
      <w:r>
        <w:rPr>
          <w:rFonts w:hint="eastAsia" w:ascii="仿宋_GB2312" w:eastAsia="仿宋_GB2312"/>
          <w:sz w:val="32"/>
          <w:szCs w:val="32"/>
          <w:lang w:val="en-US" w:eastAsia="zh-CN"/>
        </w:rPr>
        <w:t>44.85</w:t>
      </w:r>
      <w:r>
        <w:rPr>
          <w:rFonts w:hint="eastAsia" w:ascii="仿宋_GB2312" w:eastAsia="仿宋_GB2312"/>
          <w:sz w:val="32"/>
          <w:szCs w:val="32"/>
        </w:rPr>
        <w:t>万元；项目支出</w:t>
      </w:r>
      <w:r>
        <w:rPr>
          <w:rFonts w:hint="eastAsia" w:ascii="仿宋_GB2312" w:eastAsia="仿宋_GB2312"/>
          <w:sz w:val="32"/>
          <w:szCs w:val="32"/>
          <w:lang w:eastAsia="zh-CN"/>
        </w:rPr>
        <w:t>减少</w:t>
      </w:r>
      <w:r>
        <w:rPr>
          <w:rFonts w:hint="eastAsia" w:ascii="仿宋_GB2312" w:eastAsia="仿宋_GB2312"/>
          <w:sz w:val="32"/>
          <w:szCs w:val="32"/>
          <w:lang w:val="en-US" w:eastAsia="zh-CN"/>
        </w:rPr>
        <w:t>97.98</w:t>
      </w:r>
      <w:r>
        <w:rPr>
          <w:rFonts w:hint="eastAsia" w:ascii="仿宋_GB2312" w:eastAsia="仿宋_GB2312"/>
          <w:sz w:val="32"/>
          <w:szCs w:val="32"/>
        </w:rPr>
        <w:t>万元，主要是</w:t>
      </w:r>
      <w:r>
        <w:rPr>
          <w:rFonts w:hint="eastAsia" w:ascii="仿宋_GB2312" w:eastAsia="仿宋_GB2312"/>
          <w:sz w:val="32"/>
          <w:szCs w:val="32"/>
          <w:lang w:eastAsia="zh-CN"/>
        </w:rPr>
        <w:t>压减预算</w:t>
      </w:r>
      <w:r>
        <w:rPr>
          <w:rFonts w:hint="eastAsia" w:ascii="仿宋_GB2312" w:eastAsia="仿宋_GB2312"/>
          <w:sz w:val="32"/>
          <w:szCs w:val="32"/>
        </w:rPr>
        <w:t>。</w:t>
      </w:r>
    </w:p>
    <w:p>
      <w:pPr>
        <w:spacing w:beforeLines="50" w:afterLines="50"/>
        <w:ind w:firstLine="640" w:firstLineChars="200"/>
        <w:jc w:val="left"/>
        <w:outlineLvl w:val="2"/>
        <w:rPr>
          <w:rFonts w:ascii="Times New Roman" w:hAnsi="宋体"/>
          <w:color w:val="000000" w:themeColor="text1"/>
          <w:sz w:val="32"/>
          <w:highlight w:val="none"/>
        </w:rPr>
      </w:pPr>
      <w:r>
        <w:rPr>
          <w:rFonts w:hint="eastAsia" w:ascii="黑体" w:hAnsi="黑体" w:eastAsia="黑体"/>
          <w:color w:val="000000" w:themeColor="text1"/>
          <w:sz w:val="32"/>
          <w:highlight w:val="none"/>
        </w:rPr>
        <w:t>三、机关运行经费安排情况</w:t>
      </w:r>
      <w:bookmarkEnd w:id="8"/>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bookmarkStart w:id="9" w:name="_Toc66435808"/>
      <w:r>
        <w:rPr>
          <w:rFonts w:hint="eastAsia" w:ascii="仿宋_GB2312" w:eastAsia="仿宋_GB2312"/>
          <w:sz w:val="32"/>
          <w:szCs w:val="32"/>
        </w:rPr>
        <w:t xml:space="preserve"> 2021年机关运行经费</w:t>
      </w:r>
      <w:r>
        <w:rPr>
          <w:rFonts w:hint="eastAsia" w:ascii="仿宋_GB2312" w:eastAsia="仿宋_GB2312"/>
          <w:sz w:val="32"/>
          <w:szCs w:val="32"/>
          <w:lang w:val="en-US" w:eastAsia="zh-CN"/>
        </w:rPr>
        <w:t>371.39</w:t>
      </w:r>
      <w:r>
        <w:rPr>
          <w:rFonts w:hint="eastAsia" w:ascii="仿宋_GB2312" w:eastAsia="仿宋_GB2312"/>
          <w:sz w:val="32"/>
          <w:szCs w:val="32"/>
        </w:rPr>
        <w:t>万元，包括办公费</w:t>
      </w:r>
      <w:r>
        <w:rPr>
          <w:rFonts w:hint="eastAsia" w:ascii="仿宋_GB2312" w:eastAsia="仿宋_GB2312"/>
          <w:sz w:val="32"/>
          <w:szCs w:val="32"/>
          <w:lang w:val="en-US" w:eastAsia="zh-CN"/>
        </w:rPr>
        <w:t>7.78</w:t>
      </w:r>
      <w:r>
        <w:rPr>
          <w:rFonts w:hint="eastAsia" w:ascii="仿宋_GB2312" w:eastAsia="仿宋_GB2312"/>
          <w:sz w:val="32"/>
          <w:szCs w:val="32"/>
        </w:rPr>
        <w:t>万元、印刷费0.25万元、差旅费2.5万元、办公用房水费25万元、办公用房电费120万元、办公用房取暖费</w:t>
      </w:r>
      <w:r>
        <w:rPr>
          <w:rFonts w:hint="eastAsia" w:ascii="仿宋_GB2312" w:eastAsia="仿宋_GB2312"/>
          <w:sz w:val="32"/>
          <w:szCs w:val="32"/>
          <w:lang w:val="en-US" w:eastAsia="zh-CN"/>
        </w:rPr>
        <w:t>181.06</w:t>
      </w:r>
      <w:r>
        <w:rPr>
          <w:rFonts w:hint="eastAsia" w:ascii="仿宋_GB2312" w:eastAsia="仿宋_GB2312"/>
          <w:sz w:val="32"/>
          <w:szCs w:val="32"/>
        </w:rPr>
        <w:t>万元、公务用车运行维护费</w:t>
      </w:r>
      <w:r>
        <w:rPr>
          <w:rFonts w:hint="eastAsia" w:ascii="仿宋_GB2312" w:eastAsia="仿宋_GB2312"/>
          <w:sz w:val="32"/>
          <w:szCs w:val="32"/>
          <w:lang w:val="en-US" w:eastAsia="zh-CN"/>
        </w:rPr>
        <w:t>2.5</w:t>
      </w:r>
      <w:r>
        <w:rPr>
          <w:rFonts w:hint="eastAsia" w:ascii="仿宋_GB2312" w:eastAsia="仿宋_GB2312"/>
          <w:sz w:val="32"/>
          <w:szCs w:val="32"/>
        </w:rPr>
        <w:t>万元、工会费</w:t>
      </w:r>
      <w:r>
        <w:rPr>
          <w:rFonts w:hint="eastAsia" w:ascii="仿宋_GB2312" w:eastAsia="仿宋_GB2312"/>
          <w:sz w:val="32"/>
          <w:szCs w:val="32"/>
          <w:lang w:val="en-US" w:eastAsia="zh-CN"/>
        </w:rPr>
        <w:t>6.53</w:t>
      </w:r>
      <w:r>
        <w:rPr>
          <w:rFonts w:hint="eastAsia" w:ascii="仿宋_GB2312" w:eastAsia="仿宋_GB2312"/>
          <w:sz w:val="32"/>
          <w:szCs w:val="32"/>
        </w:rPr>
        <w:t>万元、福利费</w:t>
      </w:r>
      <w:r>
        <w:rPr>
          <w:rFonts w:hint="eastAsia" w:ascii="仿宋_GB2312" w:eastAsia="仿宋_GB2312"/>
          <w:sz w:val="32"/>
          <w:szCs w:val="32"/>
          <w:lang w:val="en-US" w:eastAsia="zh-CN"/>
        </w:rPr>
        <w:t>3.9</w:t>
      </w:r>
      <w:r>
        <w:rPr>
          <w:rFonts w:hint="eastAsia" w:ascii="仿宋_GB2312" w:eastAsia="仿宋_GB2312"/>
          <w:sz w:val="32"/>
          <w:szCs w:val="32"/>
        </w:rPr>
        <w:t>万元、移动通讯补贴</w:t>
      </w:r>
      <w:r>
        <w:rPr>
          <w:rFonts w:hint="eastAsia" w:ascii="仿宋_GB2312" w:eastAsia="仿宋_GB2312"/>
          <w:sz w:val="32"/>
          <w:szCs w:val="32"/>
          <w:lang w:val="en-US" w:eastAsia="zh-CN"/>
        </w:rPr>
        <w:t>8.9</w:t>
      </w:r>
      <w:r>
        <w:rPr>
          <w:rFonts w:hint="eastAsia" w:ascii="仿宋_GB2312" w:eastAsia="仿宋_GB2312"/>
          <w:sz w:val="32"/>
          <w:szCs w:val="32"/>
        </w:rPr>
        <w:t>万元、交通补贴</w:t>
      </w:r>
      <w:r>
        <w:rPr>
          <w:rFonts w:hint="eastAsia" w:ascii="仿宋_GB2312" w:eastAsia="仿宋_GB2312"/>
          <w:sz w:val="32"/>
          <w:szCs w:val="32"/>
          <w:lang w:val="en-US" w:eastAsia="zh-CN"/>
        </w:rPr>
        <w:t>10.7</w:t>
      </w:r>
      <w:r>
        <w:rPr>
          <w:rFonts w:hint="eastAsia" w:ascii="仿宋_GB2312" w:eastAsia="仿宋_GB2312"/>
          <w:sz w:val="32"/>
          <w:szCs w:val="32"/>
        </w:rPr>
        <w:t>万元、公务接待费0.67万元、其他商品和服务支出0.6万元、离退休报刊费0.3万元、离退休福利费</w:t>
      </w:r>
      <w:r>
        <w:rPr>
          <w:rFonts w:hint="eastAsia" w:ascii="仿宋_GB2312" w:eastAsia="仿宋_GB2312"/>
          <w:sz w:val="32"/>
          <w:szCs w:val="32"/>
          <w:lang w:val="en-US" w:eastAsia="zh-CN"/>
        </w:rPr>
        <w:t>1.2</w:t>
      </w:r>
      <w:r>
        <w:rPr>
          <w:rFonts w:hint="eastAsia" w:ascii="仿宋_GB2312" w:eastAsia="仿宋_GB2312"/>
          <w:sz w:val="32"/>
          <w:szCs w:val="32"/>
        </w:rPr>
        <w:t>万元。</w:t>
      </w:r>
    </w:p>
    <w:p>
      <w:pPr>
        <w:spacing w:beforeLines="50" w:afterLines="50"/>
        <w:ind w:firstLine="640" w:firstLineChars="200"/>
        <w:jc w:val="left"/>
        <w:outlineLvl w:val="2"/>
        <w:rPr>
          <w:rFonts w:ascii="Times New Roman" w:hAnsi="宋体"/>
          <w:color w:val="FF0000"/>
          <w:sz w:val="32"/>
          <w:highlight w:val="none"/>
        </w:rPr>
      </w:pPr>
      <w:r>
        <w:rPr>
          <w:rFonts w:hint="eastAsia" w:ascii="黑体" w:hAnsi="黑体" w:eastAsia="黑体"/>
          <w:color w:val="000000" w:themeColor="text1"/>
          <w:sz w:val="32"/>
          <w:highlight w:val="none"/>
        </w:rPr>
        <w:t>四、财政拨款</w:t>
      </w:r>
      <w:r>
        <w:rPr>
          <w:rFonts w:hint="cs" w:ascii="黑体" w:hAnsi="黑体" w:eastAsia="黑体"/>
          <w:color w:val="000000" w:themeColor="text1"/>
          <w:sz w:val="32"/>
          <w:highlight w:val="none"/>
        </w:rPr>
        <w:t>“</w:t>
      </w:r>
      <w:r>
        <w:rPr>
          <w:rFonts w:hint="eastAsia" w:ascii="黑体" w:hAnsi="黑体" w:eastAsia="黑体"/>
          <w:color w:val="000000" w:themeColor="text1"/>
          <w:sz w:val="32"/>
          <w:highlight w:val="none"/>
        </w:rPr>
        <w:t>三公</w:t>
      </w:r>
      <w:r>
        <w:rPr>
          <w:rFonts w:hint="cs" w:ascii="黑体" w:hAnsi="黑体" w:eastAsia="黑体"/>
          <w:color w:val="000000" w:themeColor="text1"/>
          <w:sz w:val="32"/>
          <w:highlight w:val="none"/>
        </w:rPr>
        <w:t>”</w:t>
      </w:r>
      <w:r>
        <w:rPr>
          <w:rFonts w:hint="eastAsia" w:ascii="黑体" w:hAnsi="黑体" w:eastAsia="黑体"/>
          <w:color w:val="000000" w:themeColor="text1"/>
          <w:sz w:val="32"/>
          <w:highlight w:val="none"/>
        </w:rPr>
        <w:t>经费预算情况及增减变化原因</w:t>
      </w:r>
      <w:bookmarkEnd w:id="9"/>
    </w:p>
    <w:p>
      <w:pPr>
        <w:adjustRightInd w:val="0"/>
        <w:snapToGrid w:val="0"/>
        <w:spacing w:line="560" w:lineRule="exact"/>
        <w:ind w:firstLine="720" w:firstLineChars="225"/>
        <w:rPr>
          <w:rFonts w:hint="eastAsia" w:ascii="仿宋_GB2312" w:eastAsia="仿宋_GB2312"/>
          <w:sz w:val="32"/>
          <w:szCs w:val="32"/>
        </w:rPr>
      </w:pPr>
      <w:r>
        <w:rPr>
          <w:rFonts w:hint="eastAsia" w:ascii="仿宋_GB2312" w:eastAsia="仿宋_GB2312"/>
          <w:sz w:val="32"/>
          <w:szCs w:val="32"/>
        </w:rPr>
        <w:t>2021年，财政拨款“三公”经费预算安排</w:t>
      </w:r>
      <w:r>
        <w:rPr>
          <w:rFonts w:hint="eastAsia" w:ascii="仿宋_GB2312" w:eastAsia="仿宋_GB2312"/>
          <w:sz w:val="32"/>
          <w:szCs w:val="32"/>
          <w:lang w:val="en-US" w:eastAsia="zh-CN"/>
        </w:rPr>
        <w:t>3.17</w:t>
      </w:r>
      <w:r>
        <w:rPr>
          <w:rFonts w:hint="eastAsia" w:ascii="仿宋_GB2312" w:eastAsia="仿宋_GB2312"/>
          <w:sz w:val="32"/>
          <w:szCs w:val="32"/>
        </w:rPr>
        <w:t>万元，比2020年增加（减少）0万元</w:t>
      </w:r>
      <w:r>
        <w:rPr>
          <w:rFonts w:hint="eastAsia" w:ascii="仿宋_GB2312" w:eastAsia="仿宋_GB2312"/>
          <w:sz w:val="32"/>
          <w:szCs w:val="32"/>
          <w:lang w:eastAsia="zh-CN"/>
        </w:rPr>
        <w:t>，</w:t>
      </w:r>
      <w:r>
        <w:rPr>
          <w:rFonts w:hint="eastAsia" w:ascii="仿宋_GB2312" w:eastAsia="仿宋_GB2312"/>
          <w:sz w:val="32"/>
          <w:szCs w:val="32"/>
        </w:rPr>
        <w:t>无增减变化。其中：</w:t>
      </w:r>
      <w:r>
        <w:rPr>
          <w:rFonts w:hint="eastAsia" w:ascii="仿宋_GB2312" w:eastAsia="仿宋_GB2312" w:cs="Arial Unicode MS"/>
          <w:sz w:val="32"/>
          <w:szCs w:val="32"/>
          <w:lang w:bidi="ar-SA"/>
        </w:rPr>
        <w:t>①</w:t>
      </w:r>
      <w:r>
        <w:rPr>
          <w:rFonts w:hint="eastAsia" w:ascii="仿宋_GB2312" w:eastAsia="仿宋_GB2312"/>
          <w:sz w:val="32"/>
          <w:szCs w:val="32"/>
        </w:rPr>
        <w:t>因公出国（境）费0万元，比2020年增加（减少）0万元，无增减变化；</w:t>
      </w:r>
      <w:r>
        <w:rPr>
          <w:rFonts w:hint="eastAsia" w:ascii="仿宋_GB2312" w:eastAsia="仿宋_GB2312" w:cs="Arial Unicode MS"/>
          <w:sz w:val="32"/>
          <w:szCs w:val="32"/>
          <w:lang w:bidi="ar-SA"/>
        </w:rPr>
        <w:t>②</w:t>
      </w:r>
      <w:r>
        <w:rPr>
          <w:rFonts w:hint="eastAsia" w:ascii="仿宋_GB2312" w:eastAsia="仿宋_GB2312"/>
          <w:sz w:val="32"/>
          <w:szCs w:val="32"/>
        </w:rPr>
        <w:t>公务用车购置及运行费</w:t>
      </w:r>
      <w:r>
        <w:rPr>
          <w:rFonts w:hint="eastAsia" w:ascii="仿宋_GB2312" w:eastAsia="仿宋_GB2312"/>
          <w:sz w:val="32"/>
          <w:szCs w:val="32"/>
          <w:lang w:val="en-US" w:eastAsia="zh-CN"/>
        </w:rPr>
        <w:t>2.5</w:t>
      </w:r>
      <w:r>
        <w:rPr>
          <w:rFonts w:hint="eastAsia" w:ascii="仿宋_GB2312" w:eastAsia="仿宋_GB2312"/>
          <w:sz w:val="32"/>
          <w:szCs w:val="32"/>
        </w:rPr>
        <w:t>万元，其中：公务用车购置费为0万元，无增减变化；公务用车运行费5万元，无增减变化；</w:t>
      </w:r>
      <w:r>
        <w:rPr>
          <w:rFonts w:hint="eastAsia" w:ascii="仿宋_GB2312" w:eastAsia="仿宋_GB2312" w:cs="Arial Unicode MS"/>
          <w:sz w:val="32"/>
          <w:szCs w:val="32"/>
          <w:lang w:bidi="ar-SA"/>
        </w:rPr>
        <w:t>③</w:t>
      </w:r>
      <w:r>
        <w:rPr>
          <w:rFonts w:hint="eastAsia" w:ascii="仿宋_GB2312" w:eastAsia="仿宋_GB2312"/>
          <w:sz w:val="32"/>
          <w:szCs w:val="32"/>
        </w:rPr>
        <w:t>公务接待费0.67万元，无增减变化。</w:t>
      </w:r>
    </w:p>
    <w:p>
      <w:pPr>
        <w:spacing w:beforeLines="50" w:afterLines="50"/>
        <w:ind w:firstLine="640" w:firstLineChars="200"/>
        <w:jc w:val="left"/>
        <w:outlineLvl w:val="2"/>
        <w:rPr>
          <w:rFonts w:hint="eastAsia" w:ascii="仿宋_GB2312" w:eastAsia="仿宋_GB2312" w:cs="宋体"/>
          <w:sz w:val="32"/>
          <w:szCs w:val="32"/>
          <w:lang w:bidi="ar-SA"/>
        </w:rPr>
      </w:pPr>
      <w:bookmarkStart w:id="10" w:name="_Toc66435809"/>
      <w:r>
        <w:rPr>
          <w:rFonts w:hint="eastAsia" w:ascii="黑体" w:hAnsi="黑体" w:eastAsia="黑体"/>
          <w:color w:val="000000" w:themeColor="text1"/>
          <w:sz w:val="32"/>
        </w:rPr>
        <w:t>五、预算绩效信息</w:t>
      </w:r>
      <w:bookmarkEnd w:id="10"/>
    </w:p>
    <w:p>
      <w:pPr>
        <w:adjustRightInd w:val="0"/>
        <w:snapToGrid w:val="0"/>
        <w:spacing w:line="560" w:lineRule="exact"/>
        <w:ind w:firstLine="643" w:firstLineChars="200"/>
        <w:jc w:val="left"/>
        <w:rPr>
          <w:rFonts w:hint="eastAsia" w:ascii="仿宋_GB2312" w:eastAsia="仿宋_GB2312" w:cs="宋体"/>
          <w:b/>
          <w:bCs/>
          <w:sz w:val="32"/>
          <w:szCs w:val="32"/>
          <w:lang w:bidi="ar-SA"/>
        </w:rPr>
      </w:pPr>
      <w:r>
        <w:rPr>
          <w:rFonts w:hint="eastAsia" w:ascii="仿宋_GB2312" w:eastAsia="仿宋_GB2312" w:cs="宋体"/>
          <w:b/>
          <w:bCs/>
          <w:sz w:val="32"/>
          <w:szCs w:val="32"/>
          <w:lang w:bidi="ar-SA"/>
        </w:rPr>
        <w:t xml:space="preserve">第一部分 </w:t>
      </w:r>
      <w:r>
        <w:rPr>
          <w:rFonts w:hint="eastAsia" w:ascii="仿宋_GB2312" w:eastAsia="仿宋_GB2312" w:cs="宋体"/>
          <w:b/>
          <w:bCs/>
          <w:sz w:val="32"/>
          <w:szCs w:val="32"/>
          <w:lang w:eastAsia="zh-CN" w:bidi="ar-SA"/>
        </w:rPr>
        <w:t>单位</w:t>
      </w:r>
      <w:r>
        <w:rPr>
          <w:rFonts w:hint="eastAsia" w:ascii="仿宋_GB2312" w:eastAsia="仿宋_GB2312" w:cs="宋体"/>
          <w:b/>
          <w:bCs/>
          <w:sz w:val="32"/>
          <w:szCs w:val="32"/>
          <w:lang w:bidi="ar-SA"/>
        </w:rPr>
        <w:t>整体绩效目标</w:t>
      </w:r>
    </w:p>
    <w:p>
      <w:pPr>
        <w:numPr>
          <w:ilvl w:val="0"/>
          <w:numId w:val="3"/>
        </w:numPr>
        <w:adjustRightInd w:val="0"/>
        <w:snapToGrid w:val="0"/>
        <w:spacing w:line="560" w:lineRule="exact"/>
        <w:jc w:val="left"/>
        <w:rPr>
          <w:rFonts w:hint="eastAsia" w:ascii="仿宋_GB2312" w:eastAsia="仿宋_GB2312"/>
          <w:sz w:val="32"/>
          <w:szCs w:val="32"/>
        </w:rPr>
      </w:pPr>
      <w:r>
        <w:rPr>
          <w:rFonts w:hint="eastAsia" w:ascii="仿宋_GB2312" w:eastAsia="仿宋_GB2312"/>
          <w:sz w:val="32"/>
          <w:szCs w:val="32"/>
        </w:rPr>
        <w:t>总体绩效目标：</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1、文化艺术和旅游管理：文化发展环境健康向上，文化发展能力不断增强，文化艺术资源丰富，公共文化服务和文化艺术生产水平不断提高。学习旅游业各种政策法规，规范行政执法行为。完成我区唐津运河生态旅游度假景区提升及全域乡村游专项规划。全面掌握境内旅游资源，开发旅游产品，积极组织乡村旅游各类节庆活动。及时有效完成游客统计工作。规范市场秩序，保护旅游者合法权益。开展旅游政务宣传、形象宣传、网络宣传、活动宣传，投放旅游广告、组织重点旅游线路和旅游目的地的宣传推广，旅游宣传品的设计、制作。组织旅游行业从业人员培训，提高服务质量。加强讲解员队伍管理，保障政务接待工作圆满完成。指导国际、国内旅行社的审核申报工作，负责星级饭店评定、初审申报和复核工作，提高我区旅游业服务质量。</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2、文化宣传交流：提升文化交流档次和水平，不断增大我区文化产业产值，扩大我区文化影响力。</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3、文化保护：构建健全的文化保护体系，文化保护工作得到全面加强，优秀文化得到传承和发扬。</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4、文化政务管理：确保各项文化业务工作谋划到位、顺利开展。</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5、招商引资工作：通过外地考察招商、召开对外推介会等方式，大力宣传我区区位优势，力使更多投资商来丰南投资，落户丰南。</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6、项目建设：通过现场监督办公、实地踏查等方式，了解我区文化旅游体育产业项目的进展并及时追踪。</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7、文物保护：组织开展物质和非物质文化遗产保护工作。</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8、文化市场综合执法：在区委、区政府的正确领导下，文化市场综合执法局按照全局工作总体部署，以净化社会文化环境为目标，大力开展辖区文化、旅游行业的监管整治行动，促进了辖区文化行业安全稳定健康发展。</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9、党建工作：加强全系统党组织建设工作，充分发挥党组织的战斗堡垒作用和党员队伍的先锋模范作用。</w:t>
      </w:r>
    </w:p>
    <w:p>
      <w:pPr>
        <w:adjustRightInd w:val="0"/>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（二）分项绩效目标：</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cs="宋体"/>
          <w:sz w:val="32"/>
          <w:szCs w:val="32"/>
          <w:lang w:bidi="ar-SA"/>
        </w:rPr>
        <w:t>文化艺术和旅游管理</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cs="宋体"/>
          <w:sz w:val="32"/>
          <w:szCs w:val="32"/>
          <w:lang w:bidi="ar-SA"/>
        </w:rPr>
        <w:t>、公共文化服务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1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①</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根据《丰南区文化体育精品创作和体育竞技奖励办法》对全区文化精品实施奖励的个数占计划奖励总个数的比例超过</w:t>
      </w:r>
      <w:r>
        <w:rPr>
          <w:rFonts w:hint="eastAsia" w:ascii="仿宋_GB2312" w:eastAsia="仿宋_GB2312"/>
          <w:sz w:val="32"/>
          <w:szCs w:val="32"/>
        </w:rPr>
        <w:t>80%</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2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②</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根据《丰南区文广新局文化培训（产业）基地的认定办法》培育和认定的文化培训和产业基地数量超过</w:t>
      </w:r>
      <w:r>
        <w:rPr>
          <w:rFonts w:hint="eastAsia" w:ascii="仿宋_GB2312" w:eastAsia="仿宋_GB2312"/>
          <w:sz w:val="32"/>
          <w:szCs w:val="32"/>
        </w:rPr>
        <w:t>2</w:t>
      </w:r>
      <w:r>
        <w:rPr>
          <w:rFonts w:hint="eastAsia" w:ascii="仿宋_GB2312" w:eastAsia="仿宋_GB2312" w:cs="宋体"/>
          <w:sz w:val="32"/>
          <w:szCs w:val="32"/>
          <w:lang w:bidi="ar-SA"/>
        </w:rPr>
        <w:t>个；</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3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③</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建设省级公共文化服务示范区，实现公共图书馆、文化馆总分馆制和数字化建设，公共图书馆、文化馆、乡镇综合文化站等公共文化场馆免费开放率达到</w:t>
      </w:r>
      <w:r>
        <w:rPr>
          <w:rFonts w:hint="eastAsia" w:ascii="仿宋_GB2312" w:eastAsia="仿宋_GB2312"/>
          <w:sz w:val="32"/>
          <w:szCs w:val="32"/>
        </w:rPr>
        <w:t xml:space="preserve">100% </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4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④</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组织策划公共文化服务活动、各类主题活动及各类艺术院团、业余文艺队伍演出的数量（场次）超过</w:t>
      </w:r>
      <w:r>
        <w:rPr>
          <w:rFonts w:hint="eastAsia" w:ascii="仿宋_GB2312" w:eastAsia="仿宋_GB2312"/>
          <w:sz w:val="32"/>
          <w:szCs w:val="32"/>
        </w:rPr>
        <w:t>12</w:t>
      </w:r>
      <w:r>
        <w:rPr>
          <w:rFonts w:hint="eastAsia" w:ascii="仿宋_GB2312" w:eastAsia="仿宋_GB2312" w:cs="宋体"/>
          <w:sz w:val="32"/>
          <w:szCs w:val="32"/>
          <w:lang w:bidi="ar-SA"/>
        </w:rPr>
        <w:t>场；</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5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⑤</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确保乡镇文化活动水平不断提高，活动内容更加丰富多彩，指导先进文化进农村、进基层工作，组织实施文艺团体进基层演出，组织文化人才进乡镇、进基层搞好文化辅导工作，演出、辅导场次超过</w:t>
      </w:r>
      <w:r>
        <w:rPr>
          <w:rFonts w:hint="eastAsia" w:ascii="仿宋_GB2312" w:eastAsia="仿宋_GB2312"/>
          <w:sz w:val="32"/>
          <w:szCs w:val="32"/>
        </w:rPr>
        <w:t>50</w:t>
      </w:r>
      <w:r>
        <w:rPr>
          <w:rFonts w:hint="eastAsia" w:ascii="仿宋_GB2312" w:eastAsia="仿宋_GB2312" w:cs="宋体"/>
          <w:sz w:val="32"/>
          <w:szCs w:val="32"/>
          <w:lang w:bidi="ar-SA"/>
        </w:rPr>
        <w:t>场；</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6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⑥</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年度内送流动文化服务活动的实际场次数占计划场次数的比例</w:t>
      </w:r>
      <w:r>
        <w:rPr>
          <w:rFonts w:hint="eastAsia" w:ascii="仿宋_GB2312" w:eastAsia="仿宋_GB2312"/>
          <w:sz w:val="32"/>
          <w:szCs w:val="32"/>
        </w:rPr>
        <w:t>≥90%</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cs="宋体"/>
          <w:sz w:val="32"/>
          <w:szCs w:val="32"/>
          <w:lang w:bidi="ar-SA"/>
        </w:rPr>
        <w:t>、文化艺术资源建设</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管理、指导公共图书馆、文化馆等文化机构开展收藏、收集和保存工作；收藏、整理保管各类型资源文献、文化艺术作品和档案资料等；推广数字化建设和资源共享。</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收藏工作有序开展，收集品入藏情况达到</w:t>
      </w:r>
      <w:r>
        <w:rPr>
          <w:rFonts w:hint="eastAsia" w:ascii="仿宋_GB2312" w:eastAsia="仿宋_GB2312"/>
          <w:sz w:val="32"/>
          <w:szCs w:val="32"/>
        </w:rPr>
        <w:t>90%</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收藏及保管物品完好率超过</w:t>
      </w:r>
      <w:r>
        <w:rPr>
          <w:rFonts w:hint="eastAsia" w:ascii="仿宋_GB2312" w:eastAsia="仿宋_GB2312"/>
          <w:sz w:val="32"/>
          <w:szCs w:val="32"/>
        </w:rPr>
        <w:t>95%</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设施设备软硬件运行良好数量占总数量的</w:t>
      </w:r>
      <w:r>
        <w:rPr>
          <w:rFonts w:hint="eastAsia" w:ascii="仿宋_GB2312" w:eastAsia="仿宋_GB2312"/>
          <w:sz w:val="32"/>
          <w:szCs w:val="32"/>
        </w:rPr>
        <w:t>90%</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cs="宋体"/>
          <w:sz w:val="32"/>
          <w:szCs w:val="32"/>
          <w:lang w:bidi="ar-SA"/>
        </w:rPr>
        <w:t>、文化艺术生产</w:t>
      </w:r>
      <w:r>
        <w:rPr>
          <w:rFonts w:hint="eastAsia" w:ascii="仿宋_GB2312" w:eastAsia="仿宋_GB2312"/>
          <w:sz w:val="32"/>
          <w:szCs w:val="32"/>
        </w:rPr>
        <w:t xml:space="preserve">  </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美术、音乐、舞蹈、摄影、文学戏曲等各类原创文艺作品获得区级以上奖励的数量超过</w:t>
      </w:r>
      <w:r>
        <w:rPr>
          <w:rFonts w:hint="eastAsia" w:ascii="仿宋_GB2312" w:eastAsia="仿宋_GB2312"/>
          <w:sz w:val="32"/>
          <w:szCs w:val="32"/>
        </w:rPr>
        <w:t>10</w:t>
      </w:r>
      <w:r>
        <w:rPr>
          <w:rFonts w:hint="eastAsia" w:ascii="仿宋_GB2312" w:eastAsia="仿宋_GB2312" w:cs="宋体"/>
          <w:sz w:val="32"/>
          <w:szCs w:val="32"/>
          <w:lang w:bidi="ar-SA"/>
        </w:rPr>
        <w:t>件；</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cs="宋体"/>
          <w:sz w:val="32"/>
          <w:szCs w:val="32"/>
          <w:lang w:bidi="ar-SA"/>
        </w:rPr>
        <w:t>、旅游管理</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1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①</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积极组织政策法规学习</w:t>
      </w:r>
      <w:r>
        <w:rPr>
          <w:rFonts w:hint="eastAsia" w:ascii="仿宋_GB2312" w:eastAsia="仿宋_GB2312"/>
          <w:sz w:val="32"/>
          <w:szCs w:val="32"/>
        </w:rPr>
        <w:t>5</w:t>
      </w:r>
      <w:r>
        <w:rPr>
          <w:rFonts w:hint="eastAsia" w:ascii="仿宋_GB2312" w:eastAsia="仿宋_GB2312" w:cs="宋体"/>
          <w:sz w:val="32"/>
          <w:szCs w:val="32"/>
          <w:lang w:bidi="ar-SA"/>
        </w:rPr>
        <w:t>次以上；完成我区唐津运河生态旅游度假景区提升及全域乡村游专项规划；促进游客较上期增长达</w:t>
      </w:r>
      <w:r>
        <w:rPr>
          <w:rFonts w:hint="eastAsia" w:ascii="仿宋_GB2312" w:eastAsia="仿宋_GB2312"/>
          <w:sz w:val="32"/>
          <w:szCs w:val="32"/>
        </w:rPr>
        <w:t>3%</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2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②</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推动乡村旅游工作开展，积极组织节庆活动，年内培育</w:t>
      </w:r>
      <w:r>
        <w:rPr>
          <w:rFonts w:hint="eastAsia" w:ascii="仿宋_GB2312" w:eastAsia="仿宋_GB2312"/>
          <w:sz w:val="32"/>
          <w:szCs w:val="32"/>
        </w:rPr>
        <w:t>1-2</w:t>
      </w:r>
      <w:r>
        <w:rPr>
          <w:rFonts w:hint="eastAsia" w:ascii="仿宋_GB2312" w:eastAsia="仿宋_GB2312" w:cs="宋体"/>
          <w:sz w:val="32"/>
          <w:szCs w:val="32"/>
          <w:lang w:bidi="ar-SA"/>
        </w:rPr>
        <w:t>家休闲农业与乡村旅游示范点创建单位；年内创建至少</w:t>
      </w:r>
      <w:r>
        <w:rPr>
          <w:rFonts w:hint="eastAsia" w:ascii="仿宋_GB2312" w:eastAsia="仿宋_GB2312"/>
          <w:sz w:val="32"/>
          <w:szCs w:val="32"/>
        </w:rPr>
        <w:t>1</w:t>
      </w:r>
      <w:r>
        <w:rPr>
          <w:rFonts w:hint="eastAsia" w:ascii="仿宋_GB2312" w:eastAsia="仿宋_GB2312" w:cs="宋体"/>
          <w:sz w:val="32"/>
          <w:szCs w:val="32"/>
          <w:lang w:bidi="ar-SA"/>
        </w:rPr>
        <w:t>家乡村旅游示范点；游客增长率</w:t>
      </w:r>
      <w:r>
        <w:rPr>
          <w:rFonts w:hint="eastAsia" w:ascii="仿宋_GB2312" w:eastAsia="仿宋_GB2312"/>
          <w:sz w:val="32"/>
          <w:szCs w:val="32"/>
        </w:rPr>
        <w:t>3%</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3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③</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及时有效完成统计工作，做好旅游有关统计调查工作，健全完善我区旅游接待统计体系每月一汇总，节假日重点统计，统计覆盖面</w:t>
      </w:r>
      <w:r>
        <w:rPr>
          <w:rFonts w:hint="eastAsia" w:ascii="仿宋_GB2312" w:eastAsia="仿宋_GB2312"/>
          <w:sz w:val="32"/>
          <w:szCs w:val="32"/>
        </w:rPr>
        <w:t>100%</w:t>
      </w:r>
      <w:r>
        <w:rPr>
          <w:rFonts w:hint="eastAsia" w:ascii="仿宋_GB2312" w:eastAsia="仿宋_GB2312" w:cs="宋体"/>
          <w:sz w:val="32"/>
          <w:szCs w:val="32"/>
          <w:lang w:bidi="ar-SA"/>
        </w:rPr>
        <w:t>，统计完成情况</w:t>
      </w:r>
      <w:r>
        <w:rPr>
          <w:rFonts w:hint="eastAsia" w:ascii="仿宋_GB2312" w:eastAsia="仿宋_GB2312"/>
          <w:sz w:val="32"/>
          <w:szCs w:val="32"/>
        </w:rPr>
        <w:t>100%</w:t>
      </w:r>
      <w:r>
        <w:rPr>
          <w:rFonts w:hint="eastAsia" w:ascii="仿宋_GB2312" w:eastAsia="仿宋_GB2312" w:cs="宋体"/>
          <w:sz w:val="32"/>
          <w:szCs w:val="32"/>
          <w:lang w:bidi="ar-SA"/>
        </w:rPr>
        <w:t>，游客较上期增长情况</w:t>
      </w:r>
      <w:r>
        <w:rPr>
          <w:rFonts w:hint="eastAsia" w:ascii="仿宋_GB2312" w:eastAsia="仿宋_GB2312"/>
          <w:sz w:val="32"/>
          <w:szCs w:val="32"/>
        </w:rPr>
        <w:t>3%</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4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④</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管理全区旅游市场，行业执法完成率达</w:t>
      </w:r>
      <w:r>
        <w:rPr>
          <w:rFonts w:hint="eastAsia" w:ascii="仿宋_GB2312" w:eastAsia="仿宋_GB2312"/>
          <w:sz w:val="32"/>
          <w:szCs w:val="32"/>
        </w:rPr>
        <w:t xml:space="preserve"> 100%</w:t>
      </w:r>
      <w:r>
        <w:rPr>
          <w:rFonts w:hint="eastAsia" w:ascii="仿宋_GB2312" w:eastAsia="仿宋_GB2312" w:cs="宋体"/>
          <w:sz w:val="32"/>
          <w:szCs w:val="32"/>
          <w:lang w:bidi="ar-SA"/>
        </w:rPr>
        <w:t>，游客满意度达</w:t>
      </w:r>
      <w:r>
        <w:rPr>
          <w:rFonts w:hint="eastAsia" w:ascii="仿宋_GB2312" w:eastAsia="仿宋_GB2312"/>
          <w:sz w:val="32"/>
          <w:szCs w:val="32"/>
        </w:rPr>
        <w:t>85%</w:t>
      </w:r>
      <w:r>
        <w:rPr>
          <w:rFonts w:hint="eastAsia" w:ascii="仿宋_GB2312" w:eastAsia="仿宋_GB2312" w:cs="宋体"/>
          <w:sz w:val="32"/>
          <w:szCs w:val="32"/>
          <w:lang w:bidi="ar-SA"/>
        </w:rPr>
        <w:t>以上；游客较上期增长达</w:t>
      </w:r>
      <w:r>
        <w:rPr>
          <w:rFonts w:hint="eastAsia" w:ascii="仿宋_GB2312" w:eastAsia="仿宋_GB2312"/>
          <w:sz w:val="32"/>
          <w:szCs w:val="32"/>
        </w:rPr>
        <w:t>3%</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5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⑤</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开展旅游政务及形象宣传，组织宣传推介达到</w:t>
      </w:r>
      <w:r>
        <w:rPr>
          <w:rFonts w:hint="eastAsia" w:ascii="仿宋_GB2312" w:eastAsia="仿宋_GB2312"/>
          <w:sz w:val="32"/>
          <w:szCs w:val="32"/>
        </w:rPr>
        <w:t>5</w:t>
      </w:r>
      <w:r>
        <w:rPr>
          <w:rFonts w:hint="eastAsia" w:ascii="仿宋_GB2312" w:eastAsia="仿宋_GB2312" w:cs="宋体"/>
          <w:sz w:val="32"/>
          <w:szCs w:val="32"/>
          <w:lang w:bidi="ar-SA"/>
        </w:rPr>
        <w:t>次；设计制作完成至少</w:t>
      </w:r>
      <w:r>
        <w:rPr>
          <w:rFonts w:hint="eastAsia" w:ascii="仿宋_GB2312" w:eastAsia="仿宋_GB2312"/>
          <w:sz w:val="32"/>
          <w:szCs w:val="32"/>
        </w:rPr>
        <w:t>1</w:t>
      </w:r>
      <w:r>
        <w:rPr>
          <w:rFonts w:hint="eastAsia" w:ascii="仿宋_GB2312" w:eastAsia="仿宋_GB2312" w:cs="宋体"/>
          <w:sz w:val="32"/>
          <w:szCs w:val="32"/>
          <w:lang w:bidi="ar-SA"/>
        </w:rPr>
        <w:t>种宣传品；促使游客较上期增长达</w:t>
      </w:r>
      <w:r>
        <w:rPr>
          <w:rFonts w:hint="eastAsia" w:ascii="仿宋_GB2312" w:eastAsia="仿宋_GB2312"/>
          <w:sz w:val="32"/>
          <w:szCs w:val="32"/>
        </w:rPr>
        <w:t>3%</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6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⑥</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指导全区旅游行业培训次数达到</w:t>
      </w:r>
      <w:r>
        <w:rPr>
          <w:rFonts w:hint="eastAsia" w:ascii="仿宋_GB2312" w:eastAsia="仿宋_GB2312"/>
          <w:sz w:val="32"/>
          <w:szCs w:val="32"/>
        </w:rPr>
        <w:t>5</w:t>
      </w:r>
      <w:r>
        <w:rPr>
          <w:rFonts w:hint="eastAsia" w:ascii="仿宋_GB2312" w:eastAsia="仿宋_GB2312" w:cs="宋体"/>
          <w:sz w:val="32"/>
          <w:szCs w:val="32"/>
          <w:lang w:bidi="ar-SA"/>
        </w:rPr>
        <w:t>次，促使游客较上期增长</w:t>
      </w:r>
      <w:r>
        <w:rPr>
          <w:rFonts w:hint="eastAsia" w:ascii="仿宋_GB2312" w:eastAsia="仿宋_GB2312"/>
          <w:sz w:val="32"/>
          <w:szCs w:val="32"/>
        </w:rPr>
        <w:t>3%</w:t>
      </w:r>
      <w:r>
        <w:rPr>
          <w:rFonts w:hint="eastAsia" w:ascii="仿宋_GB2312" w:eastAsia="仿宋_GB2312" w:cs="宋体"/>
          <w:sz w:val="32"/>
          <w:szCs w:val="32"/>
          <w:lang w:bidi="ar-SA"/>
        </w:rPr>
        <w:t>；游客满意度达</w:t>
      </w:r>
      <w:r>
        <w:rPr>
          <w:rFonts w:hint="eastAsia" w:ascii="仿宋_GB2312" w:eastAsia="仿宋_GB2312"/>
          <w:sz w:val="32"/>
          <w:szCs w:val="32"/>
        </w:rPr>
        <w:t>85%</w:t>
      </w:r>
      <w:r>
        <w:rPr>
          <w:rFonts w:hint="eastAsia" w:ascii="仿宋_GB2312" w:eastAsia="仿宋_GB2312" w:cs="宋体"/>
          <w:sz w:val="32"/>
          <w:szCs w:val="32"/>
          <w:lang w:bidi="ar-SA"/>
        </w:rPr>
        <w:t>以上；</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7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⑦</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提高我区旅游业服务质量，星级饭店评定、初审申报和复核完成率达</w:t>
      </w:r>
      <w:r>
        <w:rPr>
          <w:rFonts w:hint="eastAsia" w:ascii="仿宋_GB2312" w:eastAsia="仿宋_GB2312"/>
          <w:sz w:val="32"/>
          <w:szCs w:val="32"/>
        </w:rPr>
        <w:t xml:space="preserve"> 100%</w:t>
      </w:r>
      <w:r>
        <w:rPr>
          <w:rFonts w:hint="eastAsia" w:ascii="仿宋_GB2312" w:eastAsia="仿宋_GB2312" w:cs="宋体"/>
          <w:sz w:val="32"/>
          <w:szCs w:val="32"/>
          <w:lang w:bidi="ar-SA"/>
        </w:rPr>
        <w:t>，促使游客较上期增长情况</w:t>
      </w:r>
      <w:r>
        <w:rPr>
          <w:rFonts w:hint="eastAsia" w:ascii="仿宋_GB2312" w:eastAsia="仿宋_GB2312"/>
          <w:sz w:val="32"/>
          <w:szCs w:val="32"/>
        </w:rPr>
        <w:t>3%</w:t>
      </w:r>
      <w:r>
        <w:rPr>
          <w:rFonts w:hint="eastAsia" w:ascii="仿宋_GB2312" w:eastAsia="仿宋_GB2312" w:cs="宋体"/>
          <w:sz w:val="32"/>
          <w:szCs w:val="32"/>
          <w:lang w:bidi="ar-SA"/>
        </w:rPr>
        <w:t>；游客满意度达</w:t>
      </w:r>
      <w:r>
        <w:rPr>
          <w:rFonts w:hint="eastAsia" w:ascii="仿宋_GB2312" w:eastAsia="仿宋_GB2312"/>
          <w:sz w:val="32"/>
          <w:szCs w:val="32"/>
        </w:rPr>
        <w:t>85%</w:t>
      </w:r>
      <w:r>
        <w:rPr>
          <w:rFonts w:hint="eastAsia" w:ascii="仿宋_GB2312" w:eastAsia="仿宋_GB2312" w:cs="宋体"/>
          <w:sz w:val="32"/>
          <w:szCs w:val="32"/>
          <w:lang w:bidi="ar-SA"/>
        </w:rPr>
        <w:t>以上；</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2.文化旅游宣传交流</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cs="宋体"/>
          <w:sz w:val="32"/>
          <w:szCs w:val="32"/>
          <w:lang w:bidi="ar-SA"/>
        </w:rPr>
        <w:t>、利用各类文化旅游交流平台开展的文化交流合作超过</w:t>
      </w:r>
      <w:r>
        <w:rPr>
          <w:rFonts w:hint="eastAsia" w:ascii="仿宋_GB2312" w:eastAsia="仿宋_GB2312"/>
          <w:sz w:val="32"/>
          <w:szCs w:val="32"/>
        </w:rPr>
        <w:t>5</w:t>
      </w:r>
      <w:r>
        <w:rPr>
          <w:rFonts w:hint="eastAsia" w:ascii="仿宋_GB2312" w:eastAsia="仿宋_GB2312" w:cs="宋体"/>
          <w:sz w:val="32"/>
          <w:szCs w:val="32"/>
          <w:lang w:bidi="ar-SA"/>
        </w:rPr>
        <w:t>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cs="宋体"/>
          <w:sz w:val="32"/>
          <w:szCs w:val="32"/>
          <w:lang w:bidi="ar-SA"/>
        </w:rPr>
        <w:t>、及时对区文化精品、文化旅游产品和翁、文化旅游项目进行综合宣传推介，申报率</w:t>
      </w:r>
      <w:r>
        <w:rPr>
          <w:rFonts w:hint="eastAsia" w:ascii="仿宋_GB2312" w:eastAsia="仿宋_GB2312"/>
          <w:sz w:val="32"/>
          <w:szCs w:val="32"/>
        </w:rPr>
        <w:t>≥80%</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cs="宋体"/>
          <w:sz w:val="32"/>
          <w:szCs w:val="32"/>
          <w:lang w:bidi="ar-SA"/>
        </w:rPr>
        <w:t>、推介和获奖项目媒体宣传率超过</w:t>
      </w:r>
      <w:r>
        <w:rPr>
          <w:rFonts w:hint="eastAsia" w:ascii="仿宋_GB2312" w:eastAsia="仿宋_GB2312"/>
          <w:sz w:val="32"/>
          <w:szCs w:val="32"/>
        </w:rPr>
        <w:t>80%</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3.文化保护</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健全各级非遗保护名录</w:t>
      </w:r>
      <w:r>
        <w:rPr>
          <w:rFonts w:hint="eastAsia" w:ascii="仿宋_GB2312" w:eastAsia="仿宋_GB2312"/>
          <w:sz w:val="32"/>
          <w:szCs w:val="32"/>
        </w:rPr>
        <w:t>3</w:t>
      </w:r>
      <w:r>
        <w:rPr>
          <w:rFonts w:hint="eastAsia" w:ascii="仿宋_GB2312" w:eastAsia="仿宋_GB2312" w:cs="宋体"/>
          <w:sz w:val="32"/>
          <w:szCs w:val="32"/>
          <w:lang w:bidi="ar-SA"/>
        </w:rPr>
        <w:t>个，展示和传承优秀非遗项目数量</w:t>
      </w:r>
      <w:r>
        <w:rPr>
          <w:rFonts w:hint="eastAsia" w:ascii="仿宋_GB2312" w:eastAsia="仿宋_GB2312"/>
          <w:sz w:val="32"/>
          <w:szCs w:val="32"/>
        </w:rPr>
        <w:t>5</w:t>
      </w:r>
      <w:r>
        <w:rPr>
          <w:rFonts w:hint="eastAsia" w:ascii="仿宋_GB2312" w:eastAsia="仿宋_GB2312" w:cs="宋体"/>
          <w:sz w:val="32"/>
          <w:szCs w:val="32"/>
          <w:lang w:bidi="ar-SA"/>
        </w:rPr>
        <w:t>个。</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4.文化政务管理</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确保各项业务工作谋划到位、顺利开展，综合业务管理工作完成率</w:t>
      </w:r>
      <w:r>
        <w:rPr>
          <w:rFonts w:hint="eastAsia" w:ascii="仿宋_GB2312" w:eastAsia="仿宋_GB2312"/>
          <w:sz w:val="32"/>
          <w:szCs w:val="32"/>
        </w:rPr>
        <w:t>100%</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5.体育发展</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1</w:t>
      </w:r>
      <w:r>
        <w:rPr>
          <w:rFonts w:hint="eastAsia" w:ascii="仿宋_GB2312" w:eastAsia="仿宋_GB2312" w:cs="宋体"/>
          <w:sz w:val="32"/>
          <w:szCs w:val="32"/>
          <w:lang w:bidi="ar-SA"/>
        </w:rPr>
        <w:t>）组织开展大型全民健身活动次数超过</w:t>
      </w:r>
      <w:r>
        <w:rPr>
          <w:rFonts w:hint="eastAsia" w:ascii="仿宋_GB2312" w:eastAsia="仿宋_GB2312"/>
          <w:sz w:val="32"/>
          <w:szCs w:val="32"/>
        </w:rPr>
        <w:t>10</w:t>
      </w:r>
      <w:r>
        <w:rPr>
          <w:rFonts w:hint="eastAsia" w:ascii="仿宋_GB2312" w:eastAsia="仿宋_GB2312" w:cs="宋体"/>
          <w:sz w:val="32"/>
          <w:szCs w:val="32"/>
          <w:lang w:bidi="ar-SA"/>
        </w:rPr>
        <w:t>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2</w:t>
      </w:r>
      <w:r>
        <w:rPr>
          <w:rFonts w:hint="eastAsia" w:ascii="仿宋_GB2312" w:eastAsia="仿宋_GB2312" w:cs="宋体"/>
          <w:sz w:val="32"/>
          <w:szCs w:val="32"/>
          <w:lang w:bidi="ar-SA"/>
        </w:rPr>
        <w:t>）当年全区全民健身活动数量超过</w:t>
      </w:r>
      <w:r>
        <w:rPr>
          <w:rFonts w:hint="eastAsia" w:ascii="仿宋_GB2312" w:eastAsia="仿宋_GB2312"/>
          <w:sz w:val="32"/>
          <w:szCs w:val="32"/>
        </w:rPr>
        <w:t>110</w:t>
      </w:r>
      <w:r>
        <w:rPr>
          <w:rFonts w:hint="eastAsia" w:ascii="仿宋_GB2312" w:eastAsia="仿宋_GB2312" w:cs="宋体"/>
          <w:sz w:val="32"/>
          <w:szCs w:val="32"/>
          <w:lang w:bidi="ar-SA"/>
        </w:rPr>
        <w:t>场次；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3</w:t>
      </w:r>
      <w:r>
        <w:rPr>
          <w:rFonts w:hint="eastAsia" w:ascii="仿宋_GB2312" w:eastAsia="仿宋_GB2312" w:cs="宋体"/>
          <w:sz w:val="32"/>
          <w:szCs w:val="32"/>
          <w:lang w:bidi="ar-SA"/>
        </w:rPr>
        <w:t>）当年培训各级社会体育指导员及体育骨干数量超过</w:t>
      </w:r>
      <w:r>
        <w:rPr>
          <w:rFonts w:hint="eastAsia" w:ascii="仿宋_GB2312" w:eastAsia="仿宋_GB2312"/>
          <w:sz w:val="32"/>
          <w:szCs w:val="32"/>
        </w:rPr>
        <w:t>50</w:t>
      </w:r>
      <w:r>
        <w:rPr>
          <w:rFonts w:hint="eastAsia" w:ascii="仿宋_GB2312" w:eastAsia="仿宋_GB2312" w:cs="宋体"/>
          <w:sz w:val="32"/>
          <w:szCs w:val="32"/>
          <w:lang w:bidi="ar-SA"/>
        </w:rPr>
        <w:t>人次；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4</w:t>
      </w:r>
      <w:r>
        <w:rPr>
          <w:rFonts w:hint="eastAsia" w:ascii="仿宋_GB2312" w:eastAsia="仿宋_GB2312" w:cs="宋体"/>
          <w:sz w:val="32"/>
          <w:szCs w:val="32"/>
          <w:lang w:bidi="ar-SA"/>
        </w:rPr>
        <w:t>）当年群众体育队伍数量超过</w:t>
      </w:r>
      <w:r>
        <w:rPr>
          <w:rFonts w:hint="eastAsia" w:ascii="仿宋_GB2312" w:eastAsia="仿宋_GB2312"/>
          <w:sz w:val="32"/>
          <w:szCs w:val="32"/>
        </w:rPr>
        <w:t>450</w:t>
      </w:r>
      <w:r>
        <w:rPr>
          <w:rFonts w:hint="eastAsia" w:ascii="仿宋_GB2312" w:eastAsia="仿宋_GB2312" w:cs="宋体"/>
          <w:sz w:val="32"/>
          <w:szCs w:val="32"/>
          <w:lang w:bidi="ar-SA"/>
        </w:rPr>
        <w:t>支；</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5</w:t>
      </w:r>
      <w:r>
        <w:rPr>
          <w:rFonts w:hint="eastAsia" w:ascii="仿宋_GB2312" w:eastAsia="仿宋_GB2312" w:cs="宋体"/>
          <w:sz w:val="32"/>
          <w:szCs w:val="32"/>
          <w:lang w:bidi="ar-SA"/>
        </w:rPr>
        <w:t>）当年下基层体育活动辅导次数超过</w:t>
      </w:r>
      <w:r>
        <w:rPr>
          <w:rFonts w:hint="eastAsia" w:ascii="仿宋_GB2312" w:eastAsia="仿宋_GB2312"/>
          <w:sz w:val="32"/>
          <w:szCs w:val="32"/>
        </w:rPr>
        <w:t>10</w:t>
      </w:r>
      <w:r>
        <w:rPr>
          <w:rFonts w:hint="eastAsia" w:ascii="仿宋_GB2312" w:eastAsia="仿宋_GB2312" w:cs="宋体"/>
          <w:sz w:val="32"/>
          <w:szCs w:val="32"/>
          <w:lang w:bidi="ar-SA"/>
        </w:rPr>
        <w:t>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6</w:t>
      </w:r>
      <w:r>
        <w:rPr>
          <w:rFonts w:hint="eastAsia" w:ascii="仿宋_GB2312" w:eastAsia="仿宋_GB2312" w:cs="宋体"/>
          <w:sz w:val="32"/>
          <w:szCs w:val="32"/>
          <w:lang w:bidi="ar-SA"/>
        </w:rPr>
        <w:t>）当年接受国民体质监测人数超过</w:t>
      </w:r>
      <w:r>
        <w:rPr>
          <w:rFonts w:hint="eastAsia" w:ascii="仿宋_GB2312" w:eastAsia="仿宋_GB2312"/>
          <w:sz w:val="32"/>
          <w:szCs w:val="32"/>
        </w:rPr>
        <w:t>300</w:t>
      </w:r>
      <w:r>
        <w:rPr>
          <w:rFonts w:hint="eastAsia" w:ascii="仿宋_GB2312" w:eastAsia="仿宋_GB2312" w:cs="宋体"/>
          <w:sz w:val="32"/>
          <w:szCs w:val="32"/>
          <w:lang w:bidi="ar-SA"/>
        </w:rPr>
        <w:t>人；</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7</w:t>
      </w:r>
      <w:r>
        <w:rPr>
          <w:rFonts w:hint="eastAsia" w:ascii="仿宋_GB2312" w:eastAsia="仿宋_GB2312" w:cs="宋体"/>
          <w:sz w:val="32"/>
          <w:szCs w:val="32"/>
          <w:lang w:bidi="ar-SA"/>
        </w:rPr>
        <w:t>）年度内直接参加大型全民健身活动的总人数较上年的增长超过</w:t>
      </w:r>
      <w:r>
        <w:rPr>
          <w:rFonts w:hint="eastAsia" w:ascii="仿宋_GB2312" w:eastAsia="仿宋_GB2312"/>
          <w:sz w:val="32"/>
          <w:szCs w:val="32"/>
        </w:rPr>
        <w:t>5%</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8</w:t>
      </w:r>
      <w:r>
        <w:rPr>
          <w:rFonts w:hint="eastAsia" w:ascii="仿宋_GB2312" w:eastAsia="仿宋_GB2312" w:cs="宋体"/>
          <w:sz w:val="32"/>
          <w:szCs w:val="32"/>
          <w:lang w:bidi="ar-SA"/>
        </w:rPr>
        <w:t>）当年群众体育活动现场观摩群众数量超过</w:t>
      </w:r>
      <w:r>
        <w:rPr>
          <w:rFonts w:hint="eastAsia" w:ascii="仿宋_GB2312" w:eastAsia="仿宋_GB2312"/>
          <w:sz w:val="32"/>
          <w:szCs w:val="32"/>
        </w:rPr>
        <w:t>3000</w:t>
      </w:r>
      <w:r>
        <w:rPr>
          <w:rFonts w:hint="eastAsia" w:ascii="仿宋_GB2312" w:eastAsia="仿宋_GB2312" w:cs="宋体"/>
          <w:sz w:val="32"/>
          <w:szCs w:val="32"/>
          <w:lang w:bidi="ar-SA"/>
        </w:rPr>
        <w:t>人次；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9</w:t>
      </w:r>
      <w:r>
        <w:rPr>
          <w:rFonts w:hint="eastAsia" w:ascii="仿宋_GB2312" w:eastAsia="仿宋_GB2312" w:cs="宋体"/>
          <w:sz w:val="32"/>
          <w:szCs w:val="32"/>
          <w:lang w:bidi="ar-SA"/>
        </w:rPr>
        <w:t>）组织举办单项体育运动比赛次数超过</w:t>
      </w:r>
      <w:r>
        <w:rPr>
          <w:rFonts w:hint="eastAsia" w:ascii="仿宋_GB2312" w:eastAsia="仿宋_GB2312"/>
          <w:sz w:val="32"/>
          <w:szCs w:val="32"/>
        </w:rPr>
        <w:t>4</w:t>
      </w:r>
      <w:r>
        <w:rPr>
          <w:rFonts w:hint="eastAsia" w:ascii="仿宋_GB2312" w:eastAsia="仿宋_GB2312" w:cs="宋体"/>
          <w:sz w:val="32"/>
          <w:szCs w:val="32"/>
          <w:lang w:bidi="ar-SA"/>
        </w:rPr>
        <w:t>场；</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10</w:t>
      </w:r>
      <w:r>
        <w:rPr>
          <w:rFonts w:hint="eastAsia" w:ascii="仿宋_GB2312" w:eastAsia="仿宋_GB2312" w:cs="宋体"/>
          <w:sz w:val="32"/>
          <w:szCs w:val="32"/>
          <w:lang w:bidi="ar-SA"/>
        </w:rPr>
        <w:t>）加快培养竞技体育人才，组织参加各项比赛活动获得全国、省、市比赛的成绩，省级前三名</w:t>
      </w:r>
      <w:r>
        <w:rPr>
          <w:rFonts w:hint="eastAsia" w:ascii="仿宋_GB2312" w:eastAsia="仿宋_GB2312"/>
          <w:sz w:val="32"/>
          <w:szCs w:val="32"/>
        </w:rPr>
        <w:t>1</w:t>
      </w:r>
      <w:r>
        <w:rPr>
          <w:rFonts w:hint="eastAsia" w:ascii="仿宋_GB2312" w:eastAsia="仿宋_GB2312" w:cs="宋体"/>
          <w:sz w:val="32"/>
          <w:szCs w:val="32"/>
          <w:lang w:bidi="ar-SA"/>
        </w:rPr>
        <w:t>次或市级前三名</w:t>
      </w:r>
      <w:r>
        <w:rPr>
          <w:rFonts w:hint="eastAsia" w:ascii="仿宋_GB2312" w:eastAsia="仿宋_GB2312"/>
          <w:sz w:val="32"/>
          <w:szCs w:val="32"/>
        </w:rPr>
        <w:t>2</w:t>
      </w:r>
      <w:r>
        <w:rPr>
          <w:rFonts w:hint="eastAsia" w:ascii="仿宋_GB2312" w:eastAsia="仿宋_GB2312" w:cs="宋体"/>
          <w:sz w:val="32"/>
          <w:szCs w:val="32"/>
          <w:lang w:bidi="ar-SA"/>
        </w:rPr>
        <w:t>次或区级前三名</w:t>
      </w:r>
      <w:r>
        <w:rPr>
          <w:rFonts w:hint="eastAsia" w:ascii="仿宋_GB2312" w:eastAsia="仿宋_GB2312"/>
          <w:sz w:val="32"/>
          <w:szCs w:val="32"/>
        </w:rPr>
        <w:t>5</w:t>
      </w:r>
      <w:r>
        <w:rPr>
          <w:rFonts w:hint="eastAsia" w:ascii="仿宋_GB2312" w:eastAsia="仿宋_GB2312" w:cs="宋体"/>
          <w:sz w:val="32"/>
          <w:szCs w:val="32"/>
          <w:lang w:bidi="ar-SA"/>
        </w:rPr>
        <w:t>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11</w:t>
      </w:r>
      <w:r>
        <w:rPr>
          <w:rFonts w:hint="eastAsia" w:ascii="仿宋_GB2312" w:eastAsia="仿宋_GB2312" w:cs="宋体"/>
          <w:sz w:val="32"/>
          <w:szCs w:val="32"/>
          <w:lang w:bidi="ar-SA"/>
        </w:rPr>
        <w:t>）加强体育设施建设，改善提高体育场馆设施、设备。</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6.招商引资工作</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文化体育旅游项目中的招商引资签约项目数量及客商意向数量增加；</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7.项目建设</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按要求积极推进旅游项目建设，并积极对外推介宣传。</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8.文物保护</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负责贯彻执行《中华人民共和国文物保护法》以及上级政府和主管</w:t>
      </w:r>
      <w:r>
        <w:rPr>
          <w:rFonts w:hint="eastAsia" w:ascii="仿宋_GB2312" w:eastAsia="仿宋_GB2312" w:cs="宋体"/>
          <w:sz w:val="32"/>
          <w:szCs w:val="32"/>
          <w:lang w:eastAsia="zh-CN" w:bidi="ar-SA"/>
        </w:rPr>
        <w:t>单位</w:t>
      </w:r>
      <w:r>
        <w:rPr>
          <w:rFonts w:hint="eastAsia" w:ascii="仿宋_GB2312" w:eastAsia="仿宋_GB2312" w:cs="宋体"/>
          <w:sz w:val="32"/>
          <w:szCs w:val="32"/>
          <w:lang w:bidi="ar-SA"/>
        </w:rPr>
        <w:t>政策、法规、规划、制度办法并监督实施，做好全区文物保护、管理、抢救、发掘工作。</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9.文化市场综合执法</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（1）、文化、体育市场监管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年度内对文化、体育行业经营单位的检查数占全区文化经营单位的比例达100%；查处文化、体育行业违规违法案件数占案件发生数的100%；</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（2）、出版、印刷、发行行业监管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年度内对出版物、印刷、发行行业经营单位的检查数占全区文化经营单位的比例100%；查处出版、印刷、发行行业违规违法案件数占案件发生数的100%；</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（3）、广播电影、电视行业监管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年度内对广播电影、电视行业经营单位的检查数占全区文化经营单位的100%；查处广播电影、电视行业违规违法案件数占案件发生数的100%</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（4）、“扫黄打非”工作</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年度内查处“扫黄打非”案件数占案件发生数的比例100%。</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（5）、安全生产监管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年度内安全经营单位占全区文化经营单位的比例达到100%。</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（6）、参加上级执法培训，并组织全区经营单位负责人安全生产及法律法规教育培训；组织安全生产及文化市场法律法规宣传。</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9.党建工作</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（1）、积极发展新党员；</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(2)、积极发展入党积极分子；</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(3)、积极开展的各项党建和精神文明建设活动；</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(4)、组织全系统党员理论学习。</w:t>
      </w:r>
    </w:p>
    <w:p>
      <w:pPr>
        <w:adjustRightInd w:val="0"/>
        <w:snapToGrid w:val="0"/>
        <w:spacing w:line="560" w:lineRule="exact"/>
        <w:ind w:firstLine="640" w:firstLineChars="200"/>
        <w:jc w:val="left"/>
        <w:outlineLvl w:val="0"/>
        <w:rPr>
          <w:rFonts w:hint="eastAsia" w:ascii="仿宋_GB2312" w:eastAsia="仿宋_GB2312"/>
          <w:sz w:val="32"/>
          <w:szCs w:val="32"/>
        </w:rPr>
      </w:pPr>
      <w:r>
        <w:rPr>
          <w:rFonts w:hint="eastAsia" w:ascii="仿宋_GB2312" w:eastAsia="仿宋_GB2312"/>
          <w:sz w:val="32"/>
          <w:szCs w:val="32"/>
        </w:rPr>
        <w:t>（三）工作保障措施：</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cs="宋体"/>
          <w:sz w:val="32"/>
          <w:szCs w:val="32"/>
          <w:lang w:bidi="ar-SA"/>
        </w:rPr>
        <w:t>、加强思想重视：</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高度重视，深入学习，统一思想，使全体员工充分认识到规划目标完成的重要性，在全局上下形成共识，为各项工作的顺利进展奠定思想基础；</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cs="宋体"/>
          <w:sz w:val="32"/>
          <w:szCs w:val="32"/>
          <w:lang w:bidi="ar-SA"/>
        </w:rPr>
        <w:t>、加强组织保障</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局机关和下属单位要成立绩效目标完成领导小组，小组负责制定绩效目标完成计划方案，负责绩效任务的工作分解和绩效目标完成的督导、考核工作，全力保障全局绩效目标的完成。</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cs="宋体"/>
          <w:sz w:val="32"/>
          <w:szCs w:val="32"/>
          <w:lang w:bidi="ar-SA"/>
        </w:rPr>
        <w:t>、加强制度实施：</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统筹进度安排，按照绩效目标明确的任务，各</w:t>
      </w:r>
      <w:r>
        <w:rPr>
          <w:rFonts w:hint="eastAsia" w:ascii="仿宋_GB2312" w:eastAsia="仿宋_GB2312" w:cs="宋体"/>
          <w:sz w:val="32"/>
          <w:szCs w:val="32"/>
          <w:lang w:eastAsia="zh-CN" w:bidi="ar-SA"/>
        </w:rPr>
        <w:t>单位</w:t>
      </w:r>
      <w:r>
        <w:rPr>
          <w:rFonts w:hint="eastAsia" w:ascii="仿宋_GB2312" w:eastAsia="仿宋_GB2312" w:cs="宋体"/>
          <w:sz w:val="32"/>
          <w:szCs w:val="32"/>
          <w:lang w:bidi="ar-SA"/>
        </w:rPr>
        <w:t>科室和下属单位制定详细的年度工作计划，责任到人，对各阶段的巩固总任务进行合理分解，按照时间节点保障完成；</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cs="宋体"/>
          <w:sz w:val="32"/>
          <w:szCs w:val="32"/>
          <w:lang w:bidi="ar-SA"/>
        </w:rPr>
        <w:t>、加强评价机制：</w:t>
      </w:r>
    </w:p>
    <w:p>
      <w:pPr>
        <w:spacing w:line="500" w:lineRule="exact"/>
        <w:ind w:firstLine="640" w:firstLineChars="200"/>
        <w:jc w:val="left"/>
        <w:rPr>
          <w:rFonts w:hint="eastAsia" w:ascii="仿宋_GB2312" w:eastAsia="仿宋_GB2312" w:cs="宋体"/>
          <w:sz w:val="32"/>
          <w:szCs w:val="32"/>
          <w:lang w:bidi="ar-SA"/>
        </w:rPr>
      </w:pPr>
      <w:r>
        <w:rPr>
          <w:rFonts w:hint="eastAsia" w:ascii="仿宋_GB2312" w:eastAsia="仿宋_GB2312" w:cs="宋体"/>
          <w:sz w:val="32"/>
          <w:szCs w:val="32"/>
          <w:lang w:bidi="ar-SA"/>
        </w:rPr>
        <w:t>建立完善干部管理和业务管理机制，把绩效考核和人员考核挂钩，根据人员分工，按照工作完成情况做好阶段评估和干部考核，确保高质量完成各项目标任务。</w:t>
      </w:r>
    </w:p>
    <w:p>
      <w:pPr>
        <w:spacing w:line="500" w:lineRule="exact"/>
        <w:ind w:firstLine="640" w:firstLineChars="200"/>
        <w:jc w:val="left"/>
        <w:rPr>
          <w:rFonts w:hint="eastAsia" w:ascii="仿宋_GB2312" w:eastAsia="仿宋_GB2312" w:cs="宋体"/>
          <w:sz w:val="32"/>
          <w:szCs w:val="32"/>
          <w:lang w:bidi="ar-SA"/>
        </w:rPr>
      </w:pPr>
    </w:p>
    <w:p>
      <w:pPr>
        <w:spacing w:line="500" w:lineRule="exact"/>
        <w:ind w:firstLine="640" w:firstLineChars="200"/>
        <w:jc w:val="left"/>
        <w:rPr>
          <w:rFonts w:hint="eastAsia" w:ascii="仿宋_GB2312" w:eastAsia="仿宋_GB2312" w:cs="宋体"/>
          <w:sz w:val="32"/>
          <w:szCs w:val="32"/>
          <w:lang w:bidi="ar-SA"/>
        </w:rPr>
      </w:pPr>
    </w:p>
    <w:p>
      <w:pPr>
        <w:spacing w:line="500" w:lineRule="exact"/>
        <w:ind w:firstLine="640" w:firstLineChars="200"/>
        <w:jc w:val="left"/>
        <w:rPr>
          <w:rFonts w:hint="eastAsia" w:ascii="仿宋_GB2312" w:eastAsia="仿宋_GB2312" w:cs="宋体"/>
          <w:sz w:val="32"/>
          <w:szCs w:val="32"/>
          <w:lang w:bidi="ar-SA"/>
        </w:rPr>
      </w:pPr>
    </w:p>
    <w:p>
      <w:pPr>
        <w:spacing w:line="500" w:lineRule="exact"/>
        <w:ind w:firstLine="640" w:firstLineChars="200"/>
        <w:jc w:val="left"/>
        <w:rPr>
          <w:rFonts w:hint="eastAsia" w:ascii="仿宋_GB2312" w:eastAsia="仿宋_GB2312" w:cs="宋体"/>
          <w:sz w:val="32"/>
          <w:szCs w:val="32"/>
          <w:lang w:bidi="ar-SA"/>
        </w:rPr>
      </w:pPr>
    </w:p>
    <w:p>
      <w:pPr>
        <w:spacing w:line="500" w:lineRule="exact"/>
        <w:ind w:left="0"/>
        <w:jc w:val="left"/>
        <w:rPr>
          <w:rFonts w:hint="eastAsia" w:ascii="仿宋_GB2312" w:eastAsia="仿宋_GB2312"/>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adjustRightInd w:val="0"/>
        <w:snapToGrid w:val="0"/>
        <w:spacing w:line="560" w:lineRule="exact"/>
        <w:ind w:firstLine="640" w:firstLineChars="200"/>
        <w:jc w:val="left"/>
        <w:outlineLvl w:val="0"/>
        <w:rPr>
          <w:rFonts w:hint="eastAsia" w:ascii="仿宋_GB2312" w:eastAsia="仿宋_GB2312"/>
          <w:sz w:val="32"/>
          <w:szCs w:val="32"/>
        </w:rPr>
      </w:pPr>
    </w:p>
    <w:p>
      <w:pPr>
        <w:adjustRightInd w:val="0"/>
        <w:snapToGrid w:val="0"/>
        <w:spacing w:line="560" w:lineRule="exact"/>
        <w:ind w:firstLine="640" w:firstLineChars="200"/>
        <w:jc w:val="left"/>
        <w:outlineLvl w:val="0"/>
        <w:rPr>
          <w:rFonts w:hint="eastAsia" w:ascii="仿宋_GB2312" w:eastAsia="仿宋_GB2312"/>
          <w:sz w:val="32"/>
          <w:szCs w:val="32"/>
        </w:rPr>
      </w:pPr>
    </w:p>
    <w:p>
      <w:pPr>
        <w:adjustRightInd w:val="0"/>
        <w:snapToGrid w:val="0"/>
        <w:spacing w:line="560" w:lineRule="exact"/>
        <w:ind w:firstLine="640" w:firstLineChars="200"/>
        <w:jc w:val="left"/>
        <w:outlineLvl w:val="0"/>
        <w:rPr>
          <w:rFonts w:hint="eastAsia" w:ascii="仿宋_GB2312" w:eastAsia="仿宋_GB2312"/>
          <w:sz w:val="32"/>
          <w:szCs w:val="32"/>
        </w:rPr>
      </w:pPr>
    </w:p>
    <w:p>
      <w:pPr>
        <w:adjustRightInd w:val="0"/>
        <w:snapToGrid w:val="0"/>
        <w:spacing w:line="560" w:lineRule="exact"/>
        <w:ind w:firstLine="643" w:firstLineChars="200"/>
        <w:jc w:val="left"/>
        <w:outlineLvl w:val="0"/>
        <w:rPr>
          <w:rFonts w:hint="eastAsia" w:ascii="仿宋_GB2312" w:eastAsia="仿宋_GB2312"/>
          <w:b/>
          <w:bCs/>
          <w:color w:val="FF0000"/>
          <w:sz w:val="32"/>
          <w:szCs w:val="32"/>
        </w:rPr>
      </w:pPr>
      <w:r>
        <w:rPr>
          <w:rFonts w:hint="eastAsia" w:ascii="仿宋_GB2312" w:eastAsia="仿宋_GB2312"/>
          <w:b/>
          <w:bCs/>
          <w:sz w:val="32"/>
          <w:szCs w:val="32"/>
        </w:rPr>
        <w:t>第二部分 专项资金绩效目标</w:t>
      </w:r>
      <w:bookmarkStart w:id="11" w:name="_Toc65801417"/>
    </w:p>
    <w:p>
      <w:pPr>
        <w:spacing w:line="360" w:lineRule="exact"/>
        <w:ind w:firstLine="640" w:firstLineChars="200"/>
        <w:jc w:val="left"/>
        <w:rPr>
          <w:rFonts w:hint="eastAsia" w:ascii="仿宋_GB2312" w:eastAsia="仿宋_GB2312"/>
          <w:sz w:val="32"/>
          <w:szCs w:val="32"/>
        </w:rPr>
      </w:pPr>
      <w:r>
        <w:rPr>
          <w:rFonts w:hint="eastAsia" w:ascii="仿宋_GB2312" w:eastAsia="仿宋_GB2312"/>
          <w:sz w:val="32"/>
          <w:szCs w:val="32"/>
        </w:rPr>
        <w:t>1.提前下达2021年省级非物质文化遗产保护专项资金（唐财教[2020]116号）（专项资金）绩效目标表</w:t>
      </w:r>
      <w:bookmarkEnd w:id="11"/>
      <w:r>
        <w:rPr>
          <w:rFonts w:hint="eastAsia" w:ascii="仿宋_GB2312" w:eastAsia="仿宋_GB2312"/>
          <w:sz w:val="32"/>
          <w:szCs w:val="32"/>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绩效目标</w:t>
            </w:r>
          </w:p>
        </w:tc>
        <w:tc>
          <w:tcPr>
            <w:tcW w:w="8278" w:type="dxa"/>
            <w:tcBorders>
              <w:bottom w:val="nil"/>
            </w:tcBorders>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1.及时拨付孙氏银器制作技艺传承人传习活动补助经费，保护省级非物质文化遗产</w:t>
            </w:r>
          </w:p>
          <w:p>
            <w:pPr>
              <w:spacing w:line="300" w:lineRule="exact"/>
              <w:jc w:val="center"/>
              <w:rPr>
                <w:rFonts w:hint="eastAsia" w:ascii="方正书宋_GBK" w:eastAsia="方正书宋_GBK"/>
              </w:rPr>
            </w:pPr>
            <w:r>
              <w:rPr>
                <w:rFonts w:hint="eastAsia" w:ascii="方正书宋_GBK" w:eastAsia="方正书宋_GBK"/>
              </w:rPr>
              <w:t>2.促进我区非物质文化遗产工作顺利开展。</w:t>
            </w:r>
          </w:p>
        </w:tc>
      </w:tr>
    </w:tbl>
    <w:p>
      <w:pPr>
        <w:spacing w:line="300" w:lineRule="exact"/>
        <w:jc w:val="center"/>
        <w:rPr>
          <w:rFonts w:hint="eastAsia" w:ascii="方正书宋_GBK" w:eastAsia="方正书宋_GBK"/>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一级指标</w:t>
            </w: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二级指标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三级指标</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绩效指标描述</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指标值</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补助金发放率(%)</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实际发放的补助金金额占计划发放金额的比率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100%</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 xml:space="preserve"> 非遗传承展示推广活动受众人数</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非遗传承、展示、推广活动受众人数</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受众人数较上年增长明显提高</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受众人数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工作按时完成率</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工作按时完成率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非遗产品价值较上年增长情况</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非遗产品价值较上年增长情况</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较上一年度增加</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产品经济价值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非遗项目传承发展情况</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非遗项目传承发展情况</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发展情况良好</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非遗传承名录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社会参与非遗保护与传承渠道</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社会参与非遗保护与传承渠道</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较上一年度增加</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受益对象满意度(%)</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center"/>
              <w:rPr>
                <w:rFonts w:hint="eastAsia" w:ascii="方正书宋_GBK" w:eastAsia="方正书宋_GBK"/>
              </w:rPr>
            </w:pPr>
          </w:p>
        </w:tc>
      </w:tr>
    </w:tbl>
    <w:p>
      <w:pPr>
        <w:spacing w:line="300" w:lineRule="exact"/>
        <w:jc w:val="center"/>
        <w:rPr>
          <w:rFonts w:hint="eastAsia" w:ascii="仿宋_GB2312" w:eastAsia="仿宋_GB2312"/>
          <w:sz w:val="32"/>
          <w:szCs w:val="32"/>
        </w:rPr>
        <w:sectPr>
          <w:footerReference r:id="rId7" w:type="default"/>
          <w:pgSz w:w="11907" w:h="16839"/>
          <w:pgMar w:top="1984" w:right="1304" w:bottom="1134" w:left="1304" w:header="851" w:footer="992" w:gutter="0"/>
          <w:cols w:space="720" w:num="1"/>
          <w:docGrid w:type="lines" w:linePitch="312" w:charSpace="0"/>
        </w:sectPr>
      </w:pPr>
    </w:p>
    <w:p>
      <w:pPr>
        <w:ind w:firstLine="640" w:firstLineChars="200"/>
        <w:jc w:val="left"/>
        <w:outlineLvl w:val="3"/>
        <w:rPr>
          <w:rFonts w:hint="eastAsia" w:ascii="仿宋_GB2312" w:eastAsia="仿宋_GB2312"/>
          <w:sz w:val="32"/>
          <w:szCs w:val="32"/>
        </w:rPr>
      </w:pPr>
      <w:bookmarkStart w:id="12" w:name="_Toc65801432"/>
      <w:r>
        <w:rPr>
          <w:rFonts w:hint="eastAsia" w:ascii="仿宋_GB2312" w:eastAsia="仿宋_GB2312"/>
          <w:sz w:val="32"/>
          <w:szCs w:val="32"/>
        </w:rPr>
        <w:t>2.提前下达2021年中央补助地方美术馆 公共图书馆 文化馆(站)免费开放补助资金(唐财教[2020]96号)（专项资金）绩效目标表</w:t>
      </w:r>
      <w:bookmarkEnd w:id="12"/>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1.通过拨付文化站免费开放专项资金，提供更加完善的活动场所</w:t>
            </w:r>
          </w:p>
          <w:p>
            <w:pPr>
              <w:spacing w:line="300" w:lineRule="exact"/>
              <w:jc w:val="left"/>
              <w:rPr>
                <w:rFonts w:hint="eastAsia" w:ascii="方正书宋_GBK" w:eastAsia="方正书宋_GBK"/>
              </w:rPr>
            </w:pPr>
            <w:r>
              <w:rPr>
                <w:rFonts w:hint="eastAsia" w:ascii="方正书宋_GBK" w:eastAsia="方正书宋_GBK"/>
              </w:rPr>
              <w:t>2.丰富基层群众文化生活</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公共文化服务活动数量（项）</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各类公共文化服务活动组织开展的数量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≥3项</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群众参与人次较上年增长率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群众参与人次较上年增长情况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参与人次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公共文化服务设施提升程度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公共文化服务设施水平提升情况</w:t>
            </w:r>
          </w:p>
          <w:p>
            <w:pPr>
              <w:spacing w:line="300" w:lineRule="exact"/>
              <w:jc w:val="left"/>
              <w:rPr>
                <w:rFonts w:hint="eastAsia" w:ascii="方正书宋_GBK" w:eastAsia="方正书宋_GBK"/>
              </w:rPr>
            </w:pP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逐年提升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公共文化服务设施提升情况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工作按时完成率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工作按时完成率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基本公共文化服务提升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基本公共文化服务水平提升情况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稳步提升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国民综合文化服务率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文化站国民综合文化服务率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服务总人数占服务区域人口的比率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免费开放文化场馆（站）正常运转</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免费开放文化场馆（站）正常运转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正常开放情况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ind w:firstLine="640" w:firstLineChars="200"/>
        <w:jc w:val="left"/>
        <w:outlineLvl w:val="3"/>
        <w:rPr>
          <w:rFonts w:hint="eastAsia" w:ascii="仿宋_GB2312" w:eastAsia="仿宋_GB2312"/>
          <w:sz w:val="32"/>
          <w:szCs w:val="32"/>
        </w:rPr>
      </w:pPr>
      <w:bookmarkStart w:id="13" w:name="_Toc65801435"/>
      <w:r>
        <w:rPr>
          <w:rFonts w:hint="eastAsia" w:ascii="仿宋_GB2312" w:eastAsia="仿宋_GB2312"/>
          <w:sz w:val="32"/>
          <w:szCs w:val="32"/>
        </w:rPr>
        <w:t>3.提前下达2021年省级“三馆一站”免费开放补助资金（唐财教[2020]118号）（专项资金）绩效目标表</w:t>
      </w:r>
      <w:bookmarkEnd w:id="13"/>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1.通过拨付文化站免费开放专项资金，提供更加完善的活动场所</w:t>
            </w:r>
          </w:p>
          <w:p>
            <w:pPr>
              <w:spacing w:line="300" w:lineRule="exact"/>
              <w:jc w:val="left"/>
              <w:rPr>
                <w:rFonts w:hint="eastAsia" w:ascii="方正书宋_GBK" w:eastAsia="方正书宋_GBK"/>
              </w:rPr>
            </w:pPr>
            <w:r>
              <w:rPr>
                <w:rFonts w:hint="eastAsia" w:ascii="方正书宋_GBK" w:eastAsia="方正书宋_GBK"/>
              </w:rPr>
              <w:t>2.丰富基层群众文化生活</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公共文化服务活动数量（项）</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各类公共文化服务活动组织开展的数量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≥3项</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群众参与人次较上年增长率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群众参与人次较上年增长情况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参与人次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公共文化服务设施提升程度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公共文化服务设施水平提升情况</w:t>
            </w:r>
          </w:p>
          <w:p>
            <w:pPr>
              <w:spacing w:line="300" w:lineRule="exact"/>
              <w:jc w:val="left"/>
              <w:rPr>
                <w:rFonts w:hint="eastAsia" w:ascii="方正书宋_GBK" w:eastAsia="方正书宋_GBK"/>
              </w:rPr>
            </w:pP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逐年提升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公共文化服务设施提升情况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工作按时完成率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工作按时完成率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基本公共文化服务提升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基本公共文化服务水平提升情况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稳步提升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国民综合文化服务率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文化站国民综合文化服务率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服务总人数占服务区域人口的比率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免费开放文化场馆（站）正常运转</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免费开放文化场馆（站）正常运转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正常开放情况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920"/>
        <w:jc w:val="left"/>
        <w:outlineLvl w:val="0"/>
        <w:rPr>
          <w:rFonts w:hint="eastAsia" w:ascii="仿宋_GB2312" w:eastAsia="仿宋_GB2312"/>
          <w:sz w:val="32"/>
          <w:szCs w:val="32"/>
        </w:rPr>
      </w:pPr>
      <w:r>
        <w:rPr>
          <w:rFonts w:hint="eastAsia" w:ascii="仿宋_GB2312" w:eastAsia="仿宋_GB2312"/>
          <w:sz w:val="32"/>
          <w:szCs w:val="32"/>
        </w:rPr>
        <w:t>第三部分 预算项目绩效目标</w:t>
      </w:r>
    </w:p>
    <w:p>
      <w:pPr>
        <w:adjustRightInd w:val="0"/>
        <w:snapToGrid w:val="0"/>
        <w:spacing w:line="560" w:lineRule="exact"/>
        <w:ind w:left="920"/>
        <w:jc w:val="left"/>
        <w:outlineLvl w:val="0"/>
        <w:rPr>
          <w:rFonts w:hint="eastAsia" w:ascii="仿宋_GB2312" w:eastAsia="仿宋_GB2312"/>
          <w:sz w:val="32"/>
          <w:szCs w:val="32"/>
        </w:rPr>
      </w:pPr>
      <w:r>
        <w:rPr>
          <w:rFonts w:hint="eastAsia" w:ascii="仿宋_GB2312" w:eastAsia="仿宋_GB2312"/>
          <w:color w:val="000000"/>
          <w:sz w:val="32"/>
          <w:szCs w:val="32"/>
        </w:rPr>
        <w:t>1.</w:t>
      </w:r>
      <w:r>
        <w:rPr>
          <w:rFonts w:hint="eastAsia" w:ascii="仿宋_GB2312" w:eastAsia="仿宋_GB2312"/>
          <w:sz w:val="32"/>
          <w:szCs w:val="32"/>
        </w:rPr>
        <w:t>文旅宣传推介及项目招商相关费用（项目）绩效目标表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绩效目标</w:t>
            </w:r>
          </w:p>
        </w:tc>
        <w:tc>
          <w:tcPr>
            <w:tcW w:w="8278" w:type="dxa"/>
            <w:tcBorders>
              <w:bottom w:val="nil"/>
            </w:tcBorders>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1.为增强我区旅游产业竞争力和影响力，打造丰南旅游品牌。</w:t>
            </w:r>
          </w:p>
          <w:p>
            <w:pPr>
              <w:spacing w:line="300" w:lineRule="exact"/>
              <w:jc w:val="center"/>
              <w:rPr>
                <w:rFonts w:hint="eastAsia" w:ascii="方正书宋_GBK" w:eastAsia="方正书宋_GBK"/>
              </w:rPr>
            </w:pPr>
            <w:r>
              <w:rPr>
                <w:rFonts w:hint="eastAsia" w:ascii="方正书宋_GBK" w:eastAsia="方正书宋_GBK"/>
              </w:rPr>
              <w:t>2.保障我区文旅项目宣传推介及招商顺利进行。</w:t>
            </w:r>
          </w:p>
        </w:tc>
      </w:tr>
    </w:tbl>
    <w:p>
      <w:pPr>
        <w:spacing w:line="300" w:lineRule="exact"/>
        <w:jc w:val="center"/>
        <w:rPr>
          <w:rFonts w:hint="eastAsia" w:ascii="方正书宋_GBK" w:eastAsia="方正书宋_GBK"/>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一级指标</w:t>
            </w: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二级指标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三级指标</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绩效指标描述</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指标值</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制作宣传品数量（份）</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制作宣传品的数量</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≥2000份</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宣传品数量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开展宣传方式的品种或数量</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反映开展对外宣传形式的多样性</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≥3种</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宣传品种类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我区旅游产品、产业发展情况</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我区旅游产业发展情况</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旅游产业发展良好</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旅游产业收入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旅游产业对国民经济发展的贡献率</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反映旅游产业对经济发展的拉动作用</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≥0.5%</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旅游产业产值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宣传旅游事业发展的促进推动作用</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通过宣传，带动全区旅游事业发展的效果</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极大的促进了旅游产业发展</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旅游产业发展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能够长期较好地开展旅游宣传</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长期较好地开展旅游宣传</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旅游宣传次数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群众满意数量占总数的比例</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调查问卷</w:t>
            </w:r>
          </w:p>
        </w:tc>
      </w:tr>
    </w:tbl>
    <w:p>
      <w:pPr>
        <w:spacing w:line="300" w:lineRule="exact"/>
        <w:jc w:val="center"/>
        <w:rPr>
          <w:rFonts w:hint="eastAsia" w:ascii="仿宋_GB2312" w:eastAsia="仿宋_GB2312"/>
          <w:sz w:val="32"/>
          <w:szCs w:val="32"/>
        </w:rPr>
      </w:pPr>
    </w:p>
    <w:p>
      <w:pPr>
        <w:spacing w:line="300" w:lineRule="exact"/>
        <w:jc w:val="center"/>
        <w:rPr>
          <w:rFonts w:hint="eastAsia" w:ascii="仿宋_GB2312" w:eastAsia="仿宋_GB2312"/>
          <w:sz w:val="32"/>
          <w:szCs w:val="32"/>
        </w:rPr>
      </w:pPr>
    </w:p>
    <w:p>
      <w:pPr>
        <w:spacing w:line="300" w:lineRule="exact"/>
        <w:jc w:val="center"/>
        <w:rPr>
          <w:rFonts w:hint="eastAsia" w:ascii="仿宋_GB2312" w:eastAsia="仿宋_GB2312"/>
          <w:sz w:val="32"/>
          <w:szCs w:val="32"/>
        </w:rPr>
      </w:pPr>
    </w:p>
    <w:p>
      <w:pPr>
        <w:spacing w:line="300" w:lineRule="exact"/>
        <w:jc w:val="center"/>
        <w:rPr>
          <w:rFonts w:hint="eastAsia" w:ascii="仿宋_GB2312" w:eastAsia="仿宋_GB2312"/>
          <w:sz w:val="32"/>
          <w:szCs w:val="32"/>
        </w:rPr>
      </w:pPr>
    </w:p>
    <w:p>
      <w:pPr>
        <w:spacing w:line="300" w:lineRule="exact"/>
        <w:jc w:val="center"/>
        <w:rPr>
          <w:rFonts w:hint="eastAsia" w:ascii="仿宋_GB2312" w:eastAsia="仿宋_GB2312"/>
          <w:sz w:val="32"/>
          <w:szCs w:val="32"/>
        </w:rPr>
      </w:pPr>
    </w:p>
    <w:p>
      <w:pPr>
        <w:spacing w:line="300" w:lineRule="exact"/>
        <w:jc w:val="center"/>
        <w:rPr>
          <w:rFonts w:hint="eastAsia" w:ascii="仿宋_GB2312" w:eastAsia="仿宋_GB2312"/>
          <w:sz w:val="32"/>
          <w:szCs w:val="32"/>
        </w:rPr>
      </w:pPr>
    </w:p>
    <w:p>
      <w:pPr>
        <w:spacing w:line="300" w:lineRule="exact"/>
        <w:jc w:val="center"/>
        <w:rPr>
          <w:rFonts w:hint="eastAsia" w:ascii="仿宋_GB2312" w:eastAsia="仿宋_GB2312"/>
          <w:sz w:val="32"/>
          <w:szCs w:val="32"/>
        </w:rPr>
      </w:pPr>
    </w:p>
    <w:p>
      <w:pPr>
        <w:spacing w:line="300" w:lineRule="exact"/>
        <w:jc w:val="center"/>
        <w:rPr>
          <w:rFonts w:hint="eastAsia" w:ascii="仿宋_GB2312" w:eastAsia="仿宋_GB2312"/>
          <w:sz w:val="32"/>
          <w:szCs w:val="32"/>
        </w:rPr>
      </w:pPr>
    </w:p>
    <w:p>
      <w:pPr>
        <w:spacing w:line="300" w:lineRule="exact"/>
        <w:jc w:val="center"/>
        <w:rPr>
          <w:rFonts w:hint="eastAsia" w:ascii="仿宋_GB2312" w:eastAsia="仿宋_GB2312"/>
          <w:sz w:val="32"/>
          <w:szCs w:val="32"/>
        </w:rPr>
      </w:pPr>
    </w:p>
    <w:p>
      <w:pPr>
        <w:spacing w:line="300" w:lineRule="exact"/>
        <w:jc w:val="center"/>
        <w:rPr>
          <w:rFonts w:hint="eastAsia" w:ascii="仿宋_GB2312" w:eastAsia="仿宋_GB2312"/>
          <w:sz w:val="32"/>
          <w:szCs w:val="32"/>
        </w:rPr>
      </w:pPr>
    </w:p>
    <w:p>
      <w:pPr>
        <w:spacing w:line="300" w:lineRule="exact"/>
        <w:jc w:val="center"/>
        <w:rPr>
          <w:rFonts w:hint="eastAsia" w:ascii="仿宋_GB2312" w:eastAsia="仿宋_GB2312"/>
          <w:sz w:val="32"/>
          <w:szCs w:val="32"/>
        </w:rPr>
      </w:pPr>
    </w:p>
    <w:p>
      <w:pPr>
        <w:spacing w:line="300" w:lineRule="exact"/>
        <w:jc w:val="center"/>
        <w:rPr>
          <w:rFonts w:hint="eastAsia" w:ascii="仿宋_GB2312" w:eastAsia="仿宋_GB2312"/>
          <w:sz w:val="32"/>
          <w:szCs w:val="32"/>
        </w:rPr>
      </w:pPr>
    </w:p>
    <w:p>
      <w:pPr>
        <w:spacing w:line="300" w:lineRule="exact"/>
        <w:jc w:val="center"/>
        <w:rPr>
          <w:rFonts w:hint="eastAsia" w:ascii="仿宋_GB2312" w:eastAsia="仿宋_GB2312"/>
          <w:sz w:val="32"/>
          <w:szCs w:val="32"/>
        </w:rPr>
      </w:pPr>
    </w:p>
    <w:p>
      <w:pPr>
        <w:spacing w:line="300" w:lineRule="exact"/>
        <w:jc w:val="center"/>
        <w:rPr>
          <w:rFonts w:hint="eastAsia" w:ascii="仿宋_GB2312" w:eastAsia="仿宋_GB2312"/>
          <w:sz w:val="32"/>
          <w:szCs w:val="32"/>
        </w:rPr>
      </w:pPr>
    </w:p>
    <w:p>
      <w:pPr>
        <w:spacing w:line="300" w:lineRule="exact"/>
        <w:jc w:val="center"/>
        <w:rPr>
          <w:rFonts w:hint="eastAsia" w:ascii="仿宋_GB2312" w:eastAsia="仿宋_GB2312"/>
          <w:sz w:val="32"/>
          <w:szCs w:val="32"/>
        </w:rPr>
      </w:pPr>
    </w:p>
    <w:p>
      <w:pPr>
        <w:spacing w:line="300" w:lineRule="exact"/>
        <w:jc w:val="center"/>
        <w:rPr>
          <w:rFonts w:hint="eastAsia" w:ascii="仿宋_GB2312" w:eastAsia="仿宋_GB2312"/>
          <w:sz w:val="32"/>
          <w:szCs w:val="32"/>
        </w:rPr>
      </w:pPr>
    </w:p>
    <w:p>
      <w:pPr>
        <w:spacing w:line="360" w:lineRule="exact"/>
        <w:ind w:firstLine="640" w:firstLineChars="200"/>
        <w:jc w:val="left"/>
        <w:rPr>
          <w:rFonts w:hint="eastAsia" w:ascii="仿宋_GB2312" w:eastAsia="仿宋_GB2312"/>
          <w:sz w:val="32"/>
          <w:szCs w:val="32"/>
        </w:rPr>
      </w:pPr>
      <w:r>
        <w:rPr>
          <w:rFonts w:hint="eastAsia" w:ascii="仿宋_GB2312" w:eastAsia="仿宋_GB2312"/>
          <w:sz w:val="32"/>
          <w:szCs w:val="32"/>
        </w:rPr>
        <w:t>2.三馆运行费（项目）绩效目标表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绩效目标</w:t>
            </w:r>
          </w:p>
        </w:tc>
        <w:tc>
          <w:tcPr>
            <w:tcW w:w="8278" w:type="dxa"/>
            <w:tcBorders>
              <w:bottom w:val="nil"/>
            </w:tcBorders>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1.按时支付三馆设施维修维护、消防维保、保洁等相关费用</w:t>
            </w:r>
          </w:p>
          <w:p>
            <w:pPr>
              <w:spacing w:line="300" w:lineRule="exact"/>
              <w:jc w:val="center"/>
              <w:rPr>
                <w:rFonts w:hint="eastAsia" w:ascii="方正书宋_GBK" w:eastAsia="方正书宋_GBK"/>
              </w:rPr>
            </w:pPr>
            <w:r>
              <w:rPr>
                <w:rFonts w:hint="eastAsia" w:ascii="方正书宋_GBK" w:eastAsia="方正书宋_GBK"/>
              </w:rPr>
              <w:t>2.通过及时对设施维护，保障运行安全、环境整洁。</w:t>
            </w:r>
          </w:p>
        </w:tc>
      </w:tr>
    </w:tbl>
    <w:p>
      <w:pPr>
        <w:spacing w:line="300" w:lineRule="exact"/>
        <w:jc w:val="center"/>
        <w:rPr>
          <w:rFonts w:hint="eastAsia" w:ascii="方正书宋_GBK" w:eastAsia="方正书宋_GBK"/>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一级指标</w:t>
            </w: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二级指标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三级指标</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绩效指标描述</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指标值</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基本公共文化服务覆盖率</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实际登记的读者数量</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≥24000人</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读者登记数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设备运行情况良好率</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设备运行情况良好天数</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≥330天</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设备运行良好天数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日常巡查维修及时率</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有记录的巡查维修到场次数占规定巡查维修到场次数的比率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公共文化服务水平提升情况</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能够长期较好地开展展演、展映、展播、展示，长期满足人民群众对精神文化的需求。</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提升水平显著</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公共设施运行情况</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公共设施稳定运行情况</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公共设施正常开放情况</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正常开放天数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对宣传文化事业发展的推动作用</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通过支持图书、规划、档案馆运行，带动全区文化、规划、档案事业发展的效果</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文化事业，规划、档案事业蓬勃发展</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文化、规划、档案事业发展情况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调查中使用人员满意和较满意的数量占调查总人数的比率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方正仿宋_GBK" w:eastAsia="方正仿宋_GBK"/>
          <w:b/>
          <w:sz w:val="28"/>
          <w:szCs w:val="28"/>
        </w:rPr>
      </w:pPr>
    </w:p>
    <w:p>
      <w:pPr>
        <w:adjustRightInd w:val="0"/>
        <w:snapToGrid w:val="0"/>
        <w:spacing w:line="560" w:lineRule="exact"/>
        <w:ind w:left="0" w:firstLine="0"/>
        <w:jc w:val="left"/>
        <w:outlineLvl w:val="0"/>
        <w:rPr>
          <w:rFonts w:hint="eastAsia" w:ascii="方正仿宋_GBK" w:eastAsia="方正仿宋_GBK"/>
          <w:b/>
          <w:sz w:val="28"/>
          <w:szCs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ind w:firstLine="640" w:firstLineChars="200"/>
        <w:jc w:val="left"/>
        <w:outlineLvl w:val="3"/>
        <w:rPr>
          <w:rFonts w:ascii="Times New Roman" w:hAnsi="Times New Roman"/>
          <w:b/>
          <w:sz w:val="28"/>
        </w:rPr>
      </w:pPr>
      <w:r>
        <w:rPr>
          <w:rFonts w:hint="eastAsia" w:ascii="仿宋_GB2312" w:eastAsia="仿宋_GB2312"/>
          <w:sz w:val="32"/>
          <w:szCs w:val="32"/>
        </w:rPr>
        <w:t>3.文化市场综合执法经费（项目）绩效目标表</w:t>
      </w:r>
      <w:r>
        <w:rPr>
          <w:rFonts w:hint="eastAsia" w:ascii="方正仿宋_GBK" w:eastAsia="方正仿宋_GBK"/>
          <w:b/>
          <w:vanish/>
          <w:sz w:val="28"/>
        </w:rPr>
        <w:t>{ TC 4、文化市场综合执法经费绩效目标表 \f C \l 1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1.保证我区文化旅游市场健康有序发展。</w:t>
            </w:r>
          </w:p>
          <w:p>
            <w:pPr>
              <w:spacing w:line="300" w:lineRule="exact"/>
              <w:jc w:val="left"/>
              <w:rPr>
                <w:rFonts w:hint="eastAsia" w:ascii="方正书宋_GBK" w:eastAsia="方正书宋_GBK"/>
              </w:rPr>
            </w:pPr>
            <w:r>
              <w:rPr>
                <w:rFonts w:hint="eastAsia" w:ascii="方正书宋_GBK" w:eastAsia="方正书宋_GBK"/>
              </w:rPr>
              <w:t>2.保障文化市场综合行政执法工作的正常运行。</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执法次数</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文化旅游市场执法次数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≥60次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执法次数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推进文化法治建设</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提高执法人员业务水平和干部群众守法意识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不定期开展法治宣传教育培训</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坚持不断长期执法</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全年不间断执法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不间断执法时间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执法时间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维护文化旅游市场繁荣稳定</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维护文化旅游市场繁荣稳定，提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社会稳定水平提高显著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通过打击违法犯罪行为，促进社会稳定水平逐步提高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社会稳定水平提高显著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文化旅游经营者违法案件显著减少</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推进我区文化旅游市场健康有序发展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文化旅游经营者</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违法行为次数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文化旅游产业经营者满意程度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ind w:firstLine="562" w:firstLineChars="200"/>
        <w:jc w:val="left"/>
        <w:outlineLvl w:val="3"/>
        <w:rPr>
          <w:rFonts w:hint="eastAsia" w:ascii="方正仿宋_GBK" w:eastAsia="方正仿宋_GBK"/>
          <w:b/>
          <w:sz w:val="28"/>
        </w:rPr>
      </w:pPr>
    </w:p>
    <w:p>
      <w:pPr>
        <w:ind w:firstLine="562" w:firstLineChars="200"/>
        <w:jc w:val="left"/>
        <w:outlineLvl w:val="3"/>
        <w:rPr>
          <w:rFonts w:hint="eastAsia" w:ascii="方正仿宋_GBK" w:eastAsia="方正仿宋_GBK"/>
          <w:b/>
          <w:sz w:val="28"/>
        </w:rPr>
      </w:pPr>
    </w:p>
    <w:p>
      <w:pPr>
        <w:ind w:firstLine="562" w:firstLineChars="200"/>
        <w:jc w:val="left"/>
        <w:outlineLvl w:val="3"/>
        <w:rPr>
          <w:rFonts w:hint="eastAsia" w:ascii="方正仿宋_GBK" w:eastAsia="方正仿宋_GBK"/>
          <w:b/>
          <w:sz w:val="28"/>
        </w:rPr>
      </w:pPr>
    </w:p>
    <w:p>
      <w:pPr>
        <w:ind w:firstLine="562" w:firstLineChars="200"/>
        <w:jc w:val="left"/>
        <w:outlineLvl w:val="3"/>
        <w:rPr>
          <w:rFonts w:hint="eastAsia" w:ascii="方正仿宋_GBK" w:eastAsia="方正仿宋_GBK"/>
          <w:b/>
          <w:sz w:val="28"/>
        </w:rPr>
      </w:pPr>
    </w:p>
    <w:p>
      <w:pPr>
        <w:ind w:firstLine="562" w:firstLineChars="200"/>
        <w:jc w:val="left"/>
        <w:outlineLvl w:val="3"/>
        <w:rPr>
          <w:rFonts w:hint="eastAsia" w:ascii="方正仿宋_GBK" w:eastAsia="方正仿宋_GBK"/>
          <w:b/>
          <w:sz w:val="28"/>
        </w:rPr>
      </w:pPr>
    </w:p>
    <w:p>
      <w:pPr>
        <w:ind w:firstLine="562" w:firstLineChars="200"/>
        <w:jc w:val="left"/>
        <w:outlineLvl w:val="3"/>
        <w:rPr>
          <w:rFonts w:hint="eastAsia" w:ascii="方正仿宋_GBK" w:eastAsia="方正仿宋_GBK"/>
          <w:b/>
          <w:sz w:val="28"/>
        </w:rPr>
      </w:pPr>
    </w:p>
    <w:p>
      <w:pPr>
        <w:ind w:firstLine="562" w:firstLineChars="200"/>
        <w:jc w:val="left"/>
        <w:outlineLvl w:val="3"/>
        <w:rPr>
          <w:rFonts w:hint="eastAsia" w:ascii="方正仿宋_GBK" w:eastAsia="方正仿宋_GBK"/>
          <w:b/>
          <w:sz w:val="28"/>
        </w:rPr>
      </w:pPr>
    </w:p>
    <w:p>
      <w:pPr>
        <w:ind w:firstLine="562" w:firstLineChars="200"/>
        <w:jc w:val="left"/>
        <w:outlineLvl w:val="3"/>
        <w:rPr>
          <w:rFonts w:hint="eastAsia" w:ascii="方正仿宋_GBK" w:eastAsia="方正仿宋_GBK"/>
          <w:b/>
          <w:sz w:val="28"/>
        </w:rPr>
      </w:pPr>
    </w:p>
    <w:p>
      <w:pPr>
        <w:ind w:firstLine="562" w:firstLineChars="200"/>
        <w:jc w:val="left"/>
        <w:outlineLvl w:val="3"/>
        <w:rPr>
          <w:rFonts w:hint="eastAsia" w:ascii="方正仿宋_GBK" w:eastAsia="方正仿宋_GBK"/>
          <w:b/>
          <w:sz w:val="28"/>
        </w:rPr>
      </w:pPr>
    </w:p>
    <w:p>
      <w:pPr>
        <w:ind w:firstLine="562" w:firstLineChars="200"/>
        <w:jc w:val="left"/>
        <w:outlineLvl w:val="3"/>
        <w:rPr>
          <w:rFonts w:hint="eastAsia" w:ascii="方正仿宋_GBK" w:eastAsia="方正仿宋_GBK"/>
          <w:b/>
          <w:sz w:val="28"/>
        </w:rPr>
      </w:pPr>
    </w:p>
    <w:p>
      <w:pPr>
        <w:ind w:firstLine="640" w:firstLineChars="200"/>
        <w:jc w:val="left"/>
        <w:outlineLvl w:val="3"/>
        <w:rPr>
          <w:rFonts w:ascii="Times New Roman" w:hAnsi="Times New Roman"/>
          <w:b/>
          <w:sz w:val="28"/>
        </w:rPr>
      </w:pPr>
      <w:r>
        <w:rPr>
          <w:rFonts w:hint="eastAsia" w:ascii="仿宋_GB2312" w:eastAsia="仿宋_GB2312"/>
          <w:sz w:val="32"/>
          <w:szCs w:val="32"/>
        </w:rPr>
        <w:t>4.大剧院运行费（项目）绩效目标表</w:t>
      </w:r>
      <w:r>
        <w:rPr>
          <w:rFonts w:hint="eastAsia" w:ascii="方正仿宋_GBK" w:eastAsia="方正仿宋_GBK"/>
          <w:b/>
          <w:vanish/>
          <w:sz w:val="28"/>
        </w:rPr>
        <w:t>{ TC 5、大剧院运行费绩效目标表 \f C \l 1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1.按时支付三馆设施维修维护、消防维保、保洁等相关费用。</w:t>
            </w:r>
          </w:p>
          <w:p>
            <w:pPr>
              <w:spacing w:line="300" w:lineRule="exact"/>
              <w:jc w:val="left"/>
              <w:rPr>
                <w:rFonts w:hint="eastAsia" w:ascii="方正书宋_GBK" w:eastAsia="方正书宋_GBK"/>
              </w:rPr>
            </w:pPr>
            <w:r>
              <w:rPr>
                <w:rFonts w:hint="eastAsia" w:ascii="方正书宋_GBK" w:eastAsia="方正书宋_GBK"/>
              </w:rPr>
              <w:t>2.定时发放相关人员工资，保障大剧院正常运转。</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设备运行情况良好率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设备运行情况良好天数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≥330天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设备良好运行天数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大剧院正常运转率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剧院正常运行，占日常使用场次比例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正常运转场次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日常巡查维修及时率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有记录的巡查维修到场次数占规定巡查维修到场次数的比率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公共文化服务水平提升情况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对公共服务水平的提升情况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提升水平显著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公共设施运行情况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公共设施稳定运行情况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剧院公共设施正常运行</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正常开放天数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对宣传文化事业发展的推动作用</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通过支持大剧院运行，带动全区文化事业发展的效果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全区文化事业发展情况</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全区文化事业发展情况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调查中使用人员满意和较满意的数量占调查总人数的比率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ind w:left="0" w:firstLine="640" w:firstLineChars="200"/>
        <w:jc w:val="left"/>
        <w:outlineLvl w:val="3"/>
        <w:rPr>
          <w:rFonts w:hint="eastAsia" w:ascii="仿宋_GB2312" w:eastAsia="仿宋_GB2312"/>
          <w:sz w:val="32"/>
          <w:szCs w:val="32"/>
        </w:rPr>
      </w:pPr>
      <w:r>
        <w:rPr>
          <w:rFonts w:hint="eastAsia" w:ascii="仿宋_GB2312" w:eastAsia="仿宋_GB2312"/>
          <w:sz w:val="32"/>
          <w:szCs w:val="32"/>
        </w:rPr>
        <w:t>5.农村文化建设-全区444个行政村光纤服务费（项目）绩效目标表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1.所有服务活动满足群众文化需求，为丰南经济社会更快更好发展营造积极向上、团结奋进、文明健康的社会文化氛围</w:t>
            </w:r>
          </w:p>
          <w:p>
            <w:pPr>
              <w:spacing w:line="300" w:lineRule="exact"/>
              <w:jc w:val="left"/>
              <w:rPr>
                <w:rFonts w:hint="eastAsia" w:ascii="方正书宋_GBK" w:eastAsia="方正书宋_GBK"/>
              </w:rPr>
            </w:pPr>
            <w:r>
              <w:rPr>
                <w:rFonts w:hint="eastAsia" w:ascii="方正书宋_GBK" w:eastAsia="方正书宋_GBK"/>
              </w:rPr>
              <w:t>2.通过光纤服务开展，提高了城乡广大群众的幸福指数，推动了全区文化、经济事业蓬勃发展</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安装光纤数量（项）</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组织安装光纤数量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≥444个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光纤数量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组织光纤服务次数（次）</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组织光纤服务活动次数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≥444个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光纤服务次数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完成数占计划完成数的百分比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提升城乡群众文化生活水平</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群众文化生活水平得到提高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群众文化事业发展情况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对我区公共文化、服务水平的提升程度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持续提升群众精神文化生活</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城乡群众精神文化生活更加丰富</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持续提升精神文化生活情况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群众满意基本满意问卷占总问卷的比率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ind w:firstLine="640" w:firstLineChars="200"/>
        <w:jc w:val="left"/>
        <w:outlineLvl w:val="3"/>
        <w:rPr>
          <w:rFonts w:ascii="Times New Roman" w:hAnsi="Times New Roman"/>
          <w:b/>
          <w:sz w:val="28"/>
        </w:rPr>
      </w:pPr>
      <w:r>
        <w:rPr>
          <w:rFonts w:hint="eastAsia" w:ascii="仿宋_GB2312" w:eastAsia="仿宋_GB2312"/>
          <w:sz w:val="32"/>
          <w:szCs w:val="32"/>
        </w:rPr>
        <w:t>6.文化馆项目采购未付（以前年度）（项目）绩效目标表</w:t>
      </w:r>
      <w:r>
        <w:rPr>
          <w:rFonts w:hint="eastAsia" w:ascii="方正仿宋_GBK" w:eastAsia="方正仿宋_GBK"/>
          <w:b/>
          <w:vanish/>
          <w:sz w:val="28"/>
        </w:rPr>
        <w:t>{ TC 7、文化馆项目采购未付（以前年度）绩效目标表 \f C \l 1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1.基本公共文化服务能力显著提升，效果明显。</w:t>
            </w:r>
          </w:p>
          <w:p>
            <w:pPr>
              <w:spacing w:line="300" w:lineRule="exact"/>
              <w:jc w:val="left"/>
              <w:rPr>
                <w:rFonts w:hint="eastAsia" w:ascii="方正书宋_GBK" w:eastAsia="方正书宋_GBK"/>
              </w:rPr>
            </w:pPr>
            <w:r>
              <w:rPr>
                <w:rFonts w:hint="eastAsia" w:ascii="方正书宋_GBK" w:eastAsia="方正书宋_GBK"/>
              </w:rPr>
              <w:t>2.城镇和乡村人口获得公共文化服务之间的差距明显缩小。</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基本公共文化服务覆盖人数</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基本公共服务项目覆盖的常住人口数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≥10万人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服务项目人数统计报告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产品质量</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产品质量符合国家标准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产品质量符合国家标准</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按照要求和计划项目完成情况占所有计划项目的比率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新建公共文化设施的改善成效</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反映使用各类公共文化设施的受众数量增长情况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受众数量显著增加</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服务项目人数统计报告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城乡居民公共文化服务差距</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反映城镇人口与乡村人口获得公共文化服务效果之间的差异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缩小城镇与乡村人口获得公共文化服务之间的差距</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基本公共服务文化水平</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反映为区内常住人口提供基本公共文化服务的能力和效果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基本公共文化服务能力显著提升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接受基本公共文化服务的重点人群对所提供服务的</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服务对象调查问卷</w:t>
            </w:r>
          </w:p>
        </w:tc>
      </w:tr>
    </w:tbl>
    <w:p>
      <w:pPr>
        <w:ind w:firstLine="640" w:firstLineChars="200"/>
        <w:jc w:val="left"/>
        <w:outlineLvl w:val="3"/>
        <w:rPr>
          <w:rFonts w:hint="eastAsia" w:ascii="仿宋_GB2312" w:eastAsia="仿宋_GB2312"/>
          <w:sz w:val="32"/>
          <w:szCs w:val="32"/>
        </w:rPr>
      </w:pPr>
    </w:p>
    <w:p>
      <w:pPr>
        <w:ind w:firstLine="640" w:firstLineChars="200"/>
        <w:jc w:val="left"/>
        <w:outlineLvl w:val="3"/>
        <w:rPr>
          <w:rFonts w:hint="eastAsia" w:ascii="仿宋_GB2312" w:eastAsia="仿宋_GB2312"/>
          <w:sz w:val="32"/>
          <w:szCs w:val="32"/>
        </w:rPr>
      </w:pPr>
    </w:p>
    <w:p>
      <w:pPr>
        <w:ind w:firstLine="640" w:firstLineChars="200"/>
        <w:jc w:val="left"/>
        <w:outlineLvl w:val="3"/>
        <w:rPr>
          <w:rFonts w:hint="eastAsia" w:ascii="仿宋_GB2312" w:eastAsia="仿宋_GB2312"/>
          <w:sz w:val="32"/>
          <w:szCs w:val="32"/>
        </w:rPr>
      </w:pPr>
    </w:p>
    <w:p>
      <w:pPr>
        <w:ind w:firstLine="640" w:firstLineChars="200"/>
        <w:jc w:val="left"/>
        <w:outlineLvl w:val="3"/>
        <w:rPr>
          <w:rFonts w:hint="eastAsia" w:ascii="仿宋_GB2312" w:eastAsia="仿宋_GB2312"/>
          <w:sz w:val="32"/>
          <w:szCs w:val="32"/>
        </w:rPr>
      </w:pPr>
    </w:p>
    <w:p>
      <w:pPr>
        <w:ind w:firstLine="640" w:firstLineChars="200"/>
        <w:jc w:val="left"/>
        <w:outlineLvl w:val="3"/>
        <w:rPr>
          <w:rFonts w:hint="eastAsia" w:ascii="仿宋_GB2312" w:eastAsia="仿宋_GB2312"/>
          <w:sz w:val="32"/>
          <w:szCs w:val="32"/>
        </w:rPr>
      </w:pPr>
    </w:p>
    <w:p>
      <w:pPr>
        <w:ind w:firstLine="640" w:firstLineChars="200"/>
        <w:jc w:val="left"/>
        <w:outlineLvl w:val="3"/>
        <w:rPr>
          <w:rFonts w:hint="eastAsia" w:ascii="仿宋_GB2312" w:eastAsia="仿宋_GB2312"/>
          <w:sz w:val="32"/>
          <w:szCs w:val="32"/>
        </w:rPr>
      </w:pPr>
    </w:p>
    <w:p>
      <w:pPr>
        <w:ind w:firstLine="640" w:firstLineChars="200"/>
        <w:jc w:val="left"/>
        <w:outlineLvl w:val="3"/>
        <w:rPr>
          <w:rFonts w:hint="eastAsia" w:ascii="仿宋_GB2312" w:eastAsia="仿宋_GB2312"/>
          <w:sz w:val="32"/>
          <w:szCs w:val="32"/>
        </w:rPr>
      </w:pPr>
    </w:p>
    <w:p>
      <w:pPr>
        <w:ind w:firstLine="640" w:firstLineChars="200"/>
        <w:jc w:val="left"/>
        <w:outlineLvl w:val="3"/>
        <w:rPr>
          <w:rFonts w:hint="eastAsia" w:ascii="仿宋_GB2312" w:eastAsia="仿宋_GB2312"/>
          <w:sz w:val="32"/>
          <w:szCs w:val="32"/>
        </w:rPr>
      </w:pPr>
    </w:p>
    <w:p>
      <w:pPr>
        <w:ind w:left="0"/>
        <w:jc w:val="left"/>
        <w:outlineLvl w:val="3"/>
        <w:rPr>
          <w:rFonts w:hint="eastAsia" w:ascii="仿宋_GB2312" w:eastAsia="仿宋_GB2312"/>
          <w:sz w:val="32"/>
          <w:szCs w:val="32"/>
        </w:rPr>
      </w:pPr>
    </w:p>
    <w:p>
      <w:pPr>
        <w:ind w:firstLine="640" w:firstLineChars="200"/>
        <w:jc w:val="left"/>
        <w:outlineLvl w:val="3"/>
        <w:rPr>
          <w:rFonts w:ascii="Times New Roman" w:hAnsi="Times New Roman"/>
          <w:b/>
          <w:sz w:val="28"/>
        </w:rPr>
      </w:pPr>
      <w:r>
        <w:rPr>
          <w:rFonts w:hint="eastAsia" w:ascii="仿宋_GB2312" w:eastAsia="仿宋_GB2312"/>
          <w:sz w:val="32"/>
          <w:szCs w:val="32"/>
        </w:rPr>
        <w:t>7.采购未付--景观、半马、骑行三线合一工程（以前年度）（项目）绩效目标表</w:t>
      </w:r>
      <w:r>
        <w:rPr>
          <w:rFonts w:hint="eastAsia" w:ascii="方正仿宋_GBK" w:eastAsia="方正仿宋_GBK"/>
          <w:b/>
          <w:vanish/>
          <w:sz w:val="28"/>
        </w:rPr>
        <w:t>{ TC 8、采购未付--景观、半马、骑行三线合一工程（以前年度）绩效目标表 \f C \l 1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1.公共文化服务体系建设专项资金的拨付，改善我区基础公共文化体育设施条件。</w:t>
            </w:r>
          </w:p>
          <w:p>
            <w:pPr>
              <w:spacing w:line="300" w:lineRule="exact"/>
              <w:jc w:val="left"/>
              <w:rPr>
                <w:rFonts w:hint="eastAsia" w:ascii="方正书宋_GBK" w:eastAsia="方正书宋_GBK"/>
              </w:rPr>
            </w:pPr>
            <w:r>
              <w:rPr>
                <w:rFonts w:hint="eastAsia" w:ascii="方正书宋_GBK" w:eastAsia="方正书宋_GBK"/>
              </w:rPr>
              <w:t>2.提升我区体育赛事质量和品质，打造我区半马骑行赛事品牌。</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人均健身场所满级</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人均健身场所面积</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逐年提升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人均健身场所健身面积调查数据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体育赛事、建设活动参与率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常住居民健身、体育赛事参与率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逐年提升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项目质保期质量</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项目质保期内质量无问题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质量无问题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国民体质</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国民体质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基本公共文化服务水平</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稳步提升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体育赛事品牌效应</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提升我区体育赛事品牌效应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品牌效应逐渐提升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群众对基本公共文化服务满意度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群众对基本公共文化服务满意度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ind w:firstLine="640" w:firstLineChars="200"/>
        <w:jc w:val="left"/>
        <w:outlineLvl w:val="3"/>
        <w:rPr>
          <w:rFonts w:ascii="Times New Roman" w:hAnsi="Times New Roman"/>
          <w:b/>
          <w:sz w:val="28"/>
        </w:rPr>
      </w:pPr>
      <w:r>
        <w:rPr>
          <w:rFonts w:hint="eastAsia" w:ascii="仿宋_GB2312" w:eastAsia="仿宋_GB2312"/>
          <w:sz w:val="32"/>
          <w:szCs w:val="32"/>
        </w:rPr>
        <w:t>8.农村文化建设-文化惠民进基层资金（项目）绩效目标表</w:t>
      </w:r>
      <w:r>
        <w:rPr>
          <w:rFonts w:hint="eastAsia" w:ascii="方正仿宋_GBK" w:eastAsia="方正仿宋_GBK"/>
          <w:b/>
          <w:vanish/>
          <w:sz w:val="28"/>
        </w:rPr>
        <w:t>{ TC 9、农村文化建设-文化惠民进基层资金绩效目标表 \f C \l 1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1.所有活动满足群众文化需求，为丰南经济社会更快更好发展营造积极向上、团结奋进、文明健康的社会文化氛围。</w:t>
            </w:r>
          </w:p>
          <w:p>
            <w:pPr>
              <w:spacing w:line="300" w:lineRule="exact"/>
              <w:jc w:val="left"/>
              <w:rPr>
                <w:rFonts w:hint="eastAsia" w:ascii="方正书宋_GBK" w:eastAsia="方正书宋_GBK"/>
              </w:rPr>
            </w:pPr>
            <w:r>
              <w:rPr>
                <w:rFonts w:hint="eastAsia" w:ascii="方正书宋_GBK" w:eastAsia="方正书宋_GBK"/>
              </w:rPr>
              <w:t>2.通过各项活动的开展，提高了城乡广大群众的幸福指数，推动了全区文化事业蓬勃发展。</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公共文化服务活动数量（次）</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各类公共文化服务活动组织开展的数量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组织宣传活动次数（次）</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组织宣传活动次数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组织开展活动完成占计划完成数的百分比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提升城乡群众文化生活水平</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城乡群众文化生活水平得到提高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城乡文化活动对我区公共文化服务水平的提升程度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持续提升城乡群众精神文化生活</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城乡群众精神文化生活更加丰富</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ind w:left="0" w:firstLine="640" w:firstLineChars="200"/>
        <w:jc w:val="left"/>
        <w:outlineLvl w:val="3"/>
        <w:rPr>
          <w:rFonts w:hint="eastAsia" w:ascii="仿宋_GB2312" w:eastAsia="仿宋_GB2312"/>
          <w:sz w:val="32"/>
          <w:szCs w:val="32"/>
        </w:rPr>
      </w:pPr>
      <w:r>
        <w:rPr>
          <w:rFonts w:hint="eastAsia" w:ascii="仿宋_GB2312" w:eastAsia="仿宋_GB2312"/>
          <w:sz w:val="32"/>
          <w:szCs w:val="32"/>
        </w:rPr>
        <w:t>9.退役军人公益性岗位安置费用（项目）绩效目标表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1.保证退役军人公益性岗每月工资</w:t>
            </w:r>
          </w:p>
          <w:p>
            <w:pPr>
              <w:spacing w:line="300" w:lineRule="exact"/>
              <w:jc w:val="left"/>
              <w:rPr>
                <w:rFonts w:hint="eastAsia" w:ascii="方正书宋_GBK" w:eastAsia="方正书宋_GBK"/>
              </w:rPr>
            </w:pPr>
            <w:r>
              <w:rPr>
                <w:rFonts w:hint="eastAsia" w:ascii="方正书宋_GBK" w:eastAsia="方正书宋_GBK"/>
              </w:rPr>
              <w:t>2.保证退役军人公益性岗保险费用</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公益岗人员数量</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安置的公益岗人数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公益性岗位人员月最低工资标准</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执行段公益性岗位人员月工资标准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≥1900元/月，人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工资发放及时率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工资发放的及时程度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资发放准确率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工资发放准确程度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工资消费贡献率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工资收入的消费能力</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安排就业人数</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解决就业人数，缓解就业压力</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基本生活保障情况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为退役军人提供基本生活保障的情况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基本保障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公益性岗位人员满意度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公益性岗位人员对工资待遇的满意度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ind w:left="0" w:firstLine="640" w:firstLineChars="200"/>
        <w:jc w:val="left"/>
        <w:outlineLvl w:val="3"/>
        <w:rPr>
          <w:rFonts w:hint="eastAsia" w:ascii="仿宋_GB2312" w:eastAsia="仿宋_GB2312"/>
          <w:sz w:val="32"/>
          <w:szCs w:val="32"/>
        </w:rPr>
      </w:pPr>
      <w:r>
        <w:rPr>
          <w:rFonts w:hint="eastAsia" w:ascii="仿宋_GB2312" w:eastAsia="仿宋_GB2312"/>
          <w:sz w:val="32"/>
          <w:szCs w:val="32"/>
        </w:rPr>
        <w:t>10.丰南区全域旅游专项规划设计费（项目）绩效目标表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1.全面提升我区旅游发展质量水平</w:t>
            </w:r>
          </w:p>
          <w:p>
            <w:pPr>
              <w:spacing w:line="300" w:lineRule="exact"/>
              <w:jc w:val="left"/>
              <w:rPr>
                <w:rFonts w:hint="eastAsia" w:ascii="方正书宋_GBK" w:eastAsia="方正书宋_GBK"/>
              </w:rPr>
            </w:pPr>
            <w:r>
              <w:rPr>
                <w:rFonts w:hint="eastAsia" w:ascii="方正书宋_GBK" w:eastAsia="方正书宋_GBK"/>
              </w:rPr>
              <w:t>2.提升我区旅游发展形象</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丰南区全域旅游进行规划设计行费</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丰南区全域旅游进行规划设计行费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≤80万元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合同价格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按标准任务完成率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完成指定任务程度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规划使用年限</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规划使用年限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本规划编制使用时间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带动旅游业增效</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项目实施单位经济效益情况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显著提升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我区旅游综合发展情况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提升我区旅游综合发展能力</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提升我区旅游综合发展能力</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整合我区旅游资源</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我区旅游综合发展情况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推动我区经济发展</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推动我区经济发展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显著提升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我区旅游综合发展情况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调查问题</w:t>
            </w:r>
          </w:p>
        </w:tc>
      </w:tr>
    </w:tbl>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仿宋_GB2312" w:eastAsia="仿宋_GB2312"/>
          <w:sz w:val="32"/>
          <w:szCs w:val="32"/>
        </w:rPr>
      </w:pPr>
    </w:p>
    <w:p>
      <w:pPr>
        <w:ind w:firstLine="640" w:firstLineChars="200"/>
        <w:jc w:val="left"/>
        <w:outlineLvl w:val="3"/>
        <w:rPr>
          <w:rFonts w:ascii="Times New Roman" w:hAnsi="Times New Roman"/>
          <w:b/>
          <w:sz w:val="28"/>
        </w:rPr>
      </w:pPr>
      <w:r>
        <w:rPr>
          <w:rFonts w:hint="eastAsia" w:ascii="仿宋_GB2312" w:eastAsia="仿宋_GB2312"/>
          <w:sz w:val="32"/>
          <w:szCs w:val="32"/>
        </w:rPr>
        <w:t>11.农村文化建设-群众文化活动中心暖气改造费用（项目）绩效目标表</w:t>
      </w:r>
      <w:r>
        <w:rPr>
          <w:rFonts w:hint="eastAsia" w:ascii="方正仿宋_GBK" w:eastAsia="方正仿宋_GBK"/>
          <w:b/>
          <w:vanish/>
          <w:sz w:val="28"/>
        </w:rPr>
        <w:t>{ TC 12、农村文化建设-群众文化活动中心暖气改造费用绩效目标表 \f C \l 1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1.提升文化服务设施建设水平。</w:t>
            </w:r>
          </w:p>
          <w:p>
            <w:pPr>
              <w:spacing w:line="300" w:lineRule="exact"/>
              <w:jc w:val="left"/>
              <w:rPr>
                <w:rFonts w:hint="eastAsia" w:ascii="方正书宋_GBK" w:eastAsia="方正书宋_GBK"/>
              </w:rPr>
            </w:pPr>
            <w:r>
              <w:rPr>
                <w:rFonts w:hint="eastAsia" w:ascii="方正书宋_GBK" w:eastAsia="方正书宋_GBK"/>
              </w:rPr>
              <w:t>2.群众文化活动中心进行维修改造,更好为群众提供服务。</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维修验收通过率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通过验收的维修数量占总数量的比率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暖气改造工程质量</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工程施工质量情况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质量合格</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提升城乡群众文化生活水平</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城乡群众文化生活水平得到提高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城乡文化活动对我区公共文化、服务水平的提升程度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城乡群众精神文化生活更加丰富</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提升明显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ind w:firstLine="640" w:firstLineChars="200"/>
        <w:jc w:val="left"/>
        <w:outlineLvl w:val="3"/>
        <w:rPr>
          <w:rFonts w:ascii="Times New Roman" w:hAnsi="Times New Roman"/>
          <w:b/>
          <w:sz w:val="28"/>
        </w:rPr>
      </w:pPr>
      <w:r>
        <w:rPr>
          <w:rFonts w:hint="eastAsia" w:ascii="仿宋_GB2312" w:eastAsia="仿宋_GB2312"/>
          <w:sz w:val="32"/>
          <w:szCs w:val="32"/>
        </w:rPr>
        <w:t>12.农村文化建设-城乡文化活动资金（项目）绩效目标表</w:t>
      </w:r>
      <w:r>
        <w:rPr>
          <w:rFonts w:hint="eastAsia" w:ascii="方正仿宋_GBK" w:eastAsia="方正仿宋_GBK"/>
          <w:b/>
          <w:vanish/>
          <w:sz w:val="28"/>
        </w:rPr>
        <w:t>{ TC 13、农村文化建设-城乡文化活动资金绩效目标表 \f C \l 1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1.通过各项活动的开展，提高城乡广大群众的幸福指数。</w:t>
            </w:r>
          </w:p>
          <w:p>
            <w:pPr>
              <w:spacing w:line="300" w:lineRule="exact"/>
              <w:jc w:val="left"/>
              <w:rPr>
                <w:rFonts w:hint="eastAsia" w:ascii="方正书宋_GBK" w:eastAsia="方正书宋_GBK"/>
              </w:rPr>
            </w:pPr>
            <w:r>
              <w:rPr>
                <w:rFonts w:hint="eastAsia" w:ascii="方正书宋_GBK" w:eastAsia="方正书宋_GBK"/>
              </w:rPr>
              <w:t>2.活跃城乡群众的文体生活，推动全区文化体育事业蓬勃发展。</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公共文化服务活动数量</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各类公共文化服务活动组织开展的数量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≥7个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组织宣传活动次数</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组织宣传活动次数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组织开展活动完成占计划完成数的百分比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提升城乡群众文化生活水平</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城乡群众文化生活水平得到提高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城乡文化活动对我区公共文化、服务水平的提升程度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持续提升城乡群众精神文化生活</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城乡群众精神文化生活更加丰富</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r>
              <w:rPr>
                <w:rFonts w:hint="eastAsia" w:ascii="方正书宋_GBK" w:eastAsia="方正书宋_GBK"/>
              </w:rPr>
              <w:tab/>
            </w:r>
            <w:r>
              <w:rPr>
                <w:rFonts w:hint="eastAsia" w:ascii="方正书宋_GBK" w:eastAsia="方正书宋_GBK"/>
              </w:rPr>
              <w:t>≥80%</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ind w:firstLine="640" w:firstLineChars="200"/>
        <w:jc w:val="left"/>
        <w:outlineLvl w:val="3"/>
        <w:rPr>
          <w:rFonts w:ascii="Times New Roman" w:hAnsi="Times New Roman"/>
          <w:b/>
          <w:sz w:val="28"/>
        </w:rPr>
      </w:pPr>
      <w:r>
        <w:rPr>
          <w:rFonts w:hint="eastAsia" w:ascii="仿宋_GB2312" w:eastAsia="仿宋_GB2312"/>
          <w:sz w:val="32"/>
          <w:szCs w:val="32"/>
        </w:rPr>
        <w:t>13.文联芦笛经费（项目）绩效目标表</w:t>
      </w:r>
      <w:r>
        <w:rPr>
          <w:rFonts w:hint="eastAsia" w:ascii="方正仿宋_GBK" w:eastAsia="方正仿宋_GBK"/>
          <w:b/>
          <w:vanish/>
          <w:sz w:val="28"/>
        </w:rPr>
        <w:t>{ TC 14、文联芦笛经费绩效目标表 \f C \l 1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1.履行团结引导、联络协调、服务管理、自律维权职责。</w:t>
            </w:r>
          </w:p>
          <w:p>
            <w:pPr>
              <w:spacing w:line="300" w:lineRule="exact"/>
              <w:jc w:val="left"/>
              <w:rPr>
                <w:rFonts w:hint="eastAsia" w:ascii="方正书宋_GBK" w:eastAsia="方正书宋_GBK"/>
              </w:rPr>
            </w:pPr>
            <w:r>
              <w:rPr>
                <w:rFonts w:hint="eastAsia" w:ascii="方正书宋_GBK" w:eastAsia="方正书宋_GBK"/>
              </w:rPr>
              <w:t>2.联系广大文学艺术工作者，大力扶持文艺创作，培养文学艺术人才，组织文艺志愿服务。</w:t>
            </w:r>
          </w:p>
          <w:p>
            <w:pPr>
              <w:spacing w:line="300" w:lineRule="exact"/>
              <w:jc w:val="left"/>
              <w:rPr>
                <w:rFonts w:hint="eastAsia" w:ascii="方正书宋_GBK" w:eastAsia="方正书宋_GBK"/>
              </w:rPr>
            </w:pPr>
            <w:r>
              <w:rPr>
                <w:rFonts w:hint="eastAsia" w:ascii="方正书宋_GBK" w:eastAsia="方正书宋_GBK"/>
              </w:rPr>
              <w:t>3.开展各类文学艺术活动，繁荣发展文学艺术事业。</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出版四期《芦笛》</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每季1期，每期120页，三、六、九、十二月底出刊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4期</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举办2次文学艺术活动</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包括书画艺术展、摄影展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开展1次送春联下乡活动</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深入乡镇、厂企、学校、集市写春联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把握舆论导向</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繁荣文艺创作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创作出群众喜闻乐见的文学作品</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杂志出版内容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培养文艺人才</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推出文艺精品</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多出人才多出精品</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群众对杂志的反响或获奖情况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营造良好舆论氛围</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繁荣社会主义文学艺术</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文学作品为群众提供正能量</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群众反映调查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接受调查人员服务的满意程度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群众问卷调查</w:t>
            </w:r>
          </w:p>
        </w:tc>
      </w:tr>
    </w:tbl>
    <w:p>
      <w:pPr>
        <w:spacing w:line="300" w:lineRule="exact"/>
        <w:jc w:val="left"/>
        <w:sectPr>
          <w:footerReference r:id="rId8" w:type="default"/>
          <w:pgSz w:w="11907" w:h="16839"/>
          <w:pgMar w:top="1984" w:right="1304" w:bottom="1134" w:left="1304" w:header="851" w:footer="992" w:gutter="0"/>
          <w:cols w:space="720" w:num="1"/>
          <w:docGrid w:type="lines" w:linePitch="312" w:charSpace="0"/>
        </w:sectPr>
      </w:pPr>
    </w:p>
    <w:p>
      <w:pPr>
        <w:ind w:left="0" w:firstLine="640" w:firstLineChars="200"/>
        <w:jc w:val="left"/>
        <w:outlineLvl w:val="3"/>
        <w:rPr>
          <w:rFonts w:ascii="Times New Roman" w:hAnsi="Times New Roman"/>
          <w:b/>
          <w:sz w:val="28"/>
        </w:rPr>
      </w:pPr>
      <w:r>
        <w:rPr>
          <w:rFonts w:hint="eastAsia" w:ascii="仿宋_GB2312" w:eastAsia="仿宋_GB2312"/>
          <w:sz w:val="32"/>
          <w:szCs w:val="32"/>
        </w:rPr>
        <w:t>14.农村文化建设-城乡公共文化服务项目（项目）绩效目标表</w:t>
      </w:r>
      <w:r>
        <w:rPr>
          <w:rFonts w:hint="eastAsia" w:ascii="方正仿宋_GBK" w:eastAsia="方正仿宋_GBK"/>
          <w:b/>
          <w:vanish/>
          <w:sz w:val="28"/>
        </w:rPr>
        <w:t>{ TC 15、农村文化建设-城乡公共文化服务项目绩效目标表 \f C \l 1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1.所有演出活动节目通俗易懂、寓教于乐，形式上为广大群众喜闻乐见。</w:t>
            </w:r>
          </w:p>
          <w:p>
            <w:pPr>
              <w:spacing w:line="300" w:lineRule="exact"/>
              <w:jc w:val="left"/>
              <w:rPr>
                <w:rFonts w:hint="eastAsia" w:ascii="方正书宋_GBK" w:eastAsia="方正书宋_GBK"/>
              </w:rPr>
            </w:pPr>
            <w:r>
              <w:rPr>
                <w:rFonts w:hint="eastAsia" w:ascii="方正书宋_GBK" w:eastAsia="方正书宋_GBK"/>
              </w:rPr>
              <w:t>2.满足群众文化需求，让全区群众共享文化惠民、乐民、便民、育民、富民的阳光雨露，为丰南经济社会更快更好发展营造积极向上、团结奋进、文明健康的社会文化氛围。</w:t>
            </w:r>
          </w:p>
          <w:p>
            <w:pPr>
              <w:spacing w:line="300" w:lineRule="exact"/>
              <w:jc w:val="left"/>
              <w:rPr>
                <w:rFonts w:hint="eastAsia" w:ascii="方正书宋_GBK" w:eastAsia="方正书宋_GBK"/>
              </w:rPr>
            </w:pPr>
            <w:r>
              <w:rPr>
                <w:rFonts w:hint="eastAsia" w:ascii="方正书宋_GBK" w:eastAsia="方正书宋_GBK"/>
              </w:rPr>
              <w:t>3.为丰南经济社会更快更好发展营造积极向上、团结奋进、文明健康的社会文化氛围。</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公共文化服务活动数量（项）</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各类公共文化服务活动组织开展的数量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≥30个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组织宣传活动次数（次）</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组织宣传活动次数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≥27次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组织开展活动完成占计划完成数的百分比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提升城乡群众文化生活水平</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城乡群众文化生活水平得到提高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城乡文化活动对我区公共文化、服务水平的提升程度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持续提升城乡群众精神文化生活</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城乡群众精神文化生活更加丰富</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720" w:num="1"/>
          <w:docGrid w:type="lines" w:linePitch="312" w:charSpace="0"/>
        </w:sectPr>
      </w:pPr>
    </w:p>
    <w:p>
      <w:pPr>
        <w:ind w:left="0" w:firstLine="640" w:firstLineChars="200"/>
        <w:jc w:val="left"/>
        <w:outlineLvl w:val="3"/>
        <w:rPr>
          <w:rFonts w:hint="eastAsia" w:ascii="仿宋_GB2312" w:eastAsia="仿宋_GB2312"/>
          <w:sz w:val="32"/>
          <w:szCs w:val="32"/>
        </w:rPr>
      </w:pPr>
      <w:r>
        <w:rPr>
          <w:rFonts w:hint="eastAsia" w:ascii="仿宋_GB2312" w:eastAsia="仿宋_GB2312"/>
          <w:sz w:val="32"/>
          <w:szCs w:val="32"/>
        </w:rPr>
        <w:t>15.劳务派遣人员费用（劳务费）（项目）绩效目标表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1.及时发放劳务派遣人员工资、保险。</w:t>
            </w:r>
          </w:p>
          <w:p>
            <w:pPr>
              <w:spacing w:line="300" w:lineRule="exact"/>
              <w:jc w:val="left"/>
              <w:rPr>
                <w:rFonts w:hint="eastAsia" w:ascii="方正书宋_GBK" w:eastAsia="方正书宋_GBK"/>
              </w:rPr>
            </w:pPr>
            <w:r>
              <w:rPr>
                <w:rFonts w:hint="eastAsia" w:ascii="方正书宋_GBK" w:eastAsia="方正书宋_GBK"/>
              </w:rPr>
              <w:t>2.保障机关正常运转。</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劳务派遣人员数量</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聘用的劳务派遣人数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≥20人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劳务派遣人员工资标准</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执行的劳务派遣人员月工资标准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≥1900元/月，人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资发放及时率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工资发放的及时程度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工资收入的消费能力</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工资收入的消费能力</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安排就业人数</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解决就业人数，缓解就业压力</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≥20人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保障事业发展</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保障各项工作正常运转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保障了机关正常运转</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劳务派遣人员工资待遇满意度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ind w:left="0" w:firstLine="640" w:firstLineChars="200"/>
        <w:jc w:val="left"/>
        <w:outlineLvl w:val="3"/>
        <w:rPr>
          <w:rFonts w:hint="eastAsia" w:ascii="仿宋_GB2312" w:eastAsia="仿宋_GB2312"/>
          <w:sz w:val="32"/>
          <w:szCs w:val="32"/>
        </w:rPr>
      </w:pPr>
      <w:r>
        <w:rPr>
          <w:rFonts w:hint="eastAsia" w:ascii="仿宋_GB2312" w:eastAsia="仿宋_GB2312"/>
          <w:sz w:val="32"/>
          <w:szCs w:val="32"/>
        </w:rPr>
        <w:t>16.就业见习基本生活费补贴（项目）绩效目标表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1.为缓解我区青年就业压力，招聘见习生21人。</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见习生人员数量</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聘用的见习生人数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21人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就业协议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见习生人员月最低工资标准</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执行的见习生人员月工资标准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1900元/月，人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岗位补贴发放及时率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岗位补贴发放的及时程度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岗位补贴发放情况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消费贡献率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消费能力</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安排就业人数</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解决就业人数，缓解就业压力</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21人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实际见习人员情况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保障事业发展</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保障各项工作正常运转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保障机关正常运转</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见习生人员满意度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见习生对工资待遇的满意度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ind w:left="0" w:firstLine="640" w:firstLineChars="200"/>
        <w:jc w:val="left"/>
        <w:outlineLvl w:val="3"/>
        <w:rPr>
          <w:rFonts w:hint="eastAsia" w:ascii="仿宋_GB2312" w:eastAsia="仿宋_GB2312"/>
          <w:sz w:val="32"/>
          <w:szCs w:val="32"/>
        </w:rPr>
      </w:pPr>
      <w:r>
        <w:rPr>
          <w:rFonts w:hint="eastAsia" w:ascii="仿宋_GB2312" w:eastAsia="仿宋_GB2312"/>
          <w:sz w:val="32"/>
          <w:szCs w:val="32"/>
        </w:rPr>
        <w:t>17.三馆项目采购未付（以前年度）（项目）绩效目标表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1.努力提高公共文化服务体系建设水平，高质量提供基本文化服务</w:t>
            </w:r>
          </w:p>
          <w:p>
            <w:pPr>
              <w:spacing w:line="300" w:lineRule="exact"/>
              <w:jc w:val="left"/>
              <w:rPr>
                <w:rFonts w:hint="eastAsia" w:ascii="方正书宋_GBK" w:eastAsia="方正书宋_GBK"/>
              </w:rPr>
            </w:pPr>
            <w:r>
              <w:rPr>
                <w:rFonts w:hint="eastAsia" w:ascii="方正书宋_GBK" w:eastAsia="方正书宋_GBK"/>
              </w:rPr>
              <w:t>2.图书、规划、档案三馆设施设备运行良好</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防水施工质量</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防水竣工验收情况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工程施工质量良好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防水质保期质量</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防水质保期质量情况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质保期质量良好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使用单位调查报告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设备正常运转</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设备正常运转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设备运转良好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对文化服务体系建设的促进作用</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通过支持文化设施项目建设，带动全区公共文化服务体系建设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公共文化服务体系建设更加完善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对文化事业发展的促进作用</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通过支持文化设施项目建设，带动全区文化事业发展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文化事业高质量发展</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调查报告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对疫情的防控效果</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通过测温安检门有效应对公共文化设施的疫情防控工作需要</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能够有效防治传染病的传播</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调查报告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群众对图书、规划、档案三馆设施服务的满意度（%）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群众对三馆设施服务更加满意</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spacing w:line="14" w:lineRule="exact"/>
        <w:ind w:firstLine="420" w:firstLineChars="200"/>
        <w:jc w:val="center"/>
      </w:pPr>
      <w:r>
        <w:rPr>
          <w:rFonts w:hint="eastAsia" w:ascii="方正书宋_GBK" w:eastAsia="方正书宋_GBK"/>
        </w:rPr>
        <w:t xml:space="preserve"> </w:t>
      </w:r>
    </w:p>
    <w:p>
      <w:pPr>
        <w:autoSpaceDE w:val="0"/>
        <w:autoSpaceDN w:val="0"/>
        <w:adjustRightInd w:val="0"/>
        <w:snapToGrid w:val="0"/>
        <w:spacing w:line="560" w:lineRule="exact"/>
        <w:ind w:firstLine="803" w:firstLineChars="250"/>
        <w:jc w:val="left"/>
        <w:rPr>
          <w:rFonts w:hint="eastAsia" w:ascii="仿宋_GB2312" w:eastAsia="仿宋_GB2312"/>
          <w:color w:val="FF0000"/>
          <w:sz w:val="32"/>
          <w:szCs w:val="32"/>
        </w:rPr>
      </w:pPr>
      <w:r>
        <w:rPr>
          <w:rFonts w:hint="eastAsia" w:ascii="仿宋_GB2312" w:eastAsia="仿宋_GB2312"/>
          <w:b/>
          <w:sz w:val="32"/>
          <w:szCs w:val="32"/>
        </w:rPr>
        <w:t>六、政府采购预算信息</w:t>
      </w:r>
    </w:p>
    <w:p>
      <w:pPr>
        <w:adjustRightInd w:val="0"/>
        <w:snapToGrid w:val="0"/>
        <w:spacing w:line="560" w:lineRule="exact"/>
        <w:ind w:left="178" w:leftChars="85" w:firstLine="697" w:firstLineChars="218"/>
        <w:rPr>
          <w:rFonts w:hint="eastAsia" w:ascii="仿宋_GB2312" w:eastAsia="仿宋_GB2312"/>
          <w:sz w:val="32"/>
          <w:szCs w:val="32"/>
        </w:rPr>
      </w:pPr>
      <w:r>
        <w:rPr>
          <w:rFonts w:hint="eastAsia" w:ascii="仿宋_GB2312" w:eastAsia="仿宋_GB2312"/>
          <w:sz w:val="32"/>
          <w:szCs w:val="32"/>
        </w:rPr>
        <w:t>2021年</w:t>
      </w:r>
      <w:r>
        <w:rPr>
          <w:rFonts w:hint="eastAsia" w:ascii="仿宋_GB2312" w:eastAsia="仿宋_GB2312"/>
          <w:sz w:val="32"/>
          <w:szCs w:val="32"/>
          <w:lang w:eastAsia="zh-CN"/>
        </w:rPr>
        <w:t>单位</w:t>
      </w:r>
      <w:r>
        <w:rPr>
          <w:rFonts w:hint="eastAsia" w:ascii="仿宋_GB2312" w:eastAsia="仿宋_GB2312"/>
          <w:sz w:val="32"/>
          <w:szCs w:val="32"/>
        </w:rPr>
        <w:t>预算共计安排政府采购项目</w:t>
      </w:r>
      <w:r>
        <w:rPr>
          <w:rFonts w:hint="eastAsia" w:ascii="仿宋_GB2312" w:eastAsia="仿宋_GB2312"/>
          <w:sz w:val="32"/>
          <w:szCs w:val="32"/>
          <w:lang w:val="en-US" w:eastAsia="zh-CN"/>
        </w:rPr>
        <w:t>1</w:t>
      </w:r>
      <w:r>
        <w:rPr>
          <w:rFonts w:hint="eastAsia" w:ascii="仿宋_GB2312" w:eastAsia="仿宋_GB2312"/>
          <w:sz w:val="32"/>
          <w:szCs w:val="32"/>
        </w:rPr>
        <w:t>个,涉及金额</w:t>
      </w:r>
      <w:r>
        <w:rPr>
          <w:rFonts w:hint="eastAsia" w:ascii="仿宋_GB2312" w:eastAsia="仿宋_GB2312"/>
          <w:sz w:val="32"/>
          <w:szCs w:val="32"/>
          <w:lang w:val="en-US" w:eastAsia="zh-CN"/>
        </w:rPr>
        <w:t>99</w:t>
      </w:r>
      <w:r>
        <w:rPr>
          <w:rFonts w:hint="eastAsia" w:ascii="仿宋_GB2312" w:eastAsia="仿宋_GB2312"/>
          <w:sz w:val="32"/>
          <w:szCs w:val="32"/>
        </w:rPr>
        <w:t>万元。其中：货物类0个,涉及金额0万元,主要包括0物品0件(台、套)；工程类</w:t>
      </w:r>
      <w:r>
        <w:rPr>
          <w:rFonts w:hint="eastAsia" w:ascii="仿宋_GB2312" w:eastAsia="仿宋_GB2312"/>
          <w:sz w:val="32"/>
          <w:szCs w:val="32"/>
          <w:lang w:val="en-US" w:eastAsia="zh-CN"/>
        </w:rPr>
        <w:t>0</w:t>
      </w:r>
      <w:r>
        <w:rPr>
          <w:rFonts w:hint="eastAsia" w:ascii="仿宋_GB2312" w:eastAsia="仿宋_GB2312"/>
          <w:sz w:val="32"/>
          <w:szCs w:val="32"/>
        </w:rPr>
        <w:t>个,涉及金额</w:t>
      </w:r>
      <w:r>
        <w:rPr>
          <w:rFonts w:hint="eastAsia" w:ascii="仿宋_GB2312" w:eastAsia="仿宋_GB2312"/>
          <w:sz w:val="32"/>
          <w:szCs w:val="32"/>
          <w:lang w:val="en-US" w:eastAsia="zh-CN"/>
        </w:rPr>
        <w:t>0</w:t>
      </w:r>
      <w:r>
        <w:rPr>
          <w:rFonts w:hint="eastAsia" w:ascii="仿宋_GB2312" w:eastAsia="仿宋_GB2312"/>
          <w:sz w:val="32"/>
          <w:szCs w:val="32"/>
        </w:rPr>
        <w:t>万元；服务类</w:t>
      </w:r>
      <w:r>
        <w:rPr>
          <w:rFonts w:hint="eastAsia" w:ascii="仿宋_GB2312" w:eastAsia="仿宋_GB2312"/>
          <w:sz w:val="32"/>
          <w:szCs w:val="32"/>
          <w:lang w:val="en-US" w:eastAsia="zh-CN"/>
        </w:rPr>
        <w:t>1</w:t>
      </w:r>
      <w:r>
        <w:rPr>
          <w:rFonts w:hint="eastAsia" w:ascii="仿宋_GB2312" w:eastAsia="仿宋_GB2312"/>
          <w:sz w:val="32"/>
          <w:szCs w:val="32"/>
        </w:rPr>
        <w:t>个,涉及金额</w:t>
      </w:r>
      <w:r>
        <w:rPr>
          <w:rFonts w:hint="eastAsia" w:ascii="仿宋_GB2312" w:eastAsia="仿宋_GB2312"/>
          <w:sz w:val="32"/>
          <w:szCs w:val="32"/>
          <w:lang w:val="en-US" w:eastAsia="zh-CN"/>
        </w:rPr>
        <w:t>99</w:t>
      </w:r>
      <w:r>
        <w:rPr>
          <w:rFonts w:hint="eastAsia" w:ascii="仿宋_GB2312" w:eastAsia="仿宋_GB2312"/>
          <w:sz w:val="32"/>
          <w:szCs w:val="32"/>
        </w:rPr>
        <w:t>万元，主要农村文化建设-城乡公共文化服务项目。</w:t>
      </w:r>
    </w:p>
    <w:p>
      <w:pPr>
        <w:adjustRightInd w:val="0"/>
        <w:snapToGrid w:val="0"/>
        <w:spacing w:line="560" w:lineRule="exact"/>
        <w:ind w:left="178" w:leftChars="85" w:firstLine="697" w:firstLineChars="218"/>
        <w:rPr>
          <w:rFonts w:hint="eastAsia" w:ascii="仿宋_GB2312" w:eastAsia="仿宋_GB2312"/>
          <w:sz w:val="32"/>
          <w:szCs w:val="32"/>
        </w:rPr>
      </w:pPr>
      <w:r>
        <w:rPr>
          <w:rFonts w:hint="eastAsia" w:ascii="仿宋_GB2312" w:eastAsia="仿宋_GB2312"/>
          <w:sz w:val="32"/>
          <w:szCs w:val="32"/>
        </w:rPr>
        <w:t>列表如下：</w:t>
      </w:r>
    </w:p>
    <w:p>
      <w:pPr>
        <w:spacing w:line="240" w:lineRule="auto"/>
        <w:outlineLvl w:val="1"/>
        <w:rPr>
          <w:rFonts w:hint="eastAsia" w:ascii="方正小标宋_GBK" w:eastAsia="方正小标宋_GBK"/>
          <w:sz w:val="32"/>
        </w:rPr>
      </w:pPr>
      <w:bookmarkStart w:id="14" w:name="_Toc65835484"/>
    </w:p>
    <w:p>
      <w:pPr>
        <w:spacing w:line="240" w:lineRule="auto"/>
        <w:jc w:val="center"/>
        <w:outlineLvl w:val="1"/>
        <w:rPr>
          <w:rFonts w:hint="eastAsia" w:ascii="Times New Roman" w:hAnsi="Times New Roman"/>
          <w:sz w:val="32"/>
        </w:rPr>
      </w:pPr>
      <w:r>
        <w:rPr>
          <w:rFonts w:hint="eastAsia" w:ascii="方正小标宋_GBK" w:eastAsia="方正小标宋_GBK"/>
          <w:sz w:val="32"/>
          <w:lang w:eastAsia="zh-CN"/>
        </w:rPr>
        <w:t>单位</w:t>
      </w:r>
      <w:r>
        <w:rPr>
          <w:rFonts w:hint="eastAsia" w:ascii="方正小标宋_GBK" w:eastAsia="方正小标宋_GBK"/>
          <w:sz w:val="32"/>
        </w:rPr>
        <w:t>政府采购预算</w:t>
      </w:r>
      <w:bookmarkEnd w:id="14"/>
    </w:p>
    <w:tbl>
      <w:tblPr>
        <w:tblStyle w:val="8"/>
        <w:tblW w:w="89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7"/>
        <w:gridCol w:w="770"/>
        <w:gridCol w:w="1039"/>
        <w:gridCol w:w="757"/>
        <w:gridCol w:w="360"/>
        <w:gridCol w:w="360"/>
        <w:gridCol w:w="435"/>
        <w:gridCol w:w="825"/>
        <w:gridCol w:w="764"/>
        <w:gridCol w:w="751"/>
        <w:gridCol w:w="584"/>
        <w:gridCol w:w="450"/>
        <w:gridCol w:w="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1" w:hRule="atLeast"/>
          <w:tblHeader/>
          <w:jc w:val="center"/>
        </w:trPr>
        <w:tc>
          <w:tcPr>
            <w:tcW w:w="5068"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rPr>
                <w:rFonts w:hint="eastAsia" w:ascii="方正小标宋_GBK" w:eastAsia="方正小标宋_GBK"/>
                <w:sz w:val="24"/>
              </w:rPr>
            </w:pPr>
            <w:r>
              <w:rPr>
                <w:rFonts w:hint="eastAsia" w:ascii="方正小标宋_GBK" w:eastAsia="方正小标宋_GBK"/>
                <w:sz w:val="24"/>
              </w:rPr>
              <w:t>406唐山市丰南区文化广电和旅游局</w:t>
            </w:r>
          </w:p>
        </w:tc>
        <w:tc>
          <w:tcPr>
            <w:tcW w:w="3838"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eastAsia"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1" w:hRule="atLeast"/>
          <w:tblHeader/>
          <w:jc w:val="center"/>
        </w:trPr>
        <w:tc>
          <w:tcPr>
            <w:tcW w:w="2117" w:type="dxa"/>
            <w:gridSpan w:val="2"/>
            <w:shd w:val="clear" w:color="auto" w:fill="auto"/>
            <w:noWrap w:val="0"/>
            <w:vAlign w:val="center"/>
          </w:tcPr>
          <w:p>
            <w:pPr>
              <w:spacing w:line="300" w:lineRule="exact"/>
              <w:jc w:val="center"/>
              <w:rPr>
                <w:rFonts w:hint="eastAsia" w:ascii="方正书宋_GBK" w:eastAsia="方正书宋_GBK"/>
                <w:b/>
                <w:sz w:val="21"/>
              </w:rPr>
            </w:pPr>
            <w:r>
              <w:rPr>
                <w:rFonts w:hint="eastAsia" w:ascii="方正书宋_GBK" w:eastAsia="方正书宋_GBK"/>
                <w:b/>
                <w:sz w:val="21"/>
              </w:rPr>
              <w:t>政府采购项目来源</w:t>
            </w:r>
          </w:p>
        </w:tc>
        <w:tc>
          <w:tcPr>
            <w:tcW w:w="1039" w:type="dxa"/>
            <w:vMerge w:val="restart"/>
            <w:shd w:val="clear" w:color="auto" w:fill="auto"/>
            <w:noWrap w:val="0"/>
            <w:vAlign w:val="center"/>
          </w:tcPr>
          <w:p>
            <w:pPr>
              <w:spacing w:line="300" w:lineRule="exact"/>
              <w:jc w:val="center"/>
              <w:rPr>
                <w:rFonts w:hint="eastAsia" w:ascii="方正书宋_GBK" w:eastAsia="方正书宋_GBK"/>
                <w:b/>
                <w:sz w:val="21"/>
              </w:rPr>
            </w:pPr>
            <w:r>
              <w:rPr>
                <w:rFonts w:hint="eastAsia" w:ascii="方正书宋_GBK" w:eastAsia="方正书宋_GBK"/>
                <w:b/>
                <w:sz w:val="21"/>
              </w:rPr>
              <w:t>采购物品名称</w:t>
            </w:r>
          </w:p>
        </w:tc>
        <w:tc>
          <w:tcPr>
            <w:tcW w:w="757" w:type="dxa"/>
            <w:vMerge w:val="restart"/>
            <w:shd w:val="clear" w:color="auto" w:fill="auto"/>
            <w:noWrap w:val="0"/>
            <w:vAlign w:val="center"/>
          </w:tcPr>
          <w:p>
            <w:pPr>
              <w:spacing w:line="300" w:lineRule="exact"/>
              <w:jc w:val="center"/>
              <w:rPr>
                <w:rFonts w:hint="eastAsia" w:ascii="方正书宋_GBK" w:eastAsia="方正书宋_GBK"/>
                <w:b/>
                <w:sz w:val="21"/>
              </w:rPr>
            </w:pPr>
            <w:r>
              <w:rPr>
                <w:rFonts w:hint="eastAsia" w:ascii="方正书宋_GBK" w:eastAsia="方正书宋_GBK"/>
                <w:b/>
                <w:sz w:val="21"/>
              </w:rPr>
              <w:t>政府采购目录序号</w:t>
            </w:r>
          </w:p>
        </w:tc>
        <w:tc>
          <w:tcPr>
            <w:tcW w:w="360" w:type="dxa"/>
            <w:vMerge w:val="restart"/>
            <w:shd w:val="clear" w:color="auto" w:fill="auto"/>
            <w:noWrap w:val="0"/>
            <w:vAlign w:val="center"/>
          </w:tcPr>
          <w:p>
            <w:pPr>
              <w:spacing w:line="300" w:lineRule="exact"/>
              <w:jc w:val="center"/>
              <w:rPr>
                <w:rFonts w:hint="eastAsia" w:ascii="方正书宋_GBK" w:eastAsia="方正书宋_GBK"/>
                <w:b/>
                <w:sz w:val="21"/>
              </w:rPr>
            </w:pPr>
            <w:r>
              <w:rPr>
                <w:rFonts w:hint="eastAsia" w:ascii="方正书宋_GBK" w:eastAsia="方正书宋_GBK"/>
                <w:b/>
                <w:sz w:val="21"/>
              </w:rPr>
              <w:t>计量  单位</w:t>
            </w:r>
          </w:p>
        </w:tc>
        <w:tc>
          <w:tcPr>
            <w:tcW w:w="360" w:type="dxa"/>
            <w:vMerge w:val="restart"/>
            <w:shd w:val="clear" w:color="auto" w:fill="auto"/>
            <w:noWrap w:val="0"/>
            <w:vAlign w:val="center"/>
          </w:tcPr>
          <w:p>
            <w:pPr>
              <w:spacing w:line="300" w:lineRule="exact"/>
              <w:jc w:val="center"/>
              <w:rPr>
                <w:rFonts w:hint="eastAsia" w:ascii="方正书宋_GBK" w:eastAsia="方正书宋_GBK"/>
                <w:b/>
                <w:sz w:val="21"/>
              </w:rPr>
            </w:pPr>
            <w:r>
              <w:rPr>
                <w:rFonts w:hint="eastAsia" w:ascii="方正书宋_GBK" w:eastAsia="方正书宋_GBK"/>
                <w:b/>
                <w:sz w:val="21"/>
              </w:rPr>
              <w:t>数量</w:t>
            </w:r>
          </w:p>
        </w:tc>
        <w:tc>
          <w:tcPr>
            <w:tcW w:w="435" w:type="dxa"/>
            <w:vMerge w:val="restart"/>
            <w:shd w:val="clear" w:color="auto" w:fill="auto"/>
            <w:noWrap w:val="0"/>
            <w:vAlign w:val="center"/>
          </w:tcPr>
          <w:p>
            <w:pPr>
              <w:spacing w:line="300" w:lineRule="exact"/>
              <w:jc w:val="center"/>
              <w:rPr>
                <w:rFonts w:hint="eastAsia" w:ascii="方正书宋_GBK" w:eastAsia="方正书宋_GBK"/>
                <w:b/>
                <w:sz w:val="21"/>
              </w:rPr>
            </w:pPr>
            <w:r>
              <w:rPr>
                <w:rFonts w:hint="eastAsia" w:ascii="方正书宋_GBK" w:eastAsia="方正书宋_GBK"/>
                <w:b/>
                <w:sz w:val="21"/>
              </w:rPr>
              <w:t>单价</w:t>
            </w:r>
          </w:p>
        </w:tc>
        <w:tc>
          <w:tcPr>
            <w:tcW w:w="3838" w:type="dxa"/>
            <w:gridSpan w:val="6"/>
            <w:shd w:val="clear" w:color="auto" w:fill="auto"/>
            <w:noWrap w:val="0"/>
            <w:vAlign w:val="center"/>
          </w:tcPr>
          <w:p>
            <w:pPr>
              <w:spacing w:line="300" w:lineRule="exact"/>
              <w:jc w:val="center"/>
              <w:rPr>
                <w:rFonts w:hint="eastAsia" w:ascii="方正书宋_GBK" w:eastAsia="方正书宋_GBK"/>
                <w:b/>
                <w:sz w:val="21"/>
              </w:rPr>
            </w:pPr>
            <w:r>
              <w:rPr>
                <w:rFonts w:hint="eastAsia" w:ascii="方正书宋_GBK" w:eastAsia="方正书宋_GBK"/>
                <w:b/>
                <w:sz w:val="21"/>
              </w:rPr>
              <w:t>政府采购金额（当年</w:t>
            </w:r>
            <w:r>
              <w:rPr>
                <w:rFonts w:hint="eastAsia" w:ascii="方正书宋_GBK" w:eastAsia="方正书宋_GBK"/>
                <w:b/>
                <w:sz w:val="21"/>
                <w:lang w:eastAsia="zh-CN"/>
              </w:rPr>
              <w:t>单位</w:t>
            </w:r>
            <w:r>
              <w:rPr>
                <w:rFonts w:hint="eastAsia" w:ascii="方正书宋_GBK" w:eastAsia="方正书宋_GBK"/>
                <w:b/>
                <w:sz w:val="21"/>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06" w:hRule="atLeast"/>
          <w:tblHeader/>
          <w:jc w:val="center"/>
        </w:trPr>
        <w:tc>
          <w:tcPr>
            <w:tcW w:w="1347" w:type="dxa"/>
            <w:shd w:val="clear" w:color="auto" w:fill="auto"/>
            <w:noWrap w:val="0"/>
            <w:vAlign w:val="center"/>
          </w:tcPr>
          <w:p>
            <w:pPr>
              <w:spacing w:line="300" w:lineRule="exact"/>
              <w:jc w:val="center"/>
              <w:rPr>
                <w:rFonts w:hint="eastAsia" w:ascii="方正书宋_GBK" w:eastAsia="方正书宋_GBK"/>
                <w:b/>
                <w:sz w:val="18"/>
                <w:szCs w:val="18"/>
              </w:rPr>
            </w:pPr>
            <w:r>
              <w:rPr>
                <w:rFonts w:hint="eastAsia" w:ascii="方正书宋_GBK" w:eastAsia="方正书宋_GBK"/>
                <w:b/>
                <w:sz w:val="18"/>
                <w:szCs w:val="18"/>
              </w:rPr>
              <w:t>项目名称</w:t>
            </w:r>
          </w:p>
        </w:tc>
        <w:tc>
          <w:tcPr>
            <w:tcW w:w="770" w:type="dxa"/>
            <w:shd w:val="clear" w:color="auto" w:fill="auto"/>
            <w:noWrap w:val="0"/>
            <w:vAlign w:val="center"/>
          </w:tcPr>
          <w:p>
            <w:pPr>
              <w:spacing w:line="300" w:lineRule="exact"/>
              <w:jc w:val="center"/>
              <w:rPr>
                <w:rFonts w:hint="eastAsia" w:ascii="方正书宋_GBK" w:eastAsia="方正书宋_GBK"/>
                <w:b/>
                <w:sz w:val="18"/>
                <w:szCs w:val="18"/>
              </w:rPr>
            </w:pPr>
            <w:r>
              <w:rPr>
                <w:rFonts w:hint="eastAsia" w:ascii="方正书宋_GBK" w:eastAsia="方正书宋_GBK"/>
                <w:b/>
                <w:sz w:val="18"/>
                <w:szCs w:val="18"/>
              </w:rPr>
              <w:t>预算资金</w:t>
            </w:r>
          </w:p>
        </w:tc>
        <w:tc>
          <w:tcPr>
            <w:tcW w:w="1039" w:type="dxa"/>
            <w:vMerge w:val="continue"/>
            <w:shd w:val="clear" w:color="auto" w:fill="auto"/>
            <w:noWrap w:val="0"/>
            <w:vAlign w:val="center"/>
          </w:tcPr>
          <w:p/>
        </w:tc>
        <w:tc>
          <w:tcPr>
            <w:tcW w:w="757" w:type="dxa"/>
            <w:vMerge w:val="continue"/>
            <w:shd w:val="clear" w:color="auto" w:fill="auto"/>
            <w:noWrap w:val="0"/>
            <w:vAlign w:val="center"/>
          </w:tcPr>
          <w:p/>
        </w:tc>
        <w:tc>
          <w:tcPr>
            <w:tcW w:w="360" w:type="dxa"/>
            <w:vMerge w:val="continue"/>
            <w:shd w:val="clear" w:color="auto" w:fill="auto"/>
            <w:noWrap w:val="0"/>
            <w:vAlign w:val="center"/>
          </w:tcPr>
          <w:p/>
        </w:tc>
        <w:tc>
          <w:tcPr>
            <w:tcW w:w="360" w:type="dxa"/>
            <w:vMerge w:val="continue"/>
            <w:shd w:val="clear" w:color="auto" w:fill="auto"/>
            <w:noWrap w:val="0"/>
            <w:vAlign w:val="center"/>
          </w:tcPr>
          <w:p/>
        </w:tc>
        <w:tc>
          <w:tcPr>
            <w:tcW w:w="435" w:type="dxa"/>
            <w:vMerge w:val="continue"/>
            <w:shd w:val="clear" w:color="auto" w:fill="auto"/>
            <w:noWrap w:val="0"/>
            <w:vAlign w:val="center"/>
          </w:tcPr>
          <w:p/>
        </w:tc>
        <w:tc>
          <w:tcPr>
            <w:tcW w:w="825" w:type="dxa"/>
            <w:shd w:val="clear" w:color="auto" w:fill="auto"/>
            <w:noWrap w:val="0"/>
            <w:vAlign w:val="center"/>
          </w:tcPr>
          <w:p>
            <w:pPr>
              <w:spacing w:line="300" w:lineRule="exact"/>
              <w:jc w:val="center"/>
              <w:rPr>
                <w:rFonts w:hint="eastAsia" w:ascii="方正书宋_GBK" w:eastAsia="方正书宋_GBK"/>
                <w:b/>
                <w:sz w:val="18"/>
                <w:szCs w:val="18"/>
              </w:rPr>
            </w:pPr>
            <w:r>
              <w:rPr>
                <w:rFonts w:hint="eastAsia" w:ascii="方正书宋_GBK" w:eastAsia="方正书宋_GBK"/>
                <w:b/>
                <w:sz w:val="18"/>
                <w:szCs w:val="18"/>
              </w:rPr>
              <w:t>合计</w:t>
            </w:r>
          </w:p>
        </w:tc>
        <w:tc>
          <w:tcPr>
            <w:tcW w:w="764" w:type="dxa"/>
            <w:shd w:val="clear" w:color="auto" w:fill="auto"/>
            <w:noWrap w:val="0"/>
            <w:vAlign w:val="center"/>
          </w:tcPr>
          <w:p>
            <w:pPr>
              <w:spacing w:line="300" w:lineRule="exact"/>
              <w:jc w:val="center"/>
              <w:rPr>
                <w:rFonts w:hint="eastAsia" w:ascii="方正书宋_GBK" w:eastAsia="方正书宋_GBK"/>
                <w:b/>
                <w:sz w:val="18"/>
                <w:szCs w:val="18"/>
              </w:rPr>
            </w:pPr>
            <w:r>
              <w:rPr>
                <w:rFonts w:hint="eastAsia" w:ascii="方正书宋_GBK" w:eastAsia="方正书宋_GBK"/>
                <w:b/>
                <w:sz w:val="18"/>
                <w:szCs w:val="18"/>
              </w:rPr>
              <w:t>一般公共预算拨款</w:t>
            </w:r>
          </w:p>
        </w:tc>
        <w:tc>
          <w:tcPr>
            <w:tcW w:w="751" w:type="dxa"/>
            <w:shd w:val="clear" w:color="auto" w:fill="auto"/>
            <w:noWrap w:val="0"/>
            <w:vAlign w:val="center"/>
          </w:tcPr>
          <w:p>
            <w:pPr>
              <w:spacing w:line="300" w:lineRule="exact"/>
              <w:jc w:val="center"/>
              <w:rPr>
                <w:rFonts w:hint="eastAsia" w:ascii="方正书宋_GBK" w:eastAsia="方正书宋_GBK"/>
                <w:b/>
                <w:sz w:val="18"/>
                <w:szCs w:val="18"/>
              </w:rPr>
            </w:pPr>
            <w:r>
              <w:rPr>
                <w:rFonts w:hint="eastAsia" w:ascii="方正书宋_GBK" w:eastAsia="方正书宋_GBK"/>
                <w:b/>
                <w:sz w:val="18"/>
                <w:szCs w:val="18"/>
              </w:rPr>
              <w:t>基金预算拨款</w:t>
            </w:r>
          </w:p>
        </w:tc>
        <w:tc>
          <w:tcPr>
            <w:tcW w:w="584" w:type="dxa"/>
            <w:shd w:val="clear" w:color="auto" w:fill="auto"/>
            <w:noWrap w:val="0"/>
            <w:vAlign w:val="center"/>
          </w:tcPr>
          <w:p>
            <w:pPr>
              <w:spacing w:line="300" w:lineRule="exact"/>
              <w:jc w:val="center"/>
              <w:rPr>
                <w:rFonts w:hint="eastAsia" w:ascii="方正书宋_GBK" w:eastAsia="方正书宋_GBK"/>
                <w:b/>
                <w:sz w:val="18"/>
                <w:szCs w:val="18"/>
              </w:rPr>
            </w:pPr>
            <w:r>
              <w:rPr>
                <w:rFonts w:hint="eastAsia" w:ascii="方正书宋_GBK" w:eastAsia="方正书宋_GBK"/>
                <w:b/>
                <w:sz w:val="18"/>
                <w:szCs w:val="18"/>
              </w:rPr>
              <w:t>国有资本经营预算拨款</w:t>
            </w:r>
          </w:p>
        </w:tc>
        <w:tc>
          <w:tcPr>
            <w:tcW w:w="450" w:type="dxa"/>
            <w:shd w:val="clear" w:color="auto" w:fill="auto"/>
            <w:noWrap w:val="0"/>
            <w:vAlign w:val="center"/>
          </w:tcPr>
          <w:p>
            <w:pPr>
              <w:spacing w:line="300" w:lineRule="exact"/>
              <w:jc w:val="center"/>
              <w:rPr>
                <w:rFonts w:hint="eastAsia" w:ascii="方正书宋_GBK" w:eastAsia="方正书宋_GBK"/>
                <w:b/>
                <w:sz w:val="18"/>
                <w:szCs w:val="18"/>
              </w:rPr>
            </w:pPr>
            <w:r>
              <w:rPr>
                <w:rFonts w:hint="eastAsia" w:ascii="方正书宋_GBK" w:eastAsia="方正书宋_GBK"/>
                <w:b/>
                <w:sz w:val="18"/>
                <w:szCs w:val="18"/>
              </w:rPr>
              <w:t>财政专户核拨</w:t>
            </w:r>
          </w:p>
        </w:tc>
        <w:tc>
          <w:tcPr>
            <w:tcW w:w="464" w:type="dxa"/>
            <w:shd w:val="clear" w:color="auto" w:fill="auto"/>
            <w:noWrap w:val="0"/>
            <w:vAlign w:val="center"/>
          </w:tcPr>
          <w:p>
            <w:pPr>
              <w:spacing w:line="300" w:lineRule="exact"/>
              <w:jc w:val="center"/>
              <w:rPr>
                <w:rFonts w:hint="eastAsia" w:ascii="方正书宋_GBK" w:eastAsia="方正书宋_GBK"/>
                <w:b/>
                <w:sz w:val="18"/>
                <w:szCs w:val="18"/>
              </w:rPr>
            </w:pPr>
            <w:r>
              <w:rPr>
                <w:rFonts w:hint="eastAsia" w:ascii="方正书宋_GBK" w:eastAsia="方正书宋_GBK"/>
                <w:b/>
                <w:sz w:val="18"/>
                <w:szCs w:val="18"/>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5" w:hRule="atLeast"/>
          <w:jc w:val="center"/>
        </w:trPr>
        <w:tc>
          <w:tcPr>
            <w:tcW w:w="1347" w:type="dxa"/>
            <w:shd w:val="clear" w:color="auto" w:fill="auto"/>
            <w:noWrap w:val="0"/>
            <w:vAlign w:val="center"/>
          </w:tcPr>
          <w:p>
            <w:pPr>
              <w:spacing w:line="300" w:lineRule="exact"/>
              <w:jc w:val="center"/>
              <w:rPr>
                <w:rFonts w:hint="eastAsia" w:ascii="方正书宋_GBK" w:eastAsia="方正书宋_GBK"/>
                <w:b/>
                <w:sz w:val="21"/>
              </w:rPr>
            </w:pPr>
            <w:r>
              <w:rPr>
                <w:rFonts w:hint="eastAsia" w:ascii="方正书宋_GBK" w:eastAsia="方正书宋_GBK"/>
                <w:b/>
                <w:sz w:val="21"/>
              </w:rPr>
              <w:t>合  计</w:t>
            </w:r>
          </w:p>
        </w:tc>
        <w:tc>
          <w:tcPr>
            <w:tcW w:w="770" w:type="dxa"/>
            <w:shd w:val="clear" w:color="auto" w:fill="auto"/>
            <w:noWrap w:val="0"/>
            <w:vAlign w:val="center"/>
          </w:tcPr>
          <w:p>
            <w:pPr>
              <w:spacing w:line="300" w:lineRule="exact"/>
              <w:jc w:val="right"/>
              <w:rPr>
                <w:rFonts w:hint="eastAsia" w:ascii="方正书宋_GBK" w:eastAsia="方正书宋_GBK"/>
                <w:b/>
                <w:sz w:val="21"/>
              </w:rPr>
            </w:pPr>
          </w:p>
        </w:tc>
        <w:tc>
          <w:tcPr>
            <w:tcW w:w="1039" w:type="dxa"/>
            <w:shd w:val="clear" w:color="auto" w:fill="auto"/>
            <w:noWrap w:val="0"/>
            <w:vAlign w:val="center"/>
          </w:tcPr>
          <w:p>
            <w:pPr>
              <w:spacing w:line="300" w:lineRule="exact"/>
              <w:rPr>
                <w:rFonts w:hint="eastAsia" w:ascii="方正书宋_GBK" w:eastAsia="方正书宋_GBK"/>
                <w:b/>
                <w:sz w:val="21"/>
              </w:rPr>
            </w:pPr>
          </w:p>
        </w:tc>
        <w:tc>
          <w:tcPr>
            <w:tcW w:w="757" w:type="dxa"/>
            <w:shd w:val="clear" w:color="auto" w:fill="auto"/>
            <w:noWrap w:val="0"/>
            <w:vAlign w:val="center"/>
          </w:tcPr>
          <w:p>
            <w:pPr>
              <w:spacing w:line="300" w:lineRule="exact"/>
              <w:rPr>
                <w:rFonts w:hint="eastAsia" w:ascii="方正书宋_GBK" w:eastAsia="方正书宋_GBK"/>
                <w:b/>
                <w:sz w:val="21"/>
              </w:rPr>
            </w:pPr>
          </w:p>
        </w:tc>
        <w:tc>
          <w:tcPr>
            <w:tcW w:w="360" w:type="dxa"/>
            <w:shd w:val="clear" w:color="auto" w:fill="auto"/>
            <w:noWrap w:val="0"/>
            <w:vAlign w:val="center"/>
          </w:tcPr>
          <w:p>
            <w:pPr>
              <w:spacing w:line="300" w:lineRule="exact"/>
              <w:jc w:val="center"/>
              <w:rPr>
                <w:rFonts w:hint="eastAsia" w:ascii="方正书宋_GBK" w:eastAsia="方正书宋_GBK"/>
                <w:b/>
                <w:sz w:val="21"/>
              </w:rPr>
            </w:pPr>
          </w:p>
        </w:tc>
        <w:tc>
          <w:tcPr>
            <w:tcW w:w="360" w:type="dxa"/>
            <w:shd w:val="clear" w:color="auto" w:fill="auto"/>
            <w:noWrap w:val="0"/>
            <w:vAlign w:val="center"/>
          </w:tcPr>
          <w:p>
            <w:pPr>
              <w:spacing w:line="300" w:lineRule="exact"/>
              <w:jc w:val="right"/>
              <w:rPr>
                <w:rFonts w:hint="eastAsia" w:ascii="方正书宋_GBK" w:eastAsia="方正书宋_GBK"/>
                <w:b/>
                <w:sz w:val="21"/>
              </w:rPr>
            </w:pPr>
          </w:p>
        </w:tc>
        <w:tc>
          <w:tcPr>
            <w:tcW w:w="435" w:type="dxa"/>
            <w:shd w:val="clear" w:color="auto" w:fill="auto"/>
            <w:noWrap w:val="0"/>
            <w:vAlign w:val="center"/>
          </w:tcPr>
          <w:p>
            <w:pPr>
              <w:spacing w:line="300" w:lineRule="exact"/>
              <w:jc w:val="right"/>
              <w:rPr>
                <w:rFonts w:hint="eastAsia" w:ascii="方正书宋_GBK" w:eastAsia="方正书宋_GBK"/>
                <w:b/>
                <w:sz w:val="21"/>
              </w:rPr>
            </w:pPr>
          </w:p>
        </w:tc>
        <w:tc>
          <w:tcPr>
            <w:tcW w:w="825" w:type="dxa"/>
            <w:shd w:val="clear" w:color="auto" w:fill="auto"/>
            <w:noWrap w:val="0"/>
            <w:vAlign w:val="center"/>
          </w:tcPr>
          <w:p>
            <w:pPr>
              <w:spacing w:line="300" w:lineRule="exact"/>
              <w:jc w:val="right"/>
              <w:rPr>
                <w:rFonts w:hint="default" w:ascii="方正书宋_GBK" w:eastAsia="方正书宋_GBK"/>
                <w:sz w:val="15"/>
                <w:szCs w:val="15"/>
                <w:lang w:val="en-US" w:eastAsia="zh-CN"/>
              </w:rPr>
            </w:pPr>
            <w:r>
              <w:rPr>
                <w:rFonts w:hint="eastAsia" w:ascii="方正书宋_GBK" w:eastAsia="方正书宋_GBK"/>
                <w:sz w:val="15"/>
                <w:szCs w:val="15"/>
                <w:lang w:val="en-US" w:eastAsia="zh-CN"/>
              </w:rPr>
              <w:t>99</w:t>
            </w:r>
          </w:p>
        </w:tc>
        <w:tc>
          <w:tcPr>
            <w:tcW w:w="764" w:type="dxa"/>
            <w:shd w:val="clear" w:color="auto" w:fill="auto"/>
            <w:noWrap w:val="0"/>
            <w:vAlign w:val="center"/>
          </w:tcPr>
          <w:p>
            <w:pPr>
              <w:spacing w:line="300" w:lineRule="exact"/>
              <w:jc w:val="right"/>
              <w:rPr>
                <w:rFonts w:hint="default" w:ascii="方正书宋_GBK" w:eastAsia="方正书宋_GBK"/>
                <w:sz w:val="15"/>
                <w:szCs w:val="15"/>
                <w:lang w:val="en-US" w:eastAsia="zh-CN"/>
              </w:rPr>
            </w:pPr>
            <w:r>
              <w:rPr>
                <w:rFonts w:hint="eastAsia" w:ascii="方正书宋_GBK" w:eastAsia="方正书宋_GBK"/>
                <w:sz w:val="15"/>
                <w:szCs w:val="15"/>
                <w:lang w:val="en-US" w:eastAsia="zh-CN"/>
              </w:rPr>
              <w:t>99</w:t>
            </w:r>
          </w:p>
        </w:tc>
        <w:tc>
          <w:tcPr>
            <w:tcW w:w="751" w:type="dxa"/>
            <w:shd w:val="clear" w:color="auto" w:fill="auto"/>
            <w:noWrap w:val="0"/>
            <w:vAlign w:val="center"/>
          </w:tcPr>
          <w:p>
            <w:pPr>
              <w:spacing w:line="300" w:lineRule="exact"/>
              <w:jc w:val="right"/>
              <w:rPr>
                <w:rFonts w:hint="eastAsia" w:ascii="方正书宋_GBK" w:eastAsia="方正书宋_GBK"/>
                <w:sz w:val="15"/>
                <w:szCs w:val="15"/>
              </w:rPr>
            </w:pPr>
          </w:p>
        </w:tc>
        <w:tc>
          <w:tcPr>
            <w:tcW w:w="584" w:type="dxa"/>
            <w:shd w:val="clear" w:color="auto" w:fill="auto"/>
            <w:noWrap w:val="0"/>
            <w:vAlign w:val="center"/>
          </w:tcPr>
          <w:p>
            <w:pPr>
              <w:spacing w:line="300" w:lineRule="exact"/>
              <w:jc w:val="right"/>
              <w:rPr>
                <w:rFonts w:hint="eastAsia" w:ascii="方正书宋_GBK" w:eastAsia="方正书宋_GBK"/>
                <w:sz w:val="21"/>
              </w:rPr>
            </w:pPr>
          </w:p>
        </w:tc>
        <w:tc>
          <w:tcPr>
            <w:tcW w:w="450" w:type="dxa"/>
            <w:shd w:val="clear" w:color="auto" w:fill="auto"/>
            <w:noWrap w:val="0"/>
            <w:vAlign w:val="center"/>
          </w:tcPr>
          <w:p>
            <w:pPr>
              <w:spacing w:line="300" w:lineRule="exact"/>
              <w:jc w:val="right"/>
              <w:rPr>
                <w:rFonts w:hint="eastAsia" w:ascii="方正书宋_GBK" w:eastAsia="方正书宋_GBK"/>
                <w:b/>
                <w:sz w:val="21"/>
              </w:rPr>
            </w:pPr>
          </w:p>
        </w:tc>
        <w:tc>
          <w:tcPr>
            <w:tcW w:w="464" w:type="dxa"/>
            <w:shd w:val="clear" w:color="auto" w:fill="auto"/>
            <w:noWrap w:val="0"/>
            <w:vAlign w:val="center"/>
          </w:tcPr>
          <w:p>
            <w:pPr>
              <w:spacing w:line="300" w:lineRule="exact"/>
              <w:jc w:val="right"/>
              <w:rPr>
                <w:rFonts w:hint="eastAsia" w:ascii="方正书宋_GBK" w:eastAsia="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4" w:hRule="atLeast"/>
          <w:jc w:val="center"/>
        </w:trPr>
        <w:tc>
          <w:tcPr>
            <w:tcW w:w="1347" w:type="dxa"/>
            <w:shd w:val="clear" w:color="auto" w:fill="auto"/>
            <w:noWrap w:val="0"/>
            <w:vAlign w:val="center"/>
          </w:tcPr>
          <w:p>
            <w:pPr>
              <w:spacing w:line="300" w:lineRule="exact"/>
              <w:jc w:val="center"/>
              <w:rPr>
                <w:rFonts w:hint="eastAsia" w:ascii="方正书宋_GBK" w:eastAsia="方正书宋_GBK"/>
                <w:b/>
                <w:sz w:val="21"/>
              </w:rPr>
            </w:pPr>
            <w:r>
              <w:rPr>
                <w:rFonts w:hint="eastAsia" w:ascii="方正书宋_GBK" w:eastAsia="方正书宋_GBK"/>
                <w:b/>
                <w:sz w:val="21"/>
              </w:rPr>
              <w:t>唐山市丰南区文化广电和旅游局本级小计</w:t>
            </w:r>
          </w:p>
        </w:tc>
        <w:tc>
          <w:tcPr>
            <w:tcW w:w="770" w:type="dxa"/>
            <w:shd w:val="clear" w:color="auto" w:fill="auto"/>
            <w:noWrap w:val="0"/>
            <w:vAlign w:val="center"/>
          </w:tcPr>
          <w:p>
            <w:pPr>
              <w:spacing w:line="300" w:lineRule="exact"/>
              <w:jc w:val="right"/>
              <w:rPr>
                <w:rFonts w:hint="eastAsia" w:ascii="方正书宋_GBK" w:eastAsia="方正书宋_GBK"/>
                <w:b/>
                <w:sz w:val="21"/>
              </w:rPr>
            </w:pPr>
          </w:p>
        </w:tc>
        <w:tc>
          <w:tcPr>
            <w:tcW w:w="1039" w:type="dxa"/>
            <w:shd w:val="clear" w:color="auto" w:fill="auto"/>
            <w:noWrap w:val="0"/>
            <w:vAlign w:val="center"/>
          </w:tcPr>
          <w:p>
            <w:pPr>
              <w:spacing w:line="300" w:lineRule="exact"/>
              <w:rPr>
                <w:rFonts w:hint="eastAsia" w:ascii="方正书宋_GBK" w:eastAsia="方正书宋_GBK"/>
                <w:b/>
                <w:sz w:val="21"/>
              </w:rPr>
            </w:pPr>
          </w:p>
        </w:tc>
        <w:tc>
          <w:tcPr>
            <w:tcW w:w="757" w:type="dxa"/>
            <w:shd w:val="clear" w:color="auto" w:fill="auto"/>
            <w:noWrap w:val="0"/>
            <w:vAlign w:val="center"/>
          </w:tcPr>
          <w:p>
            <w:pPr>
              <w:spacing w:line="300" w:lineRule="exact"/>
              <w:rPr>
                <w:rFonts w:hint="eastAsia" w:ascii="方正书宋_GBK" w:eastAsia="方正书宋_GBK"/>
                <w:b/>
                <w:sz w:val="21"/>
              </w:rPr>
            </w:pPr>
          </w:p>
        </w:tc>
        <w:tc>
          <w:tcPr>
            <w:tcW w:w="360" w:type="dxa"/>
            <w:shd w:val="clear" w:color="auto" w:fill="auto"/>
            <w:noWrap w:val="0"/>
            <w:vAlign w:val="center"/>
          </w:tcPr>
          <w:p>
            <w:pPr>
              <w:spacing w:line="300" w:lineRule="exact"/>
              <w:jc w:val="center"/>
              <w:rPr>
                <w:rFonts w:hint="eastAsia" w:ascii="方正书宋_GBK" w:eastAsia="方正书宋_GBK"/>
                <w:b/>
                <w:sz w:val="21"/>
              </w:rPr>
            </w:pPr>
          </w:p>
        </w:tc>
        <w:tc>
          <w:tcPr>
            <w:tcW w:w="360" w:type="dxa"/>
            <w:shd w:val="clear" w:color="auto" w:fill="auto"/>
            <w:noWrap w:val="0"/>
            <w:vAlign w:val="center"/>
          </w:tcPr>
          <w:p>
            <w:pPr>
              <w:spacing w:line="300" w:lineRule="exact"/>
              <w:jc w:val="right"/>
              <w:rPr>
                <w:rFonts w:hint="eastAsia" w:ascii="方正书宋_GBK" w:eastAsia="方正书宋_GBK"/>
                <w:b/>
                <w:sz w:val="21"/>
              </w:rPr>
            </w:pPr>
          </w:p>
        </w:tc>
        <w:tc>
          <w:tcPr>
            <w:tcW w:w="435" w:type="dxa"/>
            <w:shd w:val="clear" w:color="auto" w:fill="auto"/>
            <w:noWrap w:val="0"/>
            <w:vAlign w:val="center"/>
          </w:tcPr>
          <w:p>
            <w:pPr>
              <w:spacing w:line="300" w:lineRule="exact"/>
              <w:jc w:val="right"/>
              <w:rPr>
                <w:rFonts w:hint="eastAsia" w:ascii="方正书宋_GBK" w:eastAsia="方正书宋_GBK"/>
                <w:b/>
                <w:sz w:val="13"/>
                <w:szCs w:val="13"/>
              </w:rPr>
            </w:pPr>
          </w:p>
        </w:tc>
        <w:tc>
          <w:tcPr>
            <w:tcW w:w="825"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99.00</w:t>
            </w:r>
          </w:p>
        </w:tc>
        <w:tc>
          <w:tcPr>
            <w:tcW w:w="764"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99.00</w:t>
            </w:r>
          </w:p>
        </w:tc>
        <w:tc>
          <w:tcPr>
            <w:tcW w:w="751" w:type="dxa"/>
            <w:shd w:val="clear" w:color="auto" w:fill="auto"/>
            <w:noWrap w:val="0"/>
            <w:vAlign w:val="center"/>
          </w:tcPr>
          <w:p>
            <w:pPr>
              <w:spacing w:line="300" w:lineRule="exact"/>
              <w:jc w:val="right"/>
              <w:rPr>
                <w:rFonts w:hint="eastAsia" w:ascii="方正书宋_GBK" w:eastAsia="方正书宋_GBK"/>
                <w:b/>
                <w:sz w:val="13"/>
                <w:szCs w:val="13"/>
              </w:rPr>
            </w:pPr>
          </w:p>
        </w:tc>
        <w:tc>
          <w:tcPr>
            <w:tcW w:w="584" w:type="dxa"/>
            <w:shd w:val="clear" w:color="auto" w:fill="auto"/>
            <w:noWrap w:val="0"/>
            <w:vAlign w:val="center"/>
          </w:tcPr>
          <w:p>
            <w:pPr>
              <w:spacing w:line="300" w:lineRule="exact"/>
              <w:jc w:val="right"/>
              <w:rPr>
                <w:rFonts w:hint="eastAsia" w:ascii="方正书宋_GBK" w:eastAsia="方正书宋_GBK"/>
                <w:b/>
                <w:sz w:val="21"/>
              </w:rPr>
            </w:pPr>
          </w:p>
        </w:tc>
        <w:tc>
          <w:tcPr>
            <w:tcW w:w="450" w:type="dxa"/>
            <w:shd w:val="clear" w:color="auto" w:fill="auto"/>
            <w:noWrap w:val="0"/>
            <w:vAlign w:val="center"/>
          </w:tcPr>
          <w:p>
            <w:pPr>
              <w:spacing w:line="300" w:lineRule="exact"/>
              <w:jc w:val="right"/>
              <w:rPr>
                <w:rFonts w:hint="eastAsia" w:ascii="方正书宋_GBK" w:eastAsia="方正书宋_GBK"/>
                <w:b/>
                <w:sz w:val="21"/>
              </w:rPr>
            </w:pPr>
          </w:p>
        </w:tc>
        <w:tc>
          <w:tcPr>
            <w:tcW w:w="464" w:type="dxa"/>
            <w:shd w:val="clear" w:color="auto" w:fill="auto"/>
            <w:noWrap w:val="0"/>
            <w:vAlign w:val="center"/>
          </w:tcPr>
          <w:p>
            <w:pPr>
              <w:spacing w:line="300" w:lineRule="exact"/>
              <w:jc w:val="right"/>
              <w:rPr>
                <w:rFonts w:hint="eastAsia" w:ascii="方正书宋_GBK" w:eastAsia="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4" w:hRule="atLeast"/>
          <w:jc w:val="center"/>
        </w:trPr>
        <w:tc>
          <w:tcPr>
            <w:tcW w:w="1347"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农村文化建设-城乡公共文化服务项目</w:t>
            </w:r>
          </w:p>
        </w:tc>
        <w:tc>
          <w:tcPr>
            <w:tcW w:w="770" w:type="dxa"/>
            <w:shd w:val="clear" w:color="auto" w:fill="auto"/>
            <w:noWrap w:val="0"/>
            <w:vAlign w:val="center"/>
          </w:tcPr>
          <w:p>
            <w:pPr>
              <w:spacing w:line="300" w:lineRule="exact"/>
              <w:jc w:val="right"/>
              <w:rPr>
                <w:rFonts w:hint="eastAsia" w:ascii="方正书宋_GBK" w:eastAsia="方正书宋_GBK"/>
                <w:sz w:val="21"/>
              </w:rPr>
            </w:pPr>
            <w:r>
              <w:rPr>
                <w:rFonts w:hint="eastAsia" w:ascii="方正书宋_GBK" w:eastAsia="方正书宋_GBK"/>
                <w:sz w:val="21"/>
              </w:rPr>
              <w:t>99.00</w:t>
            </w:r>
          </w:p>
        </w:tc>
        <w:tc>
          <w:tcPr>
            <w:tcW w:w="1039"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艺术创作和表演服务</w:t>
            </w:r>
          </w:p>
        </w:tc>
        <w:tc>
          <w:tcPr>
            <w:tcW w:w="757"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C200301</w:t>
            </w:r>
          </w:p>
        </w:tc>
        <w:tc>
          <w:tcPr>
            <w:tcW w:w="360" w:type="dxa"/>
            <w:shd w:val="clear" w:color="auto" w:fill="auto"/>
            <w:noWrap w:val="0"/>
            <w:vAlign w:val="center"/>
          </w:tcPr>
          <w:p>
            <w:pPr>
              <w:spacing w:line="300" w:lineRule="exact"/>
              <w:jc w:val="center"/>
              <w:rPr>
                <w:rFonts w:hint="eastAsia" w:ascii="方正书宋_GBK" w:eastAsia="方正书宋_GBK"/>
                <w:sz w:val="21"/>
              </w:rPr>
            </w:pPr>
            <w:r>
              <w:rPr>
                <w:rFonts w:hint="eastAsia" w:ascii="方正书宋_GBK" w:eastAsia="方正书宋_GBK"/>
                <w:sz w:val="21"/>
              </w:rPr>
              <w:t>批</w:t>
            </w:r>
          </w:p>
        </w:tc>
        <w:tc>
          <w:tcPr>
            <w:tcW w:w="360" w:type="dxa"/>
            <w:shd w:val="clear" w:color="auto" w:fill="auto"/>
            <w:noWrap w:val="0"/>
            <w:vAlign w:val="center"/>
          </w:tcPr>
          <w:p>
            <w:pPr>
              <w:spacing w:line="300" w:lineRule="exact"/>
              <w:jc w:val="right"/>
              <w:rPr>
                <w:rFonts w:hint="eastAsia" w:ascii="方正书宋_GBK" w:eastAsia="方正书宋_GBK"/>
                <w:sz w:val="21"/>
              </w:rPr>
            </w:pPr>
            <w:r>
              <w:rPr>
                <w:rFonts w:hint="eastAsia" w:ascii="方正书宋_GBK" w:eastAsia="方正书宋_GBK"/>
                <w:sz w:val="21"/>
              </w:rPr>
              <w:t>1</w:t>
            </w:r>
          </w:p>
        </w:tc>
        <w:tc>
          <w:tcPr>
            <w:tcW w:w="435"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99.00</w:t>
            </w:r>
          </w:p>
        </w:tc>
        <w:tc>
          <w:tcPr>
            <w:tcW w:w="825"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99.00</w:t>
            </w:r>
          </w:p>
        </w:tc>
        <w:tc>
          <w:tcPr>
            <w:tcW w:w="764"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99.00</w:t>
            </w:r>
          </w:p>
        </w:tc>
        <w:tc>
          <w:tcPr>
            <w:tcW w:w="751" w:type="dxa"/>
            <w:shd w:val="clear" w:color="auto" w:fill="auto"/>
            <w:noWrap w:val="0"/>
            <w:vAlign w:val="center"/>
          </w:tcPr>
          <w:p>
            <w:pPr>
              <w:spacing w:line="300" w:lineRule="exact"/>
              <w:jc w:val="right"/>
              <w:rPr>
                <w:rFonts w:hint="eastAsia" w:ascii="方正书宋_GBK" w:eastAsia="方正书宋_GBK"/>
                <w:sz w:val="13"/>
                <w:szCs w:val="13"/>
              </w:rPr>
            </w:pPr>
          </w:p>
        </w:tc>
        <w:tc>
          <w:tcPr>
            <w:tcW w:w="584" w:type="dxa"/>
            <w:shd w:val="clear" w:color="auto" w:fill="auto"/>
            <w:noWrap w:val="0"/>
            <w:vAlign w:val="center"/>
          </w:tcPr>
          <w:p>
            <w:pPr>
              <w:spacing w:line="300" w:lineRule="exact"/>
              <w:jc w:val="right"/>
              <w:rPr>
                <w:rFonts w:hint="eastAsia" w:ascii="方正书宋_GBK" w:eastAsia="方正书宋_GBK"/>
                <w:sz w:val="21"/>
              </w:rPr>
            </w:pPr>
          </w:p>
        </w:tc>
        <w:tc>
          <w:tcPr>
            <w:tcW w:w="450" w:type="dxa"/>
            <w:shd w:val="clear" w:color="auto" w:fill="auto"/>
            <w:noWrap w:val="0"/>
            <w:vAlign w:val="center"/>
          </w:tcPr>
          <w:p>
            <w:pPr>
              <w:spacing w:line="300" w:lineRule="exact"/>
              <w:jc w:val="right"/>
              <w:rPr>
                <w:rFonts w:hint="eastAsia" w:ascii="方正书宋_GBK" w:eastAsia="方正书宋_GBK"/>
                <w:sz w:val="21"/>
              </w:rPr>
            </w:pPr>
          </w:p>
        </w:tc>
        <w:tc>
          <w:tcPr>
            <w:tcW w:w="464" w:type="dxa"/>
            <w:shd w:val="clear" w:color="auto" w:fill="auto"/>
            <w:noWrap w:val="0"/>
            <w:vAlign w:val="center"/>
          </w:tcPr>
          <w:p>
            <w:pPr>
              <w:spacing w:line="300" w:lineRule="exact"/>
              <w:jc w:val="right"/>
              <w:rPr>
                <w:rFonts w:hint="eastAsia" w:ascii="方正书宋_GBK" w:eastAsia="方正书宋_GBK"/>
                <w:sz w:val="21"/>
              </w:rPr>
            </w:pPr>
          </w:p>
        </w:tc>
      </w:tr>
    </w:tbl>
    <w:p>
      <w:pPr>
        <w:spacing w:line="300" w:lineRule="exact"/>
        <w:outlineLvl w:val="1"/>
        <w:rPr>
          <w:rFonts w:ascii="Times New Roman" w:hAnsi="Times New Roman" w:eastAsia="方正仿宋_GBK"/>
          <w:sz w:val="28"/>
        </w:rPr>
        <w:sectPr>
          <w:pgSz w:w="11907" w:h="16839"/>
          <w:pgMar w:top="1020" w:right="1361" w:bottom="1020" w:left="1361" w:header="851" w:footer="992" w:gutter="0"/>
          <w:cols w:space="720" w:num="1"/>
          <w:docGrid w:type="lines" w:linePitch="312" w:charSpace="0"/>
        </w:sectPr>
      </w:pPr>
    </w:p>
    <w:p>
      <w:pPr>
        <w:adjustRightInd w:val="0"/>
        <w:snapToGrid w:val="0"/>
        <w:spacing w:line="560" w:lineRule="exact"/>
        <w:ind w:left="0" w:firstLine="482" w:firstLineChars="150"/>
        <w:rPr>
          <w:rFonts w:hint="eastAsia" w:ascii="仿宋_GB2312" w:eastAsia="仿宋_GB2312"/>
          <w:color w:val="FF0000"/>
          <w:sz w:val="32"/>
          <w:szCs w:val="32"/>
        </w:rPr>
      </w:pPr>
      <w:r>
        <w:rPr>
          <w:rFonts w:hint="eastAsia" w:ascii="仿宋_GB2312" w:eastAsia="仿宋_GB2312"/>
          <w:b/>
          <w:sz w:val="32"/>
          <w:szCs w:val="32"/>
        </w:rPr>
        <w:t>七、国有资产信息</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我单位2020年底固定资产1492.84万元，其中房屋7812平方米价值613万元、车辆2辆价值13.4万元、单价20万元以上设备4台价值452.91万元、其他固定资产 个价值413.53万元。</w:t>
      </w:r>
    </w:p>
    <w:tbl>
      <w:tblPr>
        <w:tblStyle w:val="8"/>
        <w:tblW w:w="0" w:type="auto"/>
        <w:tblInd w:w="93" w:type="dxa"/>
        <w:tblLayout w:type="fixed"/>
        <w:tblCellMar>
          <w:top w:w="0" w:type="dxa"/>
          <w:left w:w="108" w:type="dxa"/>
          <w:bottom w:w="0" w:type="dxa"/>
          <w:right w:w="108" w:type="dxa"/>
        </w:tblCellMar>
      </w:tblPr>
      <w:tblGrid>
        <w:gridCol w:w="1900"/>
        <w:gridCol w:w="2689"/>
        <w:gridCol w:w="4131"/>
      </w:tblGrid>
      <w:tr>
        <w:tblPrEx>
          <w:tblCellMar>
            <w:top w:w="0" w:type="dxa"/>
            <w:left w:w="108" w:type="dxa"/>
            <w:bottom w:w="0" w:type="dxa"/>
            <w:right w:w="108" w:type="dxa"/>
          </w:tblCellMar>
        </w:tblPrEx>
        <w:trPr>
          <w:trHeight w:val="846" w:hRule="atLeast"/>
        </w:trPr>
        <w:tc>
          <w:tcPr>
            <w:tcW w:w="8720" w:type="dxa"/>
            <w:gridSpan w:val="3"/>
            <w:tcBorders>
              <w:top w:val="nil"/>
              <w:left w:val="nil"/>
              <w:bottom w:val="nil"/>
              <w:right w:val="nil"/>
            </w:tcBorders>
            <w:noWrap w:val="0"/>
            <w:vAlign w:val="center"/>
          </w:tcPr>
          <w:p>
            <w:pPr>
              <w:widowControl/>
              <w:jc w:val="center"/>
              <w:rPr>
                <w:rFonts w:hint="eastAsia" w:ascii="宋体" w:cs="宋体"/>
                <w:b/>
                <w:bCs/>
                <w:kern w:val="0"/>
                <w:sz w:val="32"/>
                <w:szCs w:val="32"/>
                <w:lang w:bidi="ar-SA"/>
              </w:rPr>
            </w:pPr>
            <w:r>
              <w:rPr>
                <w:rFonts w:hint="eastAsia" w:ascii="宋体" w:cs="宋体"/>
                <w:b/>
                <w:bCs/>
                <w:kern w:val="0"/>
                <w:sz w:val="32"/>
                <w:szCs w:val="32"/>
                <w:lang w:eastAsia="zh-CN" w:bidi="ar-SA"/>
              </w:rPr>
              <w:t>单位</w:t>
            </w:r>
            <w:r>
              <w:rPr>
                <w:rFonts w:hint="eastAsia" w:ascii="宋体" w:cs="宋体"/>
                <w:b/>
                <w:bCs/>
                <w:kern w:val="0"/>
                <w:sz w:val="32"/>
                <w:szCs w:val="32"/>
                <w:lang w:bidi="ar-SA"/>
              </w:rPr>
              <w:t>固定资产占用情况表</w:t>
            </w:r>
          </w:p>
        </w:tc>
      </w:tr>
      <w:tr>
        <w:tblPrEx>
          <w:tblCellMar>
            <w:top w:w="0" w:type="dxa"/>
            <w:left w:w="108" w:type="dxa"/>
            <w:bottom w:w="0" w:type="dxa"/>
            <w:right w:w="108" w:type="dxa"/>
          </w:tblCellMar>
        </w:tblPrEx>
        <w:trPr>
          <w:trHeight w:val="612" w:hRule="atLeast"/>
        </w:trPr>
        <w:tc>
          <w:tcPr>
            <w:tcW w:w="4589" w:type="dxa"/>
            <w:gridSpan w:val="2"/>
            <w:tcBorders>
              <w:top w:val="nil"/>
              <w:left w:val="nil"/>
              <w:bottom w:val="nil"/>
              <w:right w:val="nil"/>
            </w:tcBorders>
            <w:noWrap w:val="0"/>
            <w:vAlign w:val="center"/>
          </w:tcPr>
          <w:p>
            <w:pPr>
              <w:widowControl/>
              <w:jc w:val="left"/>
              <w:rPr>
                <w:rFonts w:eastAsia="仿宋"/>
                <w:kern w:val="0"/>
                <w:sz w:val="22"/>
              </w:rPr>
            </w:pPr>
            <w:r>
              <w:rPr>
                <w:rFonts w:hint="eastAsia" w:eastAsia="仿宋"/>
                <w:kern w:val="0"/>
                <w:sz w:val="22"/>
              </w:rPr>
              <w:t>编制</w:t>
            </w:r>
            <w:r>
              <w:rPr>
                <w:rFonts w:hint="eastAsia" w:eastAsia="仿宋"/>
                <w:kern w:val="0"/>
                <w:sz w:val="22"/>
                <w:lang w:eastAsia="zh-CN"/>
              </w:rPr>
              <w:t>单位</w:t>
            </w:r>
            <w:r>
              <w:rPr>
                <w:rFonts w:hint="eastAsia" w:eastAsia="仿宋"/>
                <w:kern w:val="0"/>
                <w:sz w:val="22"/>
              </w:rPr>
              <w:t>：</w:t>
            </w:r>
          </w:p>
        </w:tc>
        <w:tc>
          <w:tcPr>
            <w:tcW w:w="4131" w:type="dxa"/>
            <w:tcBorders>
              <w:top w:val="nil"/>
              <w:left w:val="nil"/>
              <w:bottom w:val="nil"/>
              <w:right w:val="nil"/>
            </w:tcBorders>
            <w:noWrap w:val="0"/>
            <w:vAlign w:val="center"/>
          </w:tcPr>
          <w:p>
            <w:pPr>
              <w:widowControl/>
              <w:jc w:val="right"/>
              <w:rPr>
                <w:rFonts w:hint="eastAsia" w:ascii="宋体" w:cs="宋体"/>
                <w:b/>
                <w:bCs/>
                <w:kern w:val="0"/>
                <w:sz w:val="22"/>
                <w:szCs w:val="22"/>
                <w:lang w:bidi="ar-SA"/>
              </w:rPr>
            </w:pPr>
            <w:r>
              <w:rPr>
                <w:rFonts w:hint="eastAsia" w:ascii="仿宋_GB2312" w:eastAsia="仿宋_GB2312" w:cs="仿宋_GB2312"/>
                <w:kern w:val="0"/>
                <w:sz w:val="22"/>
                <w:szCs w:val="22"/>
                <w:lang w:bidi="ar-SA"/>
              </w:rPr>
              <w:t>截止时间：2020年12月31日</w:t>
            </w:r>
          </w:p>
        </w:tc>
      </w:tr>
      <w:tr>
        <w:tblPrEx>
          <w:tblCellMar>
            <w:top w:w="0" w:type="dxa"/>
            <w:left w:w="108" w:type="dxa"/>
            <w:bottom w:w="0" w:type="dxa"/>
            <w:right w:w="108" w:type="dxa"/>
          </w:tblCellMar>
        </w:tblPrEx>
        <w:trPr>
          <w:trHeight w:val="397" w:hRule="atLeast"/>
        </w:trPr>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b/>
                <w:bCs/>
                <w:kern w:val="0"/>
                <w:sz w:val="22"/>
                <w:lang w:bidi="ar-SA"/>
              </w:rPr>
            </w:pPr>
            <w:r>
              <w:rPr>
                <w:rFonts w:hint="eastAsia" w:ascii="宋体" w:cs="宋体"/>
                <w:b/>
                <w:bCs/>
                <w:kern w:val="0"/>
                <w:sz w:val="22"/>
                <w:lang w:bidi="ar-SA"/>
              </w:rPr>
              <w:t>项目</w:t>
            </w:r>
          </w:p>
        </w:tc>
        <w:tc>
          <w:tcPr>
            <w:tcW w:w="268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cs="宋体"/>
                <w:b/>
                <w:bCs/>
                <w:kern w:val="0"/>
                <w:sz w:val="22"/>
                <w:lang w:bidi="ar-SA"/>
              </w:rPr>
            </w:pPr>
            <w:r>
              <w:rPr>
                <w:rFonts w:hint="eastAsia" w:ascii="宋体" w:cs="宋体"/>
                <w:b/>
                <w:bCs/>
                <w:kern w:val="0"/>
                <w:sz w:val="22"/>
                <w:lang w:bidi="ar-SA"/>
              </w:rPr>
              <w:t>数量</w:t>
            </w:r>
          </w:p>
        </w:tc>
        <w:tc>
          <w:tcPr>
            <w:tcW w:w="413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cs="宋体"/>
                <w:b/>
                <w:bCs/>
                <w:kern w:val="0"/>
                <w:sz w:val="22"/>
                <w:szCs w:val="22"/>
                <w:lang w:bidi="ar-SA"/>
              </w:rPr>
            </w:pPr>
            <w:r>
              <w:rPr>
                <w:rFonts w:hint="eastAsia" w:ascii="宋体" w:cs="宋体"/>
                <w:b/>
                <w:bCs/>
                <w:kern w:val="0"/>
                <w:sz w:val="22"/>
                <w:szCs w:val="22"/>
                <w:lang w:bidi="ar-SA"/>
              </w:rPr>
              <w:t>价值（金额单位：万元）</w:t>
            </w:r>
          </w:p>
        </w:tc>
      </w:tr>
      <w:tr>
        <w:tblPrEx>
          <w:tblCellMar>
            <w:top w:w="0" w:type="dxa"/>
            <w:left w:w="108" w:type="dxa"/>
            <w:bottom w:w="0" w:type="dxa"/>
            <w:right w:w="108" w:type="dxa"/>
          </w:tblCellMar>
        </w:tblPrEx>
        <w:trPr>
          <w:trHeight w:val="350" w:hRule="atLeast"/>
        </w:trPr>
        <w:tc>
          <w:tcPr>
            <w:tcW w:w="1900" w:type="dxa"/>
            <w:tcBorders>
              <w:top w:val="nil"/>
              <w:left w:val="single" w:color="auto" w:sz="4" w:space="0"/>
              <w:bottom w:val="single" w:color="auto" w:sz="4" w:space="0"/>
              <w:right w:val="single" w:color="auto" w:sz="4" w:space="0"/>
            </w:tcBorders>
            <w:noWrap w:val="0"/>
            <w:vAlign w:val="center"/>
          </w:tcPr>
          <w:p>
            <w:pPr>
              <w:widowControl/>
              <w:jc w:val="center"/>
              <w:rPr>
                <w:rFonts w:eastAsia="仿宋"/>
                <w:kern w:val="0"/>
                <w:sz w:val="22"/>
              </w:rPr>
            </w:pPr>
            <w:r>
              <w:rPr>
                <w:rFonts w:hint="eastAsia" w:eastAsia="仿宋"/>
                <w:kern w:val="0"/>
                <w:sz w:val="22"/>
              </w:rPr>
              <w:t>资产总额</w:t>
            </w:r>
          </w:p>
        </w:tc>
        <w:tc>
          <w:tcPr>
            <w:tcW w:w="2689" w:type="dxa"/>
            <w:tcBorders>
              <w:top w:val="nil"/>
              <w:left w:val="nil"/>
              <w:bottom w:val="single" w:color="auto" w:sz="4" w:space="0"/>
              <w:right w:val="single" w:color="auto" w:sz="4" w:space="0"/>
            </w:tcBorders>
            <w:noWrap w:val="0"/>
            <w:vAlign w:val="center"/>
          </w:tcPr>
          <w:p>
            <w:pPr>
              <w:widowControl/>
              <w:jc w:val="center"/>
              <w:rPr>
                <w:rFonts w:eastAsia="仿宋"/>
                <w:kern w:val="0"/>
                <w:sz w:val="22"/>
              </w:rPr>
            </w:pPr>
          </w:p>
        </w:tc>
        <w:tc>
          <w:tcPr>
            <w:tcW w:w="4131"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rPr>
            </w:pPr>
            <w:r>
              <w:rPr>
                <w:rFonts w:eastAsia="仿宋"/>
                <w:kern w:val="0"/>
                <w:sz w:val="22"/>
              </w:rPr>
              <w:t>1492.84</w:t>
            </w:r>
          </w:p>
        </w:tc>
      </w:tr>
      <w:tr>
        <w:tblPrEx>
          <w:tblCellMar>
            <w:top w:w="0" w:type="dxa"/>
            <w:left w:w="108" w:type="dxa"/>
            <w:bottom w:w="0" w:type="dxa"/>
            <w:right w:w="108" w:type="dxa"/>
          </w:tblCellMar>
        </w:tblPrEx>
        <w:trPr>
          <w:trHeight w:val="539" w:hRule="atLeast"/>
        </w:trPr>
        <w:tc>
          <w:tcPr>
            <w:tcW w:w="1900" w:type="dxa"/>
            <w:tcBorders>
              <w:top w:val="nil"/>
              <w:left w:val="single" w:color="auto" w:sz="4" w:space="0"/>
              <w:bottom w:val="single" w:color="auto" w:sz="4" w:space="0"/>
              <w:right w:val="single" w:color="auto" w:sz="4" w:space="0"/>
            </w:tcBorders>
            <w:noWrap w:val="0"/>
            <w:vAlign w:val="center"/>
          </w:tcPr>
          <w:p>
            <w:pPr>
              <w:widowControl/>
              <w:jc w:val="left"/>
              <w:rPr>
                <w:rFonts w:eastAsia="仿宋"/>
                <w:kern w:val="0"/>
                <w:sz w:val="22"/>
              </w:rPr>
            </w:pPr>
            <w:r>
              <w:rPr>
                <w:rFonts w:eastAsia="仿宋"/>
                <w:kern w:val="0"/>
                <w:sz w:val="22"/>
              </w:rPr>
              <w:t>1</w:t>
            </w:r>
            <w:r>
              <w:rPr>
                <w:rFonts w:hint="eastAsia" w:eastAsia="仿宋"/>
                <w:kern w:val="0"/>
                <w:sz w:val="22"/>
              </w:rPr>
              <w:t>、房屋（平方米）</w:t>
            </w:r>
          </w:p>
        </w:tc>
        <w:tc>
          <w:tcPr>
            <w:tcW w:w="2689"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rPr>
            </w:pPr>
            <w:r>
              <w:rPr>
                <w:rFonts w:eastAsia="仿宋"/>
                <w:kern w:val="0"/>
                <w:sz w:val="22"/>
              </w:rPr>
              <w:t>7812</w:t>
            </w:r>
          </w:p>
        </w:tc>
        <w:tc>
          <w:tcPr>
            <w:tcW w:w="4131" w:type="dxa"/>
            <w:tcBorders>
              <w:top w:val="nil"/>
              <w:left w:val="nil"/>
              <w:bottom w:val="single" w:color="auto" w:sz="4" w:space="0"/>
              <w:right w:val="single" w:color="auto" w:sz="4" w:space="0"/>
            </w:tcBorders>
            <w:noWrap w:val="0"/>
            <w:vAlign w:val="center"/>
          </w:tcPr>
          <w:p>
            <w:pPr>
              <w:widowControl/>
              <w:jc w:val="center"/>
              <w:rPr>
                <w:rFonts w:eastAsia="仿宋"/>
                <w:kern w:val="0"/>
                <w:sz w:val="22"/>
              </w:rPr>
            </w:pPr>
            <w:r>
              <w:rPr>
                <w:rFonts w:eastAsia="仿宋"/>
                <w:kern w:val="0"/>
                <w:sz w:val="22"/>
              </w:rPr>
              <w:t>613</w:t>
            </w:r>
          </w:p>
        </w:tc>
      </w:tr>
      <w:tr>
        <w:tblPrEx>
          <w:tblCellMar>
            <w:top w:w="0" w:type="dxa"/>
            <w:left w:w="108" w:type="dxa"/>
            <w:bottom w:w="0" w:type="dxa"/>
            <w:right w:w="108" w:type="dxa"/>
          </w:tblCellMar>
        </w:tblPrEx>
        <w:trPr>
          <w:trHeight w:val="616" w:hRule="atLeast"/>
        </w:trPr>
        <w:tc>
          <w:tcPr>
            <w:tcW w:w="1900" w:type="dxa"/>
            <w:tcBorders>
              <w:top w:val="nil"/>
              <w:left w:val="single" w:color="auto" w:sz="4" w:space="0"/>
              <w:bottom w:val="single" w:color="auto" w:sz="4" w:space="0"/>
              <w:right w:val="single" w:color="auto" w:sz="4" w:space="0"/>
            </w:tcBorders>
            <w:noWrap w:val="0"/>
            <w:vAlign w:val="center"/>
          </w:tcPr>
          <w:p>
            <w:pPr>
              <w:widowControl/>
              <w:jc w:val="left"/>
              <w:rPr>
                <w:rFonts w:eastAsia="仿宋"/>
                <w:kern w:val="0"/>
                <w:sz w:val="22"/>
              </w:rPr>
            </w:pPr>
            <w:r>
              <w:rPr>
                <w:rFonts w:hint="eastAsia" w:eastAsia="仿宋"/>
                <w:kern w:val="0"/>
                <w:sz w:val="22"/>
              </w:rPr>
              <w:t>其中：办公用房（平方米）</w:t>
            </w:r>
          </w:p>
        </w:tc>
        <w:tc>
          <w:tcPr>
            <w:tcW w:w="2689"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rPr>
            </w:pPr>
            <w:r>
              <w:rPr>
                <w:rFonts w:eastAsia="仿宋"/>
                <w:kern w:val="0"/>
                <w:sz w:val="22"/>
              </w:rPr>
              <w:t>156</w:t>
            </w:r>
          </w:p>
        </w:tc>
        <w:tc>
          <w:tcPr>
            <w:tcW w:w="4131"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rPr>
            </w:pPr>
            <w:r>
              <w:rPr>
                <w:rFonts w:eastAsia="仿宋"/>
                <w:kern w:val="0"/>
                <w:sz w:val="22"/>
              </w:rPr>
              <w:t>12.26</w:t>
            </w:r>
          </w:p>
        </w:tc>
      </w:tr>
      <w:tr>
        <w:tblPrEx>
          <w:tblCellMar>
            <w:top w:w="0" w:type="dxa"/>
            <w:left w:w="108" w:type="dxa"/>
            <w:bottom w:w="0" w:type="dxa"/>
            <w:right w:w="108" w:type="dxa"/>
          </w:tblCellMar>
        </w:tblPrEx>
        <w:trPr>
          <w:trHeight w:val="463" w:hRule="atLeast"/>
        </w:trPr>
        <w:tc>
          <w:tcPr>
            <w:tcW w:w="1900" w:type="dxa"/>
            <w:tcBorders>
              <w:top w:val="nil"/>
              <w:left w:val="single" w:color="auto" w:sz="4" w:space="0"/>
              <w:bottom w:val="single" w:color="auto" w:sz="4" w:space="0"/>
              <w:right w:val="single" w:color="auto" w:sz="4" w:space="0"/>
            </w:tcBorders>
            <w:noWrap w:val="0"/>
            <w:vAlign w:val="center"/>
          </w:tcPr>
          <w:p>
            <w:pPr>
              <w:widowControl/>
              <w:jc w:val="left"/>
              <w:rPr>
                <w:rFonts w:eastAsia="仿宋"/>
                <w:kern w:val="0"/>
                <w:sz w:val="22"/>
              </w:rPr>
            </w:pPr>
            <w:r>
              <w:rPr>
                <w:rFonts w:eastAsia="仿宋"/>
                <w:kern w:val="0"/>
                <w:sz w:val="22"/>
              </w:rPr>
              <w:t>2</w:t>
            </w:r>
            <w:r>
              <w:rPr>
                <w:rFonts w:hint="eastAsia" w:eastAsia="仿宋"/>
                <w:kern w:val="0"/>
                <w:sz w:val="22"/>
              </w:rPr>
              <w:t>、车辆（台、辆）</w:t>
            </w:r>
          </w:p>
        </w:tc>
        <w:tc>
          <w:tcPr>
            <w:tcW w:w="2689"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rPr>
            </w:pPr>
            <w:r>
              <w:rPr>
                <w:rFonts w:eastAsia="仿宋"/>
                <w:kern w:val="0"/>
                <w:sz w:val="22"/>
              </w:rPr>
              <w:t>2</w:t>
            </w:r>
          </w:p>
        </w:tc>
        <w:tc>
          <w:tcPr>
            <w:tcW w:w="4131"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rPr>
            </w:pPr>
            <w:r>
              <w:rPr>
                <w:rFonts w:eastAsia="仿宋"/>
                <w:kern w:val="0"/>
                <w:sz w:val="22"/>
              </w:rPr>
              <w:t>13.4</w:t>
            </w:r>
          </w:p>
        </w:tc>
      </w:tr>
      <w:tr>
        <w:tblPrEx>
          <w:tblCellMar>
            <w:top w:w="0" w:type="dxa"/>
            <w:left w:w="108" w:type="dxa"/>
            <w:bottom w:w="0" w:type="dxa"/>
            <w:right w:w="108" w:type="dxa"/>
          </w:tblCellMar>
        </w:tblPrEx>
        <w:trPr>
          <w:trHeight w:val="691" w:hRule="atLeast"/>
        </w:trPr>
        <w:tc>
          <w:tcPr>
            <w:tcW w:w="1900" w:type="dxa"/>
            <w:tcBorders>
              <w:top w:val="nil"/>
              <w:left w:val="single" w:color="auto" w:sz="4" w:space="0"/>
              <w:bottom w:val="single" w:color="auto" w:sz="4" w:space="0"/>
              <w:right w:val="single" w:color="auto" w:sz="4" w:space="0"/>
            </w:tcBorders>
            <w:noWrap w:val="0"/>
            <w:vAlign w:val="center"/>
          </w:tcPr>
          <w:p>
            <w:pPr>
              <w:widowControl/>
              <w:jc w:val="left"/>
              <w:rPr>
                <w:rFonts w:eastAsia="仿宋"/>
                <w:kern w:val="0"/>
                <w:sz w:val="22"/>
              </w:rPr>
            </w:pPr>
            <w:r>
              <w:rPr>
                <w:rFonts w:eastAsia="仿宋"/>
                <w:kern w:val="0"/>
                <w:sz w:val="22"/>
              </w:rPr>
              <w:t>3</w:t>
            </w:r>
            <w:r>
              <w:rPr>
                <w:rFonts w:hint="eastAsia" w:eastAsia="仿宋"/>
                <w:kern w:val="0"/>
                <w:sz w:val="22"/>
              </w:rPr>
              <w:t>、单价在</w:t>
            </w:r>
            <w:r>
              <w:rPr>
                <w:rFonts w:eastAsia="仿宋"/>
                <w:kern w:val="0"/>
                <w:sz w:val="22"/>
              </w:rPr>
              <w:t>20</w:t>
            </w:r>
            <w:r>
              <w:rPr>
                <w:rFonts w:hint="eastAsia" w:eastAsia="仿宋"/>
                <w:kern w:val="0"/>
                <w:sz w:val="22"/>
              </w:rPr>
              <w:t>万元以上设备</w:t>
            </w:r>
          </w:p>
        </w:tc>
        <w:tc>
          <w:tcPr>
            <w:tcW w:w="2689" w:type="dxa"/>
            <w:tcBorders>
              <w:top w:val="nil"/>
              <w:left w:val="nil"/>
              <w:bottom w:val="single" w:color="auto" w:sz="4" w:space="0"/>
              <w:right w:val="single" w:color="auto" w:sz="4" w:space="0"/>
            </w:tcBorders>
            <w:noWrap w:val="0"/>
            <w:vAlign w:val="center"/>
          </w:tcPr>
          <w:p>
            <w:pPr>
              <w:widowControl/>
              <w:jc w:val="center"/>
              <w:rPr>
                <w:rFonts w:eastAsia="仿宋"/>
                <w:kern w:val="0"/>
                <w:sz w:val="22"/>
              </w:rPr>
            </w:pPr>
            <w:r>
              <w:rPr>
                <w:rFonts w:eastAsia="仿宋"/>
                <w:kern w:val="0"/>
                <w:sz w:val="22"/>
              </w:rPr>
              <w:t>6</w:t>
            </w:r>
          </w:p>
        </w:tc>
        <w:tc>
          <w:tcPr>
            <w:tcW w:w="4131"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rPr>
            </w:pPr>
            <w:r>
              <w:rPr>
                <w:rFonts w:hint="eastAsia" w:ascii="仿宋" w:eastAsia="仿宋"/>
                <w:kern w:val="0"/>
                <w:sz w:val="22"/>
              </w:rPr>
              <w:t>452.91</w:t>
            </w:r>
          </w:p>
        </w:tc>
      </w:tr>
      <w:tr>
        <w:tblPrEx>
          <w:tblCellMar>
            <w:top w:w="0" w:type="dxa"/>
            <w:left w:w="108" w:type="dxa"/>
            <w:bottom w:w="0" w:type="dxa"/>
            <w:right w:w="108" w:type="dxa"/>
          </w:tblCellMar>
        </w:tblPrEx>
        <w:trPr>
          <w:trHeight w:val="390" w:hRule="atLeast"/>
        </w:trPr>
        <w:tc>
          <w:tcPr>
            <w:tcW w:w="1900" w:type="dxa"/>
            <w:tcBorders>
              <w:top w:val="nil"/>
              <w:left w:val="single" w:color="auto" w:sz="4" w:space="0"/>
              <w:bottom w:val="single" w:color="auto" w:sz="4" w:space="0"/>
              <w:right w:val="single" w:color="auto" w:sz="4" w:space="0"/>
            </w:tcBorders>
            <w:noWrap w:val="0"/>
            <w:vAlign w:val="center"/>
          </w:tcPr>
          <w:p>
            <w:pPr>
              <w:widowControl/>
              <w:jc w:val="left"/>
              <w:rPr>
                <w:rFonts w:eastAsia="仿宋"/>
                <w:kern w:val="0"/>
                <w:sz w:val="22"/>
              </w:rPr>
            </w:pPr>
            <w:r>
              <w:rPr>
                <w:rFonts w:eastAsia="仿宋"/>
                <w:kern w:val="0"/>
                <w:sz w:val="22"/>
              </w:rPr>
              <w:t>4</w:t>
            </w:r>
            <w:r>
              <w:rPr>
                <w:rFonts w:hint="eastAsia" w:eastAsia="仿宋"/>
                <w:kern w:val="0"/>
                <w:sz w:val="22"/>
              </w:rPr>
              <w:t>、其他固定资产</w:t>
            </w:r>
          </w:p>
        </w:tc>
        <w:tc>
          <w:tcPr>
            <w:tcW w:w="2689" w:type="dxa"/>
            <w:tcBorders>
              <w:top w:val="nil"/>
              <w:left w:val="nil"/>
              <w:bottom w:val="single" w:color="auto" w:sz="4" w:space="0"/>
              <w:right w:val="single" w:color="auto" w:sz="4" w:space="0"/>
            </w:tcBorders>
            <w:noWrap w:val="0"/>
            <w:vAlign w:val="center"/>
          </w:tcPr>
          <w:p>
            <w:pPr>
              <w:widowControl/>
              <w:jc w:val="center"/>
              <w:rPr>
                <w:rFonts w:eastAsia="仿宋"/>
                <w:kern w:val="0"/>
                <w:sz w:val="22"/>
              </w:rPr>
            </w:pPr>
            <w:r>
              <w:rPr>
                <w:rFonts w:eastAsia="仿宋"/>
                <w:kern w:val="0"/>
                <w:sz w:val="22"/>
              </w:rPr>
              <w:t>743</w:t>
            </w:r>
          </w:p>
        </w:tc>
        <w:tc>
          <w:tcPr>
            <w:tcW w:w="4131"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rPr>
            </w:pPr>
            <w:r>
              <w:rPr>
                <w:rFonts w:eastAsia="仿宋"/>
                <w:kern w:val="0"/>
                <w:sz w:val="22"/>
              </w:rPr>
              <w:t>413.53</w:t>
            </w:r>
          </w:p>
        </w:tc>
      </w:tr>
    </w:tbl>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2021年我单位拟购置复印机1台、笔记本电脑1台、空调1台。</w:t>
      </w:r>
    </w:p>
    <w:p>
      <w:pPr>
        <w:autoSpaceDE w:val="0"/>
        <w:autoSpaceDN w:val="0"/>
        <w:adjustRightInd w:val="0"/>
        <w:snapToGrid w:val="0"/>
        <w:spacing w:line="560" w:lineRule="exact"/>
        <w:ind w:firstLine="643" w:firstLineChars="200"/>
        <w:jc w:val="left"/>
        <w:rPr>
          <w:rFonts w:hint="eastAsia" w:ascii="仿宋_GB2312" w:eastAsia="仿宋_GB2312"/>
          <w:color w:val="FF0000"/>
          <w:sz w:val="32"/>
          <w:szCs w:val="32"/>
        </w:rPr>
      </w:pPr>
      <w:r>
        <w:rPr>
          <w:rFonts w:hint="eastAsia" w:ascii="仿宋_GB2312" w:eastAsia="仿宋_GB2312"/>
          <w:b/>
          <w:sz w:val="32"/>
          <w:szCs w:val="32"/>
        </w:rPr>
        <w:t>八、专业名词解释</w:t>
      </w:r>
    </w:p>
    <w:p>
      <w:pPr>
        <w:adjustRightInd w:val="0"/>
        <w:snapToGrid w:val="0"/>
        <w:spacing w:line="560" w:lineRule="exact"/>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 xml:space="preserve">  基本支出</w:t>
      </w:r>
      <w:r>
        <w:rPr>
          <w:rFonts w:hint="eastAsia" w:ascii="仿宋_GB2312" w:eastAsia="仿宋_GB2312"/>
          <w:b/>
          <w:sz w:val="32"/>
          <w:szCs w:val="32"/>
        </w:rPr>
        <w:t>：</w:t>
      </w:r>
      <w:r>
        <w:rPr>
          <w:rFonts w:hint="eastAsia" w:ascii="仿宋_GB2312" w:eastAsia="仿宋_GB2312"/>
          <w:sz w:val="32"/>
          <w:szCs w:val="32"/>
        </w:rPr>
        <w:t>为保障机构正常运转，完成日常工作任务，而发生的人员支出和公用支出。</w:t>
      </w:r>
    </w:p>
    <w:p>
      <w:pPr>
        <w:adjustRightInd w:val="0"/>
        <w:snapToGrid w:val="0"/>
        <w:spacing w:line="56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w:t>
      </w:r>
      <w:r>
        <w:rPr>
          <w:rFonts w:hint="eastAsia" w:ascii="仿宋_GB2312" w:eastAsia="仿宋_GB2312"/>
          <w:sz w:val="32"/>
          <w:szCs w:val="32"/>
        </w:rPr>
        <w:t>项目支出</w:t>
      </w:r>
      <w:r>
        <w:rPr>
          <w:rFonts w:hint="eastAsia" w:ascii="仿宋_GB2312" w:eastAsia="仿宋_GB2312"/>
          <w:b/>
          <w:sz w:val="32"/>
          <w:szCs w:val="32"/>
        </w:rPr>
        <w:t>：</w:t>
      </w:r>
      <w:r>
        <w:rPr>
          <w:rFonts w:hint="eastAsia" w:ascii="仿宋_GB2312" w:eastAsia="仿宋_GB2312"/>
          <w:sz w:val="32"/>
          <w:szCs w:val="32"/>
        </w:rPr>
        <w:t xml:space="preserve">为完成特定行政任务和事业发展目标而发生的费用。    </w:t>
      </w:r>
    </w:p>
    <w:p>
      <w:pPr>
        <w:adjustRightInd w:val="0"/>
        <w:snapToGrid w:val="0"/>
        <w:spacing w:line="560" w:lineRule="exact"/>
        <w:ind w:firstLine="600"/>
        <w:rPr>
          <w:rFonts w:hint="eastAsia" w:ascii="仿宋_GB2312" w:eastAsia="仿宋_GB2312"/>
          <w:sz w:val="32"/>
          <w:szCs w:val="32"/>
        </w:rPr>
      </w:pPr>
      <w:r>
        <w:rPr>
          <w:rFonts w:hint="eastAsia" w:ascii="仿宋_GB2312" w:eastAsia="仿宋_GB2312"/>
          <w:b/>
          <w:sz w:val="32"/>
          <w:szCs w:val="32"/>
        </w:rPr>
        <w:t>九、其他情况说明</w:t>
      </w:r>
      <w:r>
        <w:rPr>
          <w:rFonts w:hint="eastAsia" w:ascii="仿宋_GB2312" w:eastAsia="仿宋_GB2312"/>
          <w:sz w:val="32"/>
          <w:szCs w:val="32"/>
          <w:lang w:eastAsia="zh-CN"/>
        </w:rPr>
        <w:t>单位</w:t>
      </w:r>
      <w:r>
        <w:rPr>
          <w:rFonts w:hint="eastAsia" w:ascii="仿宋_GB2312" w:eastAsia="仿宋_GB2312"/>
          <w:sz w:val="32"/>
          <w:szCs w:val="32"/>
        </w:rPr>
        <w:t>预算政府性基金预算财政拨款支出表，此表无数据，因本单位不涉及政府性基金，因此无数据；</w:t>
      </w:r>
    </w:p>
    <w:p>
      <w:pPr>
        <w:adjustRightInd w:val="0"/>
        <w:snapToGrid w:val="0"/>
        <w:spacing w:line="560" w:lineRule="exact"/>
        <w:ind w:firstLine="600"/>
        <w:rPr>
          <w:rFonts w:hint="eastAsia" w:ascii="仿宋_GB2312" w:eastAsia="仿宋_GB2312"/>
          <w:sz w:val="32"/>
          <w:szCs w:val="32"/>
        </w:rPr>
      </w:pPr>
      <w:r>
        <w:rPr>
          <w:rFonts w:hint="eastAsia" w:ascii="仿宋_GB2312" w:eastAsia="仿宋_GB2312"/>
          <w:sz w:val="32"/>
          <w:szCs w:val="32"/>
          <w:lang w:eastAsia="zh-CN"/>
        </w:rPr>
        <w:t>单位</w:t>
      </w:r>
      <w:r>
        <w:rPr>
          <w:rFonts w:hint="eastAsia" w:ascii="仿宋_GB2312" w:eastAsia="仿宋_GB2312"/>
          <w:sz w:val="32"/>
          <w:szCs w:val="32"/>
        </w:rPr>
        <w:t>预算国有资本经营预算财政拨款支出表，此表无数据，因本单位不涉及国有资本经营，因此无数据。</w:t>
      </w:r>
    </w:p>
    <w:p>
      <w:pPr>
        <w:spacing w:line="500" w:lineRule="exact"/>
        <w:ind w:firstLine="560" w:firstLineChars="200"/>
        <w:jc w:val="left"/>
        <w:rPr>
          <w:rFonts w:hint="eastAsia" w:ascii="Times New Roman" w:eastAsia="方正仿宋_GBK"/>
          <w:color w:val="000000" w:themeColor="text1"/>
          <w:sz w:val="28"/>
          <w:lang w:eastAsia="zh-CN"/>
        </w:rPr>
      </w:pPr>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9" o:spid="_x0000_s4099" o:spt="202" type="#_x0000_t202" style="position:absolute;left:0pt;margin-top:0pt;height:10.35pt;width:4.5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100" o:spid="_x0000_s4100" o:spt="202" type="#_x0000_t202" style="position:absolute;left:0pt;margin-top:0pt;height:10.35pt;width:4.5pt;mso-position-horizontal:center;mso-position-horizontal-relative:margin;mso-wrap-style:none;z-index:251660288;mso-width-relative:page;mso-height-relative:page;" filled="f" stroked="f" coordsize="21600,21600">
          <v:path/>
          <v:fill on="f" focussize="0,0"/>
          <v:stroke on="f"/>
          <v:imagedata o:title=""/>
          <o:lock v:ext="edit"/>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w:pict>
        <v:shape id="_x0000_s4098" o:spid="_x0000_s409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42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BD5EA1"/>
    <w:multiLevelType w:val="singleLevel"/>
    <w:tmpl w:val="B3BD5EA1"/>
    <w:lvl w:ilvl="0" w:tentative="0">
      <w:start w:val="1"/>
      <w:numFmt w:val="chineseCounting"/>
      <w:suff w:val="space"/>
      <w:lvlText w:val="第%1部分"/>
      <w:lvlJc w:val="left"/>
      <w:rPr>
        <w:rFonts w:hint="eastAsia"/>
      </w:rPr>
    </w:lvl>
  </w:abstractNum>
  <w:abstractNum w:abstractNumId="1">
    <w:nsid w:val="0033EF6F"/>
    <w:multiLevelType w:val="singleLevel"/>
    <w:tmpl w:val="0033EF6F"/>
    <w:lvl w:ilvl="0" w:tentative="0">
      <w:start w:val="1"/>
      <w:numFmt w:val="chineseCounting"/>
      <w:suff w:val="space"/>
      <w:lvlText w:val="第%1部分"/>
      <w:lvlJc w:val="left"/>
      <w:rPr>
        <w:rFonts w:hint="eastAsia"/>
      </w:rPr>
    </w:lvl>
  </w:abstractNum>
  <w:abstractNum w:abstractNumId="2">
    <w:nsid w:val="29575AAD"/>
    <w:multiLevelType w:val="multilevel"/>
    <w:tmpl w:val="29575AAD"/>
    <w:lvl w:ilvl="0" w:tentative="0">
      <w:start w:val="1"/>
      <w:numFmt w:val="chineseCountingThousand"/>
      <w:lvlText w:val="（%1）"/>
      <w:legacy w:legacy="1" w:legacySpace="0" w:legacyIndent="960"/>
      <w:lvlJc w:val="left"/>
      <w:pPr>
        <w:ind w:left="1600" w:hanging="960"/>
      </w:pPr>
      <w:rPr>
        <w:rFonts w:hint="default" w:cs="宋体"/>
      </w:rPr>
    </w:lvl>
    <w:lvl w:ilvl="1" w:tentative="0">
      <w:start w:val="1"/>
      <w:numFmt w:val="lowerLetter"/>
      <w:lvlText w:val="%2)"/>
      <w:legacy w:legacy="1" w:legacySpace="0" w:legacyIndent="420"/>
      <w:lvlJc w:val="left"/>
      <w:pPr>
        <w:ind w:left="1480" w:hanging="420"/>
      </w:pPr>
    </w:lvl>
    <w:lvl w:ilvl="2" w:tentative="0">
      <w:start w:val="1"/>
      <w:numFmt w:val="lowerRoman"/>
      <w:lvlText w:val="%3."/>
      <w:legacy w:legacy="1" w:legacySpace="0" w:legacyIndent="420"/>
      <w:lvlJc w:val="right"/>
      <w:pPr>
        <w:ind w:left="1900" w:hanging="420"/>
      </w:pPr>
    </w:lvl>
    <w:lvl w:ilvl="3" w:tentative="0">
      <w:start w:val="1"/>
      <w:numFmt w:val="decimal"/>
      <w:lvlText w:val="%4."/>
      <w:legacy w:legacy="1" w:legacySpace="0" w:legacyIndent="420"/>
      <w:lvlJc w:val="left"/>
      <w:pPr>
        <w:ind w:left="2320" w:hanging="420"/>
      </w:pPr>
    </w:lvl>
    <w:lvl w:ilvl="4" w:tentative="0">
      <w:start w:val="1"/>
      <w:numFmt w:val="lowerLetter"/>
      <w:lvlText w:val="%5)"/>
      <w:legacy w:legacy="1" w:legacySpace="0" w:legacyIndent="420"/>
      <w:lvlJc w:val="left"/>
      <w:pPr>
        <w:ind w:left="2740" w:hanging="420"/>
      </w:pPr>
    </w:lvl>
    <w:lvl w:ilvl="5" w:tentative="0">
      <w:start w:val="1"/>
      <w:numFmt w:val="lowerRoman"/>
      <w:lvlText w:val="%6."/>
      <w:legacy w:legacy="1" w:legacySpace="0" w:legacyIndent="420"/>
      <w:lvlJc w:val="right"/>
      <w:pPr>
        <w:ind w:left="3160" w:hanging="420"/>
      </w:pPr>
    </w:lvl>
    <w:lvl w:ilvl="6" w:tentative="0">
      <w:start w:val="1"/>
      <w:numFmt w:val="decimal"/>
      <w:lvlText w:val="%7."/>
      <w:legacy w:legacy="1" w:legacySpace="0" w:legacyIndent="420"/>
      <w:lvlJc w:val="left"/>
      <w:pPr>
        <w:ind w:left="3580" w:hanging="420"/>
      </w:pPr>
    </w:lvl>
    <w:lvl w:ilvl="7" w:tentative="0">
      <w:start w:val="1"/>
      <w:numFmt w:val="lowerLetter"/>
      <w:lvlText w:val="%8)"/>
      <w:legacy w:legacy="1" w:legacySpace="0" w:legacyIndent="420"/>
      <w:lvlJc w:val="left"/>
      <w:pPr>
        <w:ind w:left="4000" w:hanging="420"/>
      </w:pPr>
    </w:lvl>
    <w:lvl w:ilvl="8" w:tentative="0">
      <w:start w:val="1"/>
      <w:numFmt w:val="lowerRoman"/>
      <w:lvlText w:val="%9."/>
      <w:legacy w:legacy="1" w:legacySpace="0" w:legacyIndent="420"/>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Q3Yzc2Yzk0YWEyMjA0MmVlM2M5N2M4N2Q2ZTkzZTEifQ=="/>
  </w:docVars>
  <w:rsids>
    <w:rsidRoot w:val="00172A27"/>
    <w:rsid w:val="00011F36"/>
    <w:rsid w:val="00023EEF"/>
    <w:rsid w:val="000610C6"/>
    <w:rsid w:val="00065297"/>
    <w:rsid w:val="000665D6"/>
    <w:rsid w:val="000930A9"/>
    <w:rsid w:val="000B5D63"/>
    <w:rsid w:val="000D0A42"/>
    <w:rsid w:val="000F6332"/>
    <w:rsid w:val="001003A3"/>
    <w:rsid w:val="00122DA4"/>
    <w:rsid w:val="00123F16"/>
    <w:rsid w:val="00137CE0"/>
    <w:rsid w:val="0014631F"/>
    <w:rsid w:val="00167EEF"/>
    <w:rsid w:val="001904D9"/>
    <w:rsid w:val="001C5313"/>
    <w:rsid w:val="001D1A97"/>
    <w:rsid w:val="001E7E30"/>
    <w:rsid w:val="001F08F3"/>
    <w:rsid w:val="00205F4C"/>
    <w:rsid w:val="0021195A"/>
    <w:rsid w:val="00230A9A"/>
    <w:rsid w:val="002415E7"/>
    <w:rsid w:val="00244CD7"/>
    <w:rsid w:val="00245738"/>
    <w:rsid w:val="00252863"/>
    <w:rsid w:val="0025738D"/>
    <w:rsid w:val="00260B79"/>
    <w:rsid w:val="00272E5D"/>
    <w:rsid w:val="002769B4"/>
    <w:rsid w:val="0028404F"/>
    <w:rsid w:val="00293EBB"/>
    <w:rsid w:val="002A1150"/>
    <w:rsid w:val="002A163B"/>
    <w:rsid w:val="002A58EB"/>
    <w:rsid w:val="002D3BC3"/>
    <w:rsid w:val="002D5FB6"/>
    <w:rsid w:val="002D6FE5"/>
    <w:rsid w:val="002E6188"/>
    <w:rsid w:val="002E7F94"/>
    <w:rsid w:val="002F025F"/>
    <w:rsid w:val="002F6605"/>
    <w:rsid w:val="0030393D"/>
    <w:rsid w:val="0031407C"/>
    <w:rsid w:val="0032100F"/>
    <w:rsid w:val="00324E58"/>
    <w:rsid w:val="003331FB"/>
    <w:rsid w:val="003343A5"/>
    <w:rsid w:val="0034119A"/>
    <w:rsid w:val="00344209"/>
    <w:rsid w:val="003506D4"/>
    <w:rsid w:val="003522B0"/>
    <w:rsid w:val="00357218"/>
    <w:rsid w:val="00384959"/>
    <w:rsid w:val="00390929"/>
    <w:rsid w:val="003B161B"/>
    <w:rsid w:val="003C60F2"/>
    <w:rsid w:val="003E0D68"/>
    <w:rsid w:val="003E2632"/>
    <w:rsid w:val="003E7302"/>
    <w:rsid w:val="003F07BA"/>
    <w:rsid w:val="003F78B0"/>
    <w:rsid w:val="00401558"/>
    <w:rsid w:val="0045062D"/>
    <w:rsid w:val="0047448E"/>
    <w:rsid w:val="00490893"/>
    <w:rsid w:val="00492066"/>
    <w:rsid w:val="004A4A7D"/>
    <w:rsid w:val="004B06A9"/>
    <w:rsid w:val="004D27EF"/>
    <w:rsid w:val="004D5385"/>
    <w:rsid w:val="004D7A5C"/>
    <w:rsid w:val="00503847"/>
    <w:rsid w:val="00543D51"/>
    <w:rsid w:val="0055559D"/>
    <w:rsid w:val="0056180F"/>
    <w:rsid w:val="005651F8"/>
    <w:rsid w:val="0056540B"/>
    <w:rsid w:val="005919A9"/>
    <w:rsid w:val="005A3838"/>
    <w:rsid w:val="005B1524"/>
    <w:rsid w:val="005C500C"/>
    <w:rsid w:val="005C6C79"/>
    <w:rsid w:val="005F6EAF"/>
    <w:rsid w:val="006033B0"/>
    <w:rsid w:val="0062582E"/>
    <w:rsid w:val="00655F96"/>
    <w:rsid w:val="00684A82"/>
    <w:rsid w:val="006A32B2"/>
    <w:rsid w:val="006A5857"/>
    <w:rsid w:val="006A63AF"/>
    <w:rsid w:val="006A66C7"/>
    <w:rsid w:val="006C3835"/>
    <w:rsid w:val="006C717C"/>
    <w:rsid w:val="006D022C"/>
    <w:rsid w:val="006D13F3"/>
    <w:rsid w:val="006F41A2"/>
    <w:rsid w:val="0071148A"/>
    <w:rsid w:val="0072796B"/>
    <w:rsid w:val="007436F3"/>
    <w:rsid w:val="007443FD"/>
    <w:rsid w:val="00762D69"/>
    <w:rsid w:val="0076622C"/>
    <w:rsid w:val="00790C5E"/>
    <w:rsid w:val="00794A5A"/>
    <w:rsid w:val="00795911"/>
    <w:rsid w:val="007A407B"/>
    <w:rsid w:val="007B3523"/>
    <w:rsid w:val="007C5235"/>
    <w:rsid w:val="007D2968"/>
    <w:rsid w:val="007D67A2"/>
    <w:rsid w:val="007F3153"/>
    <w:rsid w:val="008009D7"/>
    <w:rsid w:val="008334BF"/>
    <w:rsid w:val="0084228D"/>
    <w:rsid w:val="00843195"/>
    <w:rsid w:val="00843F03"/>
    <w:rsid w:val="008500B9"/>
    <w:rsid w:val="00857EFB"/>
    <w:rsid w:val="00877EF4"/>
    <w:rsid w:val="008901D7"/>
    <w:rsid w:val="008B6CF5"/>
    <w:rsid w:val="008D16D7"/>
    <w:rsid w:val="008F1B95"/>
    <w:rsid w:val="00926926"/>
    <w:rsid w:val="00942CBE"/>
    <w:rsid w:val="0095164A"/>
    <w:rsid w:val="00964240"/>
    <w:rsid w:val="00966C66"/>
    <w:rsid w:val="00975017"/>
    <w:rsid w:val="00987B4D"/>
    <w:rsid w:val="009948E9"/>
    <w:rsid w:val="009A5C42"/>
    <w:rsid w:val="009B2938"/>
    <w:rsid w:val="009C30AD"/>
    <w:rsid w:val="009C78B0"/>
    <w:rsid w:val="009D71E5"/>
    <w:rsid w:val="009E0388"/>
    <w:rsid w:val="009F6E43"/>
    <w:rsid w:val="009F7924"/>
    <w:rsid w:val="00A05532"/>
    <w:rsid w:val="00A42DD4"/>
    <w:rsid w:val="00A6137B"/>
    <w:rsid w:val="00A96892"/>
    <w:rsid w:val="00AA1448"/>
    <w:rsid w:val="00AB1869"/>
    <w:rsid w:val="00AB201F"/>
    <w:rsid w:val="00AB7962"/>
    <w:rsid w:val="00AC3DC0"/>
    <w:rsid w:val="00AE1391"/>
    <w:rsid w:val="00AE169D"/>
    <w:rsid w:val="00B025E6"/>
    <w:rsid w:val="00B17CFD"/>
    <w:rsid w:val="00B47E0F"/>
    <w:rsid w:val="00B50782"/>
    <w:rsid w:val="00B924C2"/>
    <w:rsid w:val="00B94C93"/>
    <w:rsid w:val="00B95F81"/>
    <w:rsid w:val="00BD5BE6"/>
    <w:rsid w:val="00BD72BA"/>
    <w:rsid w:val="00BE0580"/>
    <w:rsid w:val="00BE3855"/>
    <w:rsid w:val="00BF216E"/>
    <w:rsid w:val="00BF7820"/>
    <w:rsid w:val="00C33D61"/>
    <w:rsid w:val="00C37035"/>
    <w:rsid w:val="00C4072E"/>
    <w:rsid w:val="00C422A2"/>
    <w:rsid w:val="00C60612"/>
    <w:rsid w:val="00C63004"/>
    <w:rsid w:val="00C80CFA"/>
    <w:rsid w:val="00C80DB5"/>
    <w:rsid w:val="00C812D6"/>
    <w:rsid w:val="00C8206C"/>
    <w:rsid w:val="00C87648"/>
    <w:rsid w:val="00CC189D"/>
    <w:rsid w:val="00CC782B"/>
    <w:rsid w:val="00CD7764"/>
    <w:rsid w:val="00CE39FA"/>
    <w:rsid w:val="00CE3C03"/>
    <w:rsid w:val="00D22DE4"/>
    <w:rsid w:val="00D323E7"/>
    <w:rsid w:val="00D403DD"/>
    <w:rsid w:val="00D450E7"/>
    <w:rsid w:val="00D57F87"/>
    <w:rsid w:val="00D64A28"/>
    <w:rsid w:val="00D95361"/>
    <w:rsid w:val="00DA6248"/>
    <w:rsid w:val="00DD5A78"/>
    <w:rsid w:val="00DE1000"/>
    <w:rsid w:val="00DE288D"/>
    <w:rsid w:val="00DF5986"/>
    <w:rsid w:val="00E42C8A"/>
    <w:rsid w:val="00E661EF"/>
    <w:rsid w:val="00E7738F"/>
    <w:rsid w:val="00E868C1"/>
    <w:rsid w:val="00EB4F31"/>
    <w:rsid w:val="00EC3CB1"/>
    <w:rsid w:val="00ED1826"/>
    <w:rsid w:val="00ED27B7"/>
    <w:rsid w:val="00EE57A1"/>
    <w:rsid w:val="00EF4F70"/>
    <w:rsid w:val="00F0139B"/>
    <w:rsid w:val="00F02897"/>
    <w:rsid w:val="00F26784"/>
    <w:rsid w:val="00F279B9"/>
    <w:rsid w:val="00F311AD"/>
    <w:rsid w:val="00F31F83"/>
    <w:rsid w:val="00F44487"/>
    <w:rsid w:val="00F519DB"/>
    <w:rsid w:val="00F568A0"/>
    <w:rsid w:val="00F6059B"/>
    <w:rsid w:val="00F646FD"/>
    <w:rsid w:val="00F71D09"/>
    <w:rsid w:val="00F94AA0"/>
    <w:rsid w:val="00FB5AD6"/>
    <w:rsid w:val="00FB6603"/>
    <w:rsid w:val="00FD51DB"/>
    <w:rsid w:val="00FE7F24"/>
    <w:rsid w:val="00FF11E7"/>
    <w:rsid w:val="01B4086F"/>
    <w:rsid w:val="02181129"/>
    <w:rsid w:val="038A50FB"/>
    <w:rsid w:val="041F1C8C"/>
    <w:rsid w:val="044E2BE0"/>
    <w:rsid w:val="04CE0374"/>
    <w:rsid w:val="05CA3DFD"/>
    <w:rsid w:val="06AE33F4"/>
    <w:rsid w:val="06BC28D2"/>
    <w:rsid w:val="07293275"/>
    <w:rsid w:val="09402E9B"/>
    <w:rsid w:val="09B66250"/>
    <w:rsid w:val="09E34732"/>
    <w:rsid w:val="0A2C2EEF"/>
    <w:rsid w:val="0B611889"/>
    <w:rsid w:val="0B666A61"/>
    <w:rsid w:val="0C10277E"/>
    <w:rsid w:val="0C5D7BF5"/>
    <w:rsid w:val="0CA43CE5"/>
    <w:rsid w:val="0E412344"/>
    <w:rsid w:val="0E835B7C"/>
    <w:rsid w:val="0F022F45"/>
    <w:rsid w:val="0FD06B9F"/>
    <w:rsid w:val="104D2599"/>
    <w:rsid w:val="10A84AF0"/>
    <w:rsid w:val="10CD30DE"/>
    <w:rsid w:val="10DA6205"/>
    <w:rsid w:val="111725AC"/>
    <w:rsid w:val="148D41AD"/>
    <w:rsid w:val="15437E13"/>
    <w:rsid w:val="156B7A1B"/>
    <w:rsid w:val="15AC59B8"/>
    <w:rsid w:val="164521C2"/>
    <w:rsid w:val="18397E20"/>
    <w:rsid w:val="1A845A0A"/>
    <w:rsid w:val="1A9B0CEF"/>
    <w:rsid w:val="1BC7354C"/>
    <w:rsid w:val="1BCE2A30"/>
    <w:rsid w:val="1C1A21AD"/>
    <w:rsid w:val="1C6A2129"/>
    <w:rsid w:val="1D346F1A"/>
    <w:rsid w:val="1D734218"/>
    <w:rsid w:val="1E074EA6"/>
    <w:rsid w:val="1E28404A"/>
    <w:rsid w:val="1E934E45"/>
    <w:rsid w:val="202A7DFC"/>
    <w:rsid w:val="20622EA9"/>
    <w:rsid w:val="20BC7466"/>
    <w:rsid w:val="20DA11EA"/>
    <w:rsid w:val="21220308"/>
    <w:rsid w:val="21661111"/>
    <w:rsid w:val="216A7E42"/>
    <w:rsid w:val="21E67D41"/>
    <w:rsid w:val="229E3F36"/>
    <w:rsid w:val="229F5E27"/>
    <w:rsid w:val="22AF4D3A"/>
    <w:rsid w:val="233F507E"/>
    <w:rsid w:val="23414FCB"/>
    <w:rsid w:val="25144D16"/>
    <w:rsid w:val="254B6F9C"/>
    <w:rsid w:val="26A10E3D"/>
    <w:rsid w:val="26E9439D"/>
    <w:rsid w:val="26F94951"/>
    <w:rsid w:val="2728686E"/>
    <w:rsid w:val="2790513A"/>
    <w:rsid w:val="27F26A9B"/>
    <w:rsid w:val="2847744D"/>
    <w:rsid w:val="28DF0E2E"/>
    <w:rsid w:val="2ADC41F2"/>
    <w:rsid w:val="2B2B7EC2"/>
    <w:rsid w:val="2B5E02FF"/>
    <w:rsid w:val="2BD11460"/>
    <w:rsid w:val="2D1E7EFD"/>
    <w:rsid w:val="2D360531"/>
    <w:rsid w:val="2D6957C4"/>
    <w:rsid w:val="2D720E3E"/>
    <w:rsid w:val="2DF5594A"/>
    <w:rsid w:val="2E36450D"/>
    <w:rsid w:val="2F0B1ADA"/>
    <w:rsid w:val="2FB23CE6"/>
    <w:rsid w:val="2FED502D"/>
    <w:rsid w:val="3015542F"/>
    <w:rsid w:val="30566DDE"/>
    <w:rsid w:val="30B73737"/>
    <w:rsid w:val="3181717C"/>
    <w:rsid w:val="3191399B"/>
    <w:rsid w:val="32326DEE"/>
    <w:rsid w:val="33677C5E"/>
    <w:rsid w:val="33770B46"/>
    <w:rsid w:val="33BF2903"/>
    <w:rsid w:val="34281999"/>
    <w:rsid w:val="34384B8F"/>
    <w:rsid w:val="35A74901"/>
    <w:rsid w:val="361F3F7F"/>
    <w:rsid w:val="363F31FC"/>
    <w:rsid w:val="366A6D9B"/>
    <w:rsid w:val="368F6420"/>
    <w:rsid w:val="36BB157A"/>
    <w:rsid w:val="36BE6EA2"/>
    <w:rsid w:val="36ED4DE5"/>
    <w:rsid w:val="377A4464"/>
    <w:rsid w:val="38A74091"/>
    <w:rsid w:val="39014485"/>
    <w:rsid w:val="39284E61"/>
    <w:rsid w:val="398753C5"/>
    <w:rsid w:val="39CD3FCC"/>
    <w:rsid w:val="39F01A68"/>
    <w:rsid w:val="3A1C0AAF"/>
    <w:rsid w:val="3A361B71"/>
    <w:rsid w:val="3A5D453C"/>
    <w:rsid w:val="3B334302"/>
    <w:rsid w:val="3B9C3454"/>
    <w:rsid w:val="3BCB0097"/>
    <w:rsid w:val="3C5B5038"/>
    <w:rsid w:val="3D2D6B2F"/>
    <w:rsid w:val="3E7D1124"/>
    <w:rsid w:val="3F2C7CAB"/>
    <w:rsid w:val="3F6C1B91"/>
    <w:rsid w:val="3FA6322C"/>
    <w:rsid w:val="403E177F"/>
    <w:rsid w:val="40453D67"/>
    <w:rsid w:val="40B57568"/>
    <w:rsid w:val="41680BF5"/>
    <w:rsid w:val="4182744A"/>
    <w:rsid w:val="41A70769"/>
    <w:rsid w:val="41F93484"/>
    <w:rsid w:val="428930C1"/>
    <w:rsid w:val="42BA2C13"/>
    <w:rsid w:val="42FC322C"/>
    <w:rsid w:val="433B5EA1"/>
    <w:rsid w:val="44000AFA"/>
    <w:rsid w:val="446E63AB"/>
    <w:rsid w:val="4501521F"/>
    <w:rsid w:val="45693B4C"/>
    <w:rsid w:val="46020B59"/>
    <w:rsid w:val="46CE7DC6"/>
    <w:rsid w:val="48685DEF"/>
    <w:rsid w:val="49A25FC8"/>
    <w:rsid w:val="49BD1FA7"/>
    <w:rsid w:val="49CF3448"/>
    <w:rsid w:val="49DE7F41"/>
    <w:rsid w:val="4B2475BC"/>
    <w:rsid w:val="4D0A7AB0"/>
    <w:rsid w:val="4E392855"/>
    <w:rsid w:val="4E5823EF"/>
    <w:rsid w:val="4E781F0A"/>
    <w:rsid w:val="4FA52569"/>
    <w:rsid w:val="4FCC21D8"/>
    <w:rsid w:val="50001F9F"/>
    <w:rsid w:val="508126D0"/>
    <w:rsid w:val="508571D3"/>
    <w:rsid w:val="508A52AE"/>
    <w:rsid w:val="50900692"/>
    <w:rsid w:val="50D03AA0"/>
    <w:rsid w:val="51C561D0"/>
    <w:rsid w:val="51EE722B"/>
    <w:rsid w:val="52495D62"/>
    <w:rsid w:val="527F3531"/>
    <w:rsid w:val="52D04982"/>
    <w:rsid w:val="52F45CCD"/>
    <w:rsid w:val="5349046E"/>
    <w:rsid w:val="537B5D88"/>
    <w:rsid w:val="53E42B18"/>
    <w:rsid w:val="55B00E3E"/>
    <w:rsid w:val="57430FD1"/>
    <w:rsid w:val="57F05080"/>
    <w:rsid w:val="597C16DF"/>
    <w:rsid w:val="59B30690"/>
    <w:rsid w:val="5A91789C"/>
    <w:rsid w:val="5B06742A"/>
    <w:rsid w:val="5B1A029B"/>
    <w:rsid w:val="5B251169"/>
    <w:rsid w:val="5BF77FB8"/>
    <w:rsid w:val="5C3F44F5"/>
    <w:rsid w:val="5C78796F"/>
    <w:rsid w:val="5E4C5885"/>
    <w:rsid w:val="5E5A6011"/>
    <w:rsid w:val="5EDE43FB"/>
    <w:rsid w:val="60847CC9"/>
    <w:rsid w:val="60BD0047"/>
    <w:rsid w:val="61776447"/>
    <w:rsid w:val="61D61574"/>
    <w:rsid w:val="62314848"/>
    <w:rsid w:val="6253425A"/>
    <w:rsid w:val="62B92AB4"/>
    <w:rsid w:val="63161C90"/>
    <w:rsid w:val="63381369"/>
    <w:rsid w:val="633B1956"/>
    <w:rsid w:val="637A221F"/>
    <w:rsid w:val="64095351"/>
    <w:rsid w:val="64306D81"/>
    <w:rsid w:val="64B11C70"/>
    <w:rsid w:val="660051BA"/>
    <w:rsid w:val="666B22F3"/>
    <w:rsid w:val="6688207A"/>
    <w:rsid w:val="66F23C42"/>
    <w:rsid w:val="67ED7463"/>
    <w:rsid w:val="688614DF"/>
    <w:rsid w:val="68BE2BAE"/>
    <w:rsid w:val="68C161FA"/>
    <w:rsid w:val="68C90DE1"/>
    <w:rsid w:val="68CC78C9"/>
    <w:rsid w:val="68F7172D"/>
    <w:rsid w:val="693B5FAC"/>
    <w:rsid w:val="69913E1E"/>
    <w:rsid w:val="69B64CFD"/>
    <w:rsid w:val="69CF0E9E"/>
    <w:rsid w:val="6A0A597F"/>
    <w:rsid w:val="6A144B67"/>
    <w:rsid w:val="6A3012DD"/>
    <w:rsid w:val="6A3B214A"/>
    <w:rsid w:val="6AD81956"/>
    <w:rsid w:val="6B370CF5"/>
    <w:rsid w:val="6B52582F"/>
    <w:rsid w:val="6B8A6D77"/>
    <w:rsid w:val="6BB30CD2"/>
    <w:rsid w:val="6C705F6D"/>
    <w:rsid w:val="6C827246"/>
    <w:rsid w:val="6CFE1F79"/>
    <w:rsid w:val="6D2E2793"/>
    <w:rsid w:val="6DC718F1"/>
    <w:rsid w:val="6DF350A8"/>
    <w:rsid w:val="6E8379F2"/>
    <w:rsid w:val="6FE05858"/>
    <w:rsid w:val="704C4F43"/>
    <w:rsid w:val="707D2DDD"/>
    <w:rsid w:val="708B7819"/>
    <w:rsid w:val="7148395C"/>
    <w:rsid w:val="71B44B4E"/>
    <w:rsid w:val="723F4D5F"/>
    <w:rsid w:val="724D6E70"/>
    <w:rsid w:val="72600832"/>
    <w:rsid w:val="72603B5A"/>
    <w:rsid w:val="733F747A"/>
    <w:rsid w:val="736E2C65"/>
    <w:rsid w:val="739A5FC5"/>
    <w:rsid w:val="73FC629C"/>
    <w:rsid w:val="751C36B3"/>
    <w:rsid w:val="75474B87"/>
    <w:rsid w:val="758941EC"/>
    <w:rsid w:val="75DF2F9C"/>
    <w:rsid w:val="760B4F58"/>
    <w:rsid w:val="761C1742"/>
    <w:rsid w:val="762D4ECF"/>
    <w:rsid w:val="76842C31"/>
    <w:rsid w:val="7693567A"/>
    <w:rsid w:val="78263FA6"/>
    <w:rsid w:val="799D05BD"/>
    <w:rsid w:val="7B2A5E81"/>
    <w:rsid w:val="7B445194"/>
    <w:rsid w:val="7D142945"/>
    <w:rsid w:val="7D660B03"/>
    <w:rsid w:val="7DCC1471"/>
    <w:rsid w:val="7DCD6B27"/>
    <w:rsid w:val="7DDA3B8E"/>
    <w:rsid w:val="7EF908C6"/>
    <w:rsid w:val="7FDF29DB"/>
    <w:rsid w:val="7FE16841"/>
    <w:rsid w:val="7FE450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style>
  <w:style w:type="paragraph" w:styleId="6">
    <w:name w:val="toc 2"/>
    <w:basedOn w:val="1"/>
    <w:next w:val="1"/>
    <w:unhideWhenUsed/>
    <w:qFormat/>
    <w:uiPriority w:val="39"/>
    <w:pPr>
      <w:ind w:left="420" w:leftChars="200"/>
    </w:p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semiHidden/>
    <w:unhideWhenUsed/>
    <w:qFormat/>
    <w:uiPriority w:val="99"/>
  </w:style>
  <w:style w:type="character" w:styleId="11">
    <w:name w:val="Hyperlink"/>
    <w:unhideWhenUsed/>
    <w:qFormat/>
    <w:uiPriority w:val="99"/>
    <w:rPr>
      <w:color w:val="0000FF"/>
      <w:u w:val="single"/>
    </w:rPr>
  </w:style>
  <w:style w:type="character" w:customStyle="1" w:styleId="12">
    <w:name w:val="页眉 Char"/>
    <w:basedOn w:val="9"/>
    <w:link w:val="4"/>
    <w:qFormat/>
    <w:uiPriority w:val="99"/>
    <w:rPr>
      <w:rFonts w:ascii="Calibri" w:hAnsi="Calibri" w:eastAsia="宋体" w:cs="Times New Roman"/>
      <w:sz w:val="18"/>
      <w:szCs w:val="18"/>
    </w:rPr>
  </w:style>
  <w:style w:type="character" w:customStyle="1" w:styleId="13">
    <w:name w:val="页脚 Char"/>
    <w:basedOn w:val="9"/>
    <w:link w:val="3"/>
    <w:qFormat/>
    <w:uiPriority w:val="99"/>
    <w:rPr>
      <w:rFonts w:ascii="Calibri" w:hAnsi="Calibri" w:eastAsia="宋体" w:cs="Times New Roman"/>
      <w:sz w:val="18"/>
      <w:szCs w:val="18"/>
    </w:rPr>
  </w:style>
  <w:style w:type="paragraph" w:customStyle="1" w:styleId="14">
    <w:name w:val="Default"/>
    <w:qFormat/>
    <w:uiPriority w:val="0"/>
    <w:pPr>
      <w:widowControl w:val="0"/>
      <w:autoSpaceDE w:val="0"/>
      <w:autoSpaceDN w:val="0"/>
      <w:adjustRightInd w:val="0"/>
    </w:pPr>
    <w:rPr>
      <w:rFonts w:ascii="Arial Unicode MS" w:hAnsi="Calibri" w:eastAsia="Arial Unicode MS" w:cs="Arial Unicode MS"/>
      <w:color w:val="000000"/>
      <w:kern w:val="0"/>
      <w:sz w:val="24"/>
      <w:szCs w:val="24"/>
      <w:lang w:val="en-US" w:eastAsia="zh-CN" w:bidi="ar-SA"/>
    </w:rPr>
  </w:style>
  <w:style w:type="paragraph" w:styleId="15">
    <w:name w:val="List Paragraph"/>
    <w:basedOn w:val="1"/>
    <w:qFormat/>
    <w:uiPriority w:val="34"/>
    <w:pPr>
      <w:ind w:firstLine="420" w:firstLineChars="200"/>
    </w:pPr>
  </w:style>
  <w:style w:type="paragraph" w:customStyle="1" w:styleId="16">
    <w:name w:val="p16"/>
    <w:basedOn w:val="1"/>
    <w:qFormat/>
    <w:uiPriority w:val="0"/>
    <w:pPr>
      <w:widowControl/>
    </w:pPr>
    <w:rPr>
      <w:rFonts w:ascii="Times New Roman" w:hAnsi="Times New Roman"/>
      <w:kern w:val="0"/>
      <w:szCs w:val="21"/>
    </w:rPr>
  </w:style>
  <w:style w:type="paragraph" w:customStyle="1" w:styleId="17">
    <w:name w:val="Normal_0f54a9a6-f06c-4077-8207-fc8bd9aac1a6"/>
    <w:qFormat/>
    <w:uiPriority w:val="0"/>
    <w:rPr>
      <w:rFonts w:ascii="Times New Roman" w:hAnsi="Times New Roman" w:eastAsia="Times New Roman" w:cs="Times New Roman"/>
      <w:kern w:val="0"/>
      <w:sz w:val="24"/>
      <w:szCs w:val="24"/>
      <w:lang w:val="en-US" w:eastAsia="uk-UA" w:bidi="ar-SA"/>
    </w:rPr>
  </w:style>
  <w:style w:type="paragraph" w:customStyle="1" w:styleId="18">
    <w:name w:val="单元格样式1_6db3a769-412b-42ec-8448-d13d7bf6e018"/>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9">
    <w:name w:val="单元格样式2_08c983b4-e966-4dfa-835a-ff8508c075a4"/>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0">
    <w:name w:val="单元格样式3_92d12691-88a4-460c-8caa-dca90405eb54"/>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1"/>
    <w:basedOn w:val="1"/>
    <w:qFormat/>
    <w:uiPriority w:val="0"/>
    <w:pPr>
      <w:jc w:val="center"/>
    </w:pPr>
    <w:rPr>
      <w:rFonts w:ascii="方正书宋_GBK" w:hAnsi="方正书宋_GBK" w:eastAsia="方正书宋_GBK" w:cs="方正书宋_GBK"/>
      <w:b/>
      <w:sz w:val="21"/>
    </w:rPr>
  </w:style>
  <w:style w:type="paragraph" w:customStyle="1" w:styleId="26">
    <w:name w:val="单元格样式2"/>
    <w:basedOn w:val="1"/>
    <w:qFormat/>
    <w:uiPriority w:val="0"/>
    <w:rPr>
      <w:rFonts w:ascii="方正书宋_GBK" w:hAnsi="方正书宋_GBK" w:eastAsia="方正书宋_GBK" w:cs="方正书宋_GBK"/>
      <w:sz w:val="21"/>
    </w:rPr>
  </w:style>
  <w:style w:type="paragraph" w:customStyle="1" w:styleId="27">
    <w:name w:val="单元格样式3"/>
    <w:basedOn w:val="1"/>
    <w:qFormat/>
    <w:uiPriority w:val="0"/>
    <w:pPr>
      <w:jc w:val="center"/>
    </w:pPr>
    <w:rPr>
      <w:rFonts w:ascii="方正书宋_GBK" w:hAnsi="方正书宋_GBK" w:eastAsia="方正书宋_GBK" w:cs="方正书宋_GBK"/>
      <w:sz w:val="21"/>
    </w:rPr>
  </w:style>
  <w:style w:type="paragraph" w:customStyle="1" w:styleId="28">
    <w:name w:val="单元格样式1_dd3c0569-6118-4a75-9cbc-a887688ce109"/>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9">
    <w:name w:val="单元格样式2_6322bd57-98ce-448a-95aa-2f890163251d"/>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30">
    <w:name w:val="Normal_a19103d2-71c6-4d88-9ae7-5c9f26332770"/>
    <w:qFormat/>
    <w:uiPriority w:val="0"/>
    <w:rPr>
      <w:rFonts w:ascii="Times New Roman" w:hAnsi="Times New Roman" w:eastAsia="Times New Roman" w:cstheme="minorBidi"/>
      <w:sz w:val="24"/>
      <w:szCs w:val="24"/>
      <w:lang w:val="en-US" w:eastAsia="uk-UA" w:bidi="ar-SA"/>
    </w:rPr>
  </w:style>
  <w:style w:type="paragraph" w:customStyle="1" w:styleId="31">
    <w:name w:val="单元格样式3_26172e1d-cc2e-4f3c-94c8-a6e6dcb8bfda"/>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3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3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3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3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3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9"/>
    <customShpInfo spid="_x0000_s4100"/>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1CE04-184D-4935-A4B0-11EF4631569F}">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21250</Words>
  <Characters>23216</Characters>
  <Lines>27</Lines>
  <Paragraphs>7</Paragraphs>
  <TotalTime>0</TotalTime>
  <ScaleCrop>false</ScaleCrop>
  <LinksUpToDate>false</LinksUpToDate>
  <CharactersWithSpaces>23328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2021-03-16T07:43:00Z</dcterms:created>
  <dc:creator>tscz</dc:creator>
  <cp:lastModifiedBy>WPS_1660725483</cp:lastModifiedBy>
  <cp:lastPrinted>2022-09-20T08:27:00Z</cp:lastPrinted>
  <dcterms:modified xsi:type="dcterms:W3CDTF">2022-09-21T06:19:20Z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18C74288F01947318B031CA930AE8A80</vt:lpwstr>
  </property>
</Properties>
</file>