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一、唐山市丰南区妇女联合会本级收支预算</w:t>
      </w:r>
      <w:r>
        <w:tab/>
      </w:r>
      <w:r>
        <w:fldChar w:fldCharType="begin"/>
      </w:r>
      <w:r>
        <w:instrText>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325唐山市丰南区妇女联合会</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185.20</w:t>
            </w:r>
          </w:p>
        </w:tc>
        <w:tc>
          <w:tcPr>
            <w:tcW w:w="4535" w:type="dxa"/>
            <w:vAlign w:val="center"/>
          </w:tcPr>
          <w:p>
            <w:pPr>
              <w:pStyle w:val="20"/>
            </w:pPr>
            <w:r>
              <w:t>一、一般公共服务支出</w:t>
            </w:r>
          </w:p>
        </w:tc>
        <w:tc>
          <w:tcPr>
            <w:tcW w:w="2126" w:type="dxa"/>
            <w:vAlign w:val="center"/>
          </w:tcPr>
          <w:p>
            <w:pPr>
              <w:pStyle w:val="19"/>
            </w:pPr>
            <w:r>
              <w:t>158.93</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13.80</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6.96</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5.51</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185.20</w:t>
            </w:r>
          </w:p>
        </w:tc>
        <w:tc>
          <w:tcPr>
            <w:tcW w:w="4535" w:type="dxa"/>
            <w:vAlign w:val="center"/>
          </w:tcPr>
          <w:p>
            <w:pPr>
              <w:pStyle w:val="22"/>
            </w:pPr>
            <w:r>
              <w:t>本年支出合计</w:t>
            </w:r>
          </w:p>
        </w:tc>
        <w:tc>
          <w:tcPr>
            <w:tcW w:w="2126" w:type="dxa"/>
            <w:vAlign w:val="center"/>
          </w:tcPr>
          <w:p>
            <w:pPr>
              <w:pStyle w:val="23"/>
            </w:pPr>
            <w:r>
              <w:t>185.20</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185.20</w:t>
            </w:r>
          </w:p>
        </w:tc>
        <w:tc>
          <w:tcPr>
            <w:tcW w:w="4535" w:type="dxa"/>
            <w:vAlign w:val="center"/>
          </w:tcPr>
          <w:p>
            <w:pPr>
              <w:pStyle w:val="22"/>
            </w:pPr>
            <w:r>
              <w:t>支出总计</w:t>
            </w:r>
          </w:p>
        </w:tc>
        <w:tc>
          <w:tcPr>
            <w:tcW w:w="2126" w:type="dxa"/>
            <w:vAlign w:val="center"/>
          </w:tcPr>
          <w:p>
            <w:pPr>
              <w:pStyle w:val="23"/>
            </w:pPr>
            <w:r>
              <w:t>185.20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185.20</w:t>
            </w:r>
          </w:p>
        </w:tc>
        <w:tc>
          <w:tcPr>
            <w:tcW w:w="1134" w:type="dxa"/>
            <w:vAlign w:val="center"/>
          </w:tcPr>
          <w:p>
            <w:pPr>
              <w:pStyle w:val="23"/>
            </w:pPr>
            <w:r>
              <w:t>185.20</w:t>
            </w:r>
          </w:p>
        </w:tc>
        <w:tc>
          <w:tcPr>
            <w:tcW w:w="1134" w:type="dxa"/>
            <w:vAlign w:val="center"/>
          </w:tcPr>
          <w:p>
            <w:pPr>
              <w:pStyle w:val="23"/>
            </w:pPr>
            <w:r>
              <w:t>185.20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20129</w:t>
            </w:r>
          </w:p>
        </w:tc>
        <w:tc>
          <w:tcPr>
            <w:tcW w:w="1559" w:type="dxa"/>
            <w:vAlign w:val="center"/>
          </w:tcPr>
          <w:p>
            <w:pPr>
              <w:pStyle w:val="20"/>
            </w:pPr>
            <w:r>
              <w:t>群众团体事务</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2012901</w:t>
            </w:r>
          </w:p>
        </w:tc>
        <w:tc>
          <w:tcPr>
            <w:tcW w:w="1559" w:type="dxa"/>
            <w:vAlign w:val="center"/>
          </w:tcPr>
          <w:p>
            <w:pPr>
              <w:pStyle w:val="20"/>
            </w:pPr>
            <w:r>
              <w:t>行政运行</w:t>
            </w:r>
          </w:p>
        </w:tc>
        <w:tc>
          <w:tcPr>
            <w:tcW w:w="1134" w:type="dxa"/>
            <w:vAlign w:val="center"/>
          </w:tcPr>
          <w:p>
            <w:pPr>
              <w:pStyle w:val="19"/>
            </w:pPr>
            <w:r>
              <w:t>53.99</w:t>
            </w:r>
          </w:p>
        </w:tc>
        <w:tc>
          <w:tcPr>
            <w:tcW w:w="1134" w:type="dxa"/>
            <w:vAlign w:val="center"/>
          </w:tcPr>
          <w:p>
            <w:pPr>
              <w:pStyle w:val="19"/>
            </w:pPr>
            <w:r>
              <w:t>53.99</w:t>
            </w:r>
          </w:p>
        </w:tc>
        <w:tc>
          <w:tcPr>
            <w:tcW w:w="1134" w:type="dxa"/>
            <w:vAlign w:val="center"/>
          </w:tcPr>
          <w:p>
            <w:pPr>
              <w:pStyle w:val="19"/>
            </w:pPr>
            <w:r>
              <w:t>53.99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2012902</w:t>
            </w:r>
          </w:p>
        </w:tc>
        <w:tc>
          <w:tcPr>
            <w:tcW w:w="1559" w:type="dxa"/>
            <w:vAlign w:val="center"/>
          </w:tcPr>
          <w:p>
            <w:pPr>
              <w:pStyle w:val="20"/>
            </w:pPr>
            <w:r>
              <w:t>一般行政管理事务</w:t>
            </w:r>
          </w:p>
        </w:tc>
        <w:tc>
          <w:tcPr>
            <w:tcW w:w="1134" w:type="dxa"/>
            <w:vAlign w:val="center"/>
          </w:tcPr>
          <w:p>
            <w:pPr>
              <w:pStyle w:val="19"/>
            </w:pPr>
            <w:r>
              <w:t>80.87</w:t>
            </w:r>
          </w:p>
        </w:tc>
        <w:tc>
          <w:tcPr>
            <w:tcW w:w="1134" w:type="dxa"/>
            <w:vAlign w:val="center"/>
          </w:tcPr>
          <w:p>
            <w:pPr>
              <w:pStyle w:val="19"/>
            </w:pPr>
            <w:r>
              <w:t>80.87</w:t>
            </w:r>
          </w:p>
        </w:tc>
        <w:tc>
          <w:tcPr>
            <w:tcW w:w="1134" w:type="dxa"/>
            <w:vAlign w:val="center"/>
          </w:tcPr>
          <w:p>
            <w:pPr>
              <w:pStyle w:val="19"/>
            </w:pPr>
            <w:r>
              <w:t>80.87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2012950</w:t>
            </w:r>
          </w:p>
        </w:tc>
        <w:tc>
          <w:tcPr>
            <w:tcW w:w="1559" w:type="dxa"/>
            <w:vAlign w:val="center"/>
          </w:tcPr>
          <w:p>
            <w:pPr>
              <w:pStyle w:val="20"/>
            </w:pPr>
            <w:r>
              <w:t>事业运行</w:t>
            </w:r>
          </w:p>
        </w:tc>
        <w:tc>
          <w:tcPr>
            <w:tcW w:w="1134" w:type="dxa"/>
            <w:vAlign w:val="center"/>
          </w:tcPr>
          <w:p>
            <w:pPr>
              <w:pStyle w:val="19"/>
            </w:pPr>
            <w:r>
              <w:t>7.07</w:t>
            </w:r>
          </w:p>
        </w:tc>
        <w:tc>
          <w:tcPr>
            <w:tcW w:w="1134" w:type="dxa"/>
            <w:vAlign w:val="center"/>
          </w:tcPr>
          <w:p>
            <w:pPr>
              <w:pStyle w:val="19"/>
            </w:pPr>
            <w:r>
              <w:t>7.07</w:t>
            </w:r>
          </w:p>
        </w:tc>
        <w:tc>
          <w:tcPr>
            <w:tcW w:w="1134" w:type="dxa"/>
            <w:vAlign w:val="center"/>
          </w:tcPr>
          <w:p>
            <w:pPr>
              <w:pStyle w:val="19"/>
            </w:pPr>
            <w:r>
              <w:t>7.07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2012999</w:t>
            </w:r>
          </w:p>
        </w:tc>
        <w:tc>
          <w:tcPr>
            <w:tcW w:w="1559" w:type="dxa"/>
            <w:vAlign w:val="center"/>
          </w:tcPr>
          <w:p>
            <w:pPr>
              <w:pStyle w:val="20"/>
            </w:pPr>
            <w:r>
              <w:t>其他群众团体事务支出</w:t>
            </w:r>
          </w:p>
        </w:tc>
        <w:tc>
          <w:tcPr>
            <w:tcW w:w="1134" w:type="dxa"/>
            <w:vAlign w:val="center"/>
          </w:tcPr>
          <w:p>
            <w:pPr>
              <w:pStyle w:val="19"/>
            </w:pPr>
            <w:r>
              <w:t>17.00</w:t>
            </w:r>
          </w:p>
        </w:tc>
        <w:tc>
          <w:tcPr>
            <w:tcW w:w="1134" w:type="dxa"/>
            <w:vAlign w:val="center"/>
          </w:tcPr>
          <w:p>
            <w:pPr>
              <w:pStyle w:val="19"/>
            </w:pPr>
            <w:r>
              <w:t>17.00</w:t>
            </w:r>
          </w:p>
        </w:tc>
        <w:tc>
          <w:tcPr>
            <w:tcW w:w="1134" w:type="dxa"/>
            <w:vAlign w:val="center"/>
          </w:tcPr>
          <w:p>
            <w:pPr>
              <w:pStyle w:val="19"/>
            </w:pPr>
            <w:r>
              <w:t>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6.50</w:t>
            </w:r>
          </w:p>
        </w:tc>
        <w:tc>
          <w:tcPr>
            <w:tcW w:w="1134" w:type="dxa"/>
            <w:vAlign w:val="center"/>
          </w:tcPr>
          <w:p>
            <w:pPr>
              <w:pStyle w:val="19"/>
            </w:pPr>
            <w:r>
              <w:t>6.50</w:t>
            </w:r>
          </w:p>
        </w:tc>
        <w:tc>
          <w:tcPr>
            <w:tcW w:w="1134" w:type="dxa"/>
            <w:vAlign w:val="center"/>
          </w:tcPr>
          <w:p>
            <w:pPr>
              <w:pStyle w:val="19"/>
            </w:pPr>
            <w:r>
              <w:t>6.50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7.30</w:t>
            </w:r>
          </w:p>
        </w:tc>
        <w:tc>
          <w:tcPr>
            <w:tcW w:w="1134" w:type="dxa"/>
            <w:vAlign w:val="center"/>
          </w:tcPr>
          <w:p>
            <w:pPr>
              <w:pStyle w:val="19"/>
            </w:pPr>
            <w:r>
              <w:t>7.30</w:t>
            </w:r>
          </w:p>
        </w:tc>
        <w:tc>
          <w:tcPr>
            <w:tcW w:w="1134" w:type="dxa"/>
            <w:vAlign w:val="center"/>
          </w:tcPr>
          <w:p>
            <w:pPr>
              <w:pStyle w:val="19"/>
            </w:pPr>
            <w:r>
              <w:t>7.30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3.31</w:t>
            </w:r>
          </w:p>
        </w:tc>
        <w:tc>
          <w:tcPr>
            <w:tcW w:w="1134" w:type="dxa"/>
            <w:vAlign w:val="center"/>
          </w:tcPr>
          <w:p>
            <w:pPr>
              <w:pStyle w:val="19"/>
            </w:pPr>
            <w:r>
              <w:t>3.31</w:t>
            </w:r>
          </w:p>
        </w:tc>
        <w:tc>
          <w:tcPr>
            <w:tcW w:w="1134" w:type="dxa"/>
            <w:vAlign w:val="center"/>
          </w:tcPr>
          <w:p>
            <w:pPr>
              <w:pStyle w:val="19"/>
            </w:pPr>
            <w:r>
              <w:t>3.31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3.65</w:t>
            </w:r>
          </w:p>
        </w:tc>
        <w:tc>
          <w:tcPr>
            <w:tcW w:w="1134" w:type="dxa"/>
            <w:vAlign w:val="center"/>
          </w:tcPr>
          <w:p>
            <w:pPr>
              <w:pStyle w:val="19"/>
            </w:pPr>
            <w:r>
              <w:t>3.65</w:t>
            </w:r>
          </w:p>
        </w:tc>
        <w:tc>
          <w:tcPr>
            <w:tcW w:w="1134" w:type="dxa"/>
            <w:vAlign w:val="center"/>
          </w:tcPr>
          <w:p>
            <w:pPr>
              <w:pStyle w:val="19"/>
            </w:pPr>
            <w:r>
              <w:t>3.65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185.20</w:t>
            </w:r>
          </w:p>
        </w:tc>
        <w:tc>
          <w:tcPr>
            <w:tcW w:w="1361" w:type="dxa"/>
            <w:vAlign w:val="center"/>
          </w:tcPr>
          <w:p>
            <w:pPr>
              <w:pStyle w:val="23"/>
            </w:pPr>
            <w:r>
              <w:t>87.33</w:t>
            </w:r>
          </w:p>
        </w:tc>
        <w:tc>
          <w:tcPr>
            <w:tcW w:w="1361" w:type="dxa"/>
            <w:vAlign w:val="center"/>
          </w:tcPr>
          <w:p>
            <w:pPr>
              <w:pStyle w:val="23"/>
            </w:pPr>
            <w:r>
              <w:t>97.87</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158.93</w:t>
            </w:r>
          </w:p>
        </w:tc>
        <w:tc>
          <w:tcPr>
            <w:tcW w:w="1361" w:type="dxa"/>
            <w:vAlign w:val="center"/>
          </w:tcPr>
          <w:p>
            <w:pPr>
              <w:pStyle w:val="19"/>
            </w:pPr>
            <w:r>
              <w:t>61.06</w:t>
            </w:r>
          </w:p>
        </w:tc>
        <w:tc>
          <w:tcPr>
            <w:tcW w:w="1361" w:type="dxa"/>
            <w:vAlign w:val="center"/>
          </w:tcPr>
          <w:p>
            <w:pPr>
              <w:pStyle w:val="19"/>
            </w:pPr>
            <w:r>
              <w:t>97.87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20129</w:t>
            </w:r>
          </w:p>
        </w:tc>
        <w:tc>
          <w:tcPr>
            <w:tcW w:w="4535" w:type="dxa"/>
            <w:vAlign w:val="center"/>
          </w:tcPr>
          <w:p>
            <w:pPr>
              <w:pStyle w:val="20"/>
            </w:pPr>
            <w:r>
              <w:t>群众团体事务</w:t>
            </w:r>
          </w:p>
        </w:tc>
        <w:tc>
          <w:tcPr>
            <w:tcW w:w="1361" w:type="dxa"/>
            <w:vAlign w:val="center"/>
          </w:tcPr>
          <w:p>
            <w:pPr>
              <w:pStyle w:val="19"/>
            </w:pPr>
            <w:r>
              <w:t>158.93</w:t>
            </w:r>
          </w:p>
        </w:tc>
        <w:tc>
          <w:tcPr>
            <w:tcW w:w="1361" w:type="dxa"/>
            <w:vAlign w:val="center"/>
          </w:tcPr>
          <w:p>
            <w:pPr>
              <w:pStyle w:val="19"/>
            </w:pPr>
            <w:r>
              <w:t>61.06</w:t>
            </w:r>
          </w:p>
        </w:tc>
        <w:tc>
          <w:tcPr>
            <w:tcW w:w="1361" w:type="dxa"/>
            <w:vAlign w:val="center"/>
          </w:tcPr>
          <w:p>
            <w:pPr>
              <w:pStyle w:val="19"/>
            </w:pPr>
            <w:r>
              <w:t>97.87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2012901</w:t>
            </w:r>
          </w:p>
        </w:tc>
        <w:tc>
          <w:tcPr>
            <w:tcW w:w="4535" w:type="dxa"/>
            <w:vAlign w:val="center"/>
          </w:tcPr>
          <w:p>
            <w:pPr>
              <w:pStyle w:val="20"/>
            </w:pPr>
            <w:r>
              <w:t>行政运行</w:t>
            </w:r>
          </w:p>
        </w:tc>
        <w:tc>
          <w:tcPr>
            <w:tcW w:w="1361" w:type="dxa"/>
            <w:vAlign w:val="center"/>
          </w:tcPr>
          <w:p>
            <w:pPr>
              <w:pStyle w:val="19"/>
            </w:pPr>
            <w:r>
              <w:t>53.99</w:t>
            </w:r>
          </w:p>
        </w:tc>
        <w:tc>
          <w:tcPr>
            <w:tcW w:w="1361" w:type="dxa"/>
            <w:vAlign w:val="center"/>
          </w:tcPr>
          <w:p>
            <w:pPr>
              <w:pStyle w:val="19"/>
            </w:pPr>
            <w:r>
              <w:t>53.99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2012902</w:t>
            </w:r>
          </w:p>
        </w:tc>
        <w:tc>
          <w:tcPr>
            <w:tcW w:w="4535" w:type="dxa"/>
            <w:vAlign w:val="center"/>
          </w:tcPr>
          <w:p>
            <w:pPr>
              <w:pStyle w:val="20"/>
            </w:pPr>
            <w:r>
              <w:t>一般行政管理事务</w:t>
            </w:r>
          </w:p>
        </w:tc>
        <w:tc>
          <w:tcPr>
            <w:tcW w:w="1361" w:type="dxa"/>
            <w:vAlign w:val="center"/>
          </w:tcPr>
          <w:p>
            <w:pPr>
              <w:pStyle w:val="19"/>
            </w:pPr>
            <w:r>
              <w:t>80.87</w:t>
            </w:r>
          </w:p>
        </w:tc>
        <w:tc>
          <w:tcPr>
            <w:tcW w:w="1361" w:type="dxa"/>
            <w:vAlign w:val="center"/>
          </w:tcPr>
          <w:p>
            <w:pPr>
              <w:pStyle w:val="19"/>
            </w:pPr>
          </w:p>
        </w:tc>
        <w:tc>
          <w:tcPr>
            <w:tcW w:w="1361" w:type="dxa"/>
            <w:vAlign w:val="center"/>
          </w:tcPr>
          <w:p>
            <w:pPr>
              <w:pStyle w:val="19"/>
            </w:pPr>
            <w:r>
              <w:t>80.87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2012950</w:t>
            </w:r>
          </w:p>
        </w:tc>
        <w:tc>
          <w:tcPr>
            <w:tcW w:w="4535" w:type="dxa"/>
            <w:vAlign w:val="center"/>
          </w:tcPr>
          <w:p>
            <w:pPr>
              <w:pStyle w:val="20"/>
            </w:pPr>
            <w:r>
              <w:t>事业运行</w:t>
            </w:r>
          </w:p>
        </w:tc>
        <w:tc>
          <w:tcPr>
            <w:tcW w:w="1361" w:type="dxa"/>
            <w:vAlign w:val="center"/>
          </w:tcPr>
          <w:p>
            <w:pPr>
              <w:pStyle w:val="19"/>
            </w:pPr>
            <w:r>
              <w:t>7.07</w:t>
            </w:r>
          </w:p>
        </w:tc>
        <w:tc>
          <w:tcPr>
            <w:tcW w:w="1361" w:type="dxa"/>
            <w:vAlign w:val="center"/>
          </w:tcPr>
          <w:p>
            <w:pPr>
              <w:pStyle w:val="19"/>
            </w:pPr>
            <w:r>
              <w:t>7.07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2012999</w:t>
            </w:r>
          </w:p>
        </w:tc>
        <w:tc>
          <w:tcPr>
            <w:tcW w:w="4535" w:type="dxa"/>
            <w:vAlign w:val="center"/>
          </w:tcPr>
          <w:p>
            <w:pPr>
              <w:pStyle w:val="20"/>
            </w:pPr>
            <w:r>
              <w:t>其他群众团体事务支出</w:t>
            </w:r>
          </w:p>
        </w:tc>
        <w:tc>
          <w:tcPr>
            <w:tcW w:w="1361" w:type="dxa"/>
            <w:vAlign w:val="center"/>
          </w:tcPr>
          <w:p>
            <w:pPr>
              <w:pStyle w:val="19"/>
            </w:pPr>
            <w:r>
              <w:t>17.00</w:t>
            </w:r>
          </w:p>
        </w:tc>
        <w:tc>
          <w:tcPr>
            <w:tcW w:w="1361" w:type="dxa"/>
            <w:vAlign w:val="center"/>
          </w:tcPr>
          <w:p>
            <w:pPr>
              <w:pStyle w:val="19"/>
            </w:pPr>
          </w:p>
        </w:tc>
        <w:tc>
          <w:tcPr>
            <w:tcW w:w="1361" w:type="dxa"/>
            <w:vAlign w:val="center"/>
          </w:tcPr>
          <w:p>
            <w:pPr>
              <w:pStyle w:val="19"/>
            </w:pPr>
            <w:r>
              <w:t>17.00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13.80</w:t>
            </w:r>
          </w:p>
        </w:tc>
        <w:tc>
          <w:tcPr>
            <w:tcW w:w="1361" w:type="dxa"/>
            <w:vAlign w:val="center"/>
          </w:tcPr>
          <w:p>
            <w:pPr>
              <w:pStyle w:val="19"/>
            </w:pPr>
            <w:r>
              <w:t>13.80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13.80</w:t>
            </w:r>
          </w:p>
        </w:tc>
        <w:tc>
          <w:tcPr>
            <w:tcW w:w="1361" w:type="dxa"/>
            <w:vAlign w:val="center"/>
          </w:tcPr>
          <w:p>
            <w:pPr>
              <w:pStyle w:val="19"/>
            </w:pPr>
            <w:r>
              <w:t>13.80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6.50</w:t>
            </w:r>
          </w:p>
        </w:tc>
        <w:tc>
          <w:tcPr>
            <w:tcW w:w="1361" w:type="dxa"/>
            <w:vAlign w:val="center"/>
          </w:tcPr>
          <w:p>
            <w:pPr>
              <w:pStyle w:val="19"/>
            </w:pPr>
            <w:r>
              <w:t>6.50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7.30</w:t>
            </w:r>
          </w:p>
        </w:tc>
        <w:tc>
          <w:tcPr>
            <w:tcW w:w="1361" w:type="dxa"/>
            <w:vAlign w:val="center"/>
          </w:tcPr>
          <w:p>
            <w:pPr>
              <w:pStyle w:val="19"/>
            </w:pPr>
            <w:r>
              <w:t>7.30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6.96</w:t>
            </w:r>
          </w:p>
        </w:tc>
        <w:tc>
          <w:tcPr>
            <w:tcW w:w="1361" w:type="dxa"/>
            <w:vAlign w:val="center"/>
          </w:tcPr>
          <w:p>
            <w:pPr>
              <w:pStyle w:val="19"/>
            </w:pPr>
            <w:r>
              <w:t>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6.96</w:t>
            </w:r>
          </w:p>
        </w:tc>
        <w:tc>
          <w:tcPr>
            <w:tcW w:w="1361" w:type="dxa"/>
            <w:vAlign w:val="center"/>
          </w:tcPr>
          <w:p>
            <w:pPr>
              <w:pStyle w:val="19"/>
            </w:pPr>
            <w:r>
              <w:t>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3.31</w:t>
            </w:r>
          </w:p>
        </w:tc>
        <w:tc>
          <w:tcPr>
            <w:tcW w:w="1361" w:type="dxa"/>
            <w:vAlign w:val="center"/>
          </w:tcPr>
          <w:p>
            <w:pPr>
              <w:pStyle w:val="19"/>
            </w:pPr>
            <w:r>
              <w:t>3.31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3.65</w:t>
            </w:r>
          </w:p>
        </w:tc>
        <w:tc>
          <w:tcPr>
            <w:tcW w:w="1361" w:type="dxa"/>
            <w:vAlign w:val="center"/>
          </w:tcPr>
          <w:p>
            <w:pPr>
              <w:pStyle w:val="19"/>
            </w:pPr>
            <w:r>
              <w:t>3.65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185.20</w:t>
            </w:r>
          </w:p>
        </w:tc>
        <w:tc>
          <w:tcPr>
            <w:tcW w:w="3402" w:type="dxa"/>
            <w:vAlign w:val="center"/>
          </w:tcPr>
          <w:p>
            <w:pPr>
              <w:pStyle w:val="20"/>
            </w:pPr>
            <w:r>
              <w:t>一、一般公共服务支出</w:t>
            </w:r>
          </w:p>
        </w:tc>
        <w:tc>
          <w:tcPr>
            <w:tcW w:w="1474" w:type="dxa"/>
            <w:vAlign w:val="center"/>
          </w:tcPr>
          <w:p>
            <w:pPr>
              <w:pStyle w:val="19"/>
            </w:pPr>
            <w:r>
              <w:t>158.93</w:t>
            </w:r>
          </w:p>
        </w:tc>
        <w:tc>
          <w:tcPr>
            <w:tcW w:w="1474" w:type="dxa"/>
            <w:vAlign w:val="center"/>
          </w:tcPr>
          <w:p>
            <w:pPr>
              <w:pStyle w:val="19"/>
            </w:pPr>
            <w:r>
              <w:t>158.93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13.80</w:t>
            </w:r>
          </w:p>
        </w:tc>
        <w:tc>
          <w:tcPr>
            <w:tcW w:w="1474" w:type="dxa"/>
            <w:vAlign w:val="center"/>
          </w:tcPr>
          <w:p>
            <w:pPr>
              <w:pStyle w:val="19"/>
            </w:pPr>
            <w:r>
              <w:t>13.80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6.96</w:t>
            </w:r>
          </w:p>
        </w:tc>
        <w:tc>
          <w:tcPr>
            <w:tcW w:w="1474" w:type="dxa"/>
            <w:vAlign w:val="center"/>
          </w:tcPr>
          <w:p>
            <w:pPr>
              <w:pStyle w:val="19"/>
            </w:pPr>
            <w:r>
              <w:t>6.96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5.51</w:t>
            </w:r>
          </w:p>
        </w:tc>
        <w:tc>
          <w:tcPr>
            <w:tcW w:w="1474" w:type="dxa"/>
            <w:vAlign w:val="center"/>
          </w:tcPr>
          <w:p>
            <w:pPr>
              <w:pStyle w:val="19"/>
            </w:pPr>
            <w:r>
              <w:t>5.51</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185.20</w:t>
            </w:r>
          </w:p>
        </w:tc>
        <w:tc>
          <w:tcPr>
            <w:tcW w:w="3402" w:type="dxa"/>
            <w:vAlign w:val="center"/>
          </w:tcPr>
          <w:p>
            <w:pPr>
              <w:pStyle w:val="22"/>
            </w:pPr>
            <w:r>
              <w:t>本年支出合计</w:t>
            </w:r>
          </w:p>
        </w:tc>
        <w:tc>
          <w:tcPr>
            <w:tcW w:w="1474" w:type="dxa"/>
            <w:vAlign w:val="center"/>
          </w:tcPr>
          <w:p>
            <w:pPr>
              <w:pStyle w:val="23"/>
            </w:pPr>
            <w:r>
              <w:t>185.20</w:t>
            </w:r>
          </w:p>
        </w:tc>
        <w:tc>
          <w:tcPr>
            <w:tcW w:w="1474" w:type="dxa"/>
            <w:vAlign w:val="center"/>
          </w:tcPr>
          <w:p>
            <w:pPr>
              <w:pStyle w:val="23"/>
            </w:pPr>
            <w:r>
              <w:t>185.20</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185.20</w:t>
            </w:r>
          </w:p>
        </w:tc>
        <w:tc>
          <w:tcPr>
            <w:tcW w:w="3402" w:type="dxa"/>
            <w:vAlign w:val="center"/>
          </w:tcPr>
          <w:p>
            <w:pPr>
              <w:pStyle w:val="22"/>
            </w:pPr>
            <w:r>
              <w:t>支出总计</w:t>
            </w:r>
          </w:p>
        </w:tc>
        <w:tc>
          <w:tcPr>
            <w:tcW w:w="1474" w:type="dxa"/>
            <w:vAlign w:val="center"/>
          </w:tcPr>
          <w:p>
            <w:pPr>
              <w:pStyle w:val="23"/>
            </w:pPr>
            <w:r>
              <w:t>185.20</w:t>
            </w:r>
          </w:p>
        </w:tc>
        <w:tc>
          <w:tcPr>
            <w:tcW w:w="1474" w:type="dxa"/>
            <w:vAlign w:val="center"/>
          </w:tcPr>
          <w:p>
            <w:pPr>
              <w:pStyle w:val="23"/>
            </w:pPr>
            <w:r>
              <w:t>185.20</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185.20</w:t>
            </w:r>
          </w:p>
        </w:tc>
        <w:tc>
          <w:tcPr>
            <w:tcW w:w="2551" w:type="dxa"/>
            <w:vAlign w:val="center"/>
          </w:tcPr>
          <w:p>
            <w:pPr>
              <w:pStyle w:val="23"/>
            </w:pPr>
            <w:r>
              <w:t>87.33</w:t>
            </w:r>
          </w:p>
        </w:tc>
        <w:tc>
          <w:tcPr>
            <w:tcW w:w="2551" w:type="dxa"/>
            <w:vAlign w:val="center"/>
          </w:tcPr>
          <w:p>
            <w:pPr>
              <w:pStyle w:val="23"/>
            </w:pPr>
            <w:r>
              <w:t>97.87</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158.93</w:t>
            </w:r>
          </w:p>
        </w:tc>
        <w:tc>
          <w:tcPr>
            <w:tcW w:w="2551" w:type="dxa"/>
            <w:vAlign w:val="center"/>
          </w:tcPr>
          <w:p>
            <w:pPr>
              <w:pStyle w:val="19"/>
            </w:pPr>
            <w:r>
              <w:t>61.06</w:t>
            </w:r>
          </w:p>
        </w:tc>
        <w:tc>
          <w:tcPr>
            <w:tcW w:w="2551" w:type="dxa"/>
            <w:vAlign w:val="center"/>
          </w:tcPr>
          <w:p>
            <w:pPr>
              <w:pStyle w:val="19"/>
            </w:pPr>
            <w:r>
              <w:t>97.87</w:t>
            </w:r>
          </w:p>
        </w:tc>
      </w:tr>
      <w:tr>
        <w:trPr>
          <w:trHeight w:val="369"/>
        </w:trPr>
        <w:tc>
          <w:tcPr>
            <w:tcW w:w="850" w:type="dxa"/>
            <w:vAlign w:val="center"/>
          </w:tcPr>
          <w:p>
            <w:pPr>
              <w:pStyle w:val="21"/>
            </w:pPr>
            <w:r>
              <w:t>3</w:t>
            </w:r>
          </w:p>
        </w:tc>
        <w:tc>
          <w:tcPr>
            <w:tcW w:w="1191" w:type="dxa"/>
            <w:vAlign w:val="center"/>
          </w:tcPr>
          <w:p>
            <w:pPr>
              <w:pStyle w:val="20"/>
            </w:pPr>
            <w:r>
              <w:t>20129</w:t>
            </w:r>
          </w:p>
        </w:tc>
        <w:tc>
          <w:tcPr>
            <w:tcW w:w="4535" w:type="dxa"/>
            <w:vAlign w:val="center"/>
          </w:tcPr>
          <w:p>
            <w:pPr>
              <w:pStyle w:val="20"/>
            </w:pPr>
            <w:r>
              <w:t>群众团体事务</w:t>
            </w:r>
          </w:p>
        </w:tc>
        <w:tc>
          <w:tcPr>
            <w:tcW w:w="2551" w:type="dxa"/>
            <w:vAlign w:val="center"/>
          </w:tcPr>
          <w:p>
            <w:pPr>
              <w:pStyle w:val="19"/>
            </w:pPr>
            <w:r>
              <w:t>158.93</w:t>
            </w:r>
          </w:p>
        </w:tc>
        <w:tc>
          <w:tcPr>
            <w:tcW w:w="2551" w:type="dxa"/>
            <w:vAlign w:val="center"/>
          </w:tcPr>
          <w:p>
            <w:pPr>
              <w:pStyle w:val="19"/>
            </w:pPr>
            <w:r>
              <w:t>61.06</w:t>
            </w:r>
          </w:p>
        </w:tc>
        <w:tc>
          <w:tcPr>
            <w:tcW w:w="2551" w:type="dxa"/>
            <w:vAlign w:val="center"/>
          </w:tcPr>
          <w:p>
            <w:pPr>
              <w:pStyle w:val="19"/>
            </w:pPr>
            <w:r>
              <w:t>97.87</w:t>
            </w:r>
          </w:p>
        </w:tc>
      </w:tr>
      <w:tr>
        <w:trPr>
          <w:trHeight w:val="369"/>
        </w:trPr>
        <w:tc>
          <w:tcPr>
            <w:tcW w:w="850" w:type="dxa"/>
            <w:vAlign w:val="center"/>
          </w:tcPr>
          <w:p>
            <w:pPr>
              <w:pStyle w:val="21"/>
            </w:pPr>
            <w:r>
              <w:t>4</w:t>
            </w:r>
          </w:p>
        </w:tc>
        <w:tc>
          <w:tcPr>
            <w:tcW w:w="1191" w:type="dxa"/>
            <w:vAlign w:val="center"/>
          </w:tcPr>
          <w:p>
            <w:pPr>
              <w:pStyle w:val="20"/>
            </w:pPr>
            <w:r>
              <w:t>2012901</w:t>
            </w:r>
          </w:p>
        </w:tc>
        <w:tc>
          <w:tcPr>
            <w:tcW w:w="4535" w:type="dxa"/>
            <w:vAlign w:val="center"/>
          </w:tcPr>
          <w:p>
            <w:pPr>
              <w:pStyle w:val="20"/>
            </w:pPr>
            <w:r>
              <w:t>行政运行</w:t>
            </w:r>
          </w:p>
        </w:tc>
        <w:tc>
          <w:tcPr>
            <w:tcW w:w="2551" w:type="dxa"/>
            <w:vAlign w:val="center"/>
          </w:tcPr>
          <w:p>
            <w:pPr>
              <w:pStyle w:val="19"/>
            </w:pPr>
            <w:r>
              <w:t>53.99</w:t>
            </w:r>
          </w:p>
        </w:tc>
        <w:tc>
          <w:tcPr>
            <w:tcW w:w="2551" w:type="dxa"/>
            <w:vAlign w:val="center"/>
          </w:tcPr>
          <w:p>
            <w:pPr>
              <w:pStyle w:val="19"/>
            </w:pPr>
            <w:r>
              <w:t>53.99</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2012902</w:t>
            </w:r>
          </w:p>
        </w:tc>
        <w:tc>
          <w:tcPr>
            <w:tcW w:w="4535" w:type="dxa"/>
            <w:vAlign w:val="center"/>
          </w:tcPr>
          <w:p>
            <w:pPr>
              <w:pStyle w:val="20"/>
            </w:pPr>
            <w:r>
              <w:t>一般行政管理事务</w:t>
            </w:r>
          </w:p>
        </w:tc>
        <w:tc>
          <w:tcPr>
            <w:tcW w:w="2551" w:type="dxa"/>
            <w:vAlign w:val="center"/>
          </w:tcPr>
          <w:p>
            <w:pPr>
              <w:pStyle w:val="19"/>
            </w:pPr>
            <w:r>
              <w:t>80.87</w:t>
            </w:r>
          </w:p>
        </w:tc>
        <w:tc>
          <w:tcPr>
            <w:tcW w:w="2551" w:type="dxa"/>
            <w:vAlign w:val="center"/>
          </w:tcPr>
          <w:p>
            <w:pPr>
              <w:pStyle w:val="19"/>
            </w:pPr>
          </w:p>
        </w:tc>
        <w:tc>
          <w:tcPr>
            <w:tcW w:w="2551" w:type="dxa"/>
            <w:vAlign w:val="center"/>
          </w:tcPr>
          <w:p>
            <w:pPr>
              <w:pStyle w:val="19"/>
            </w:pPr>
            <w:r>
              <w:t>80.87</w:t>
            </w:r>
          </w:p>
        </w:tc>
      </w:tr>
      <w:tr>
        <w:trPr>
          <w:trHeight w:val="369"/>
        </w:trPr>
        <w:tc>
          <w:tcPr>
            <w:tcW w:w="850" w:type="dxa"/>
            <w:vAlign w:val="center"/>
          </w:tcPr>
          <w:p>
            <w:pPr>
              <w:pStyle w:val="21"/>
            </w:pPr>
            <w:r>
              <w:t>6</w:t>
            </w:r>
          </w:p>
        </w:tc>
        <w:tc>
          <w:tcPr>
            <w:tcW w:w="1191" w:type="dxa"/>
            <w:vAlign w:val="center"/>
          </w:tcPr>
          <w:p>
            <w:pPr>
              <w:pStyle w:val="20"/>
            </w:pPr>
            <w:r>
              <w:t>2012950</w:t>
            </w:r>
          </w:p>
        </w:tc>
        <w:tc>
          <w:tcPr>
            <w:tcW w:w="4535" w:type="dxa"/>
            <w:vAlign w:val="center"/>
          </w:tcPr>
          <w:p>
            <w:pPr>
              <w:pStyle w:val="20"/>
            </w:pPr>
            <w:r>
              <w:t>事业运行</w:t>
            </w:r>
          </w:p>
        </w:tc>
        <w:tc>
          <w:tcPr>
            <w:tcW w:w="2551" w:type="dxa"/>
            <w:vAlign w:val="center"/>
          </w:tcPr>
          <w:p>
            <w:pPr>
              <w:pStyle w:val="19"/>
            </w:pPr>
            <w:r>
              <w:t>7.07</w:t>
            </w:r>
          </w:p>
        </w:tc>
        <w:tc>
          <w:tcPr>
            <w:tcW w:w="2551" w:type="dxa"/>
            <w:vAlign w:val="center"/>
          </w:tcPr>
          <w:p>
            <w:pPr>
              <w:pStyle w:val="19"/>
            </w:pPr>
            <w:r>
              <w:t>7.07</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2012999</w:t>
            </w:r>
          </w:p>
        </w:tc>
        <w:tc>
          <w:tcPr>
            <w:tcW w:w="4535" w:type="dxa"/>
            <w:vAlign w:val="center"/>
          </w:tcPr>
          <w:p>
            <w:pPr>
              <w:pStyle w:val="20"/>
            </w:pPr>
            <w:r>
              <w:t>其他群众团体事务支出</w:t>
            </w:r>
          </w:p>
        </w:tc>
        <w:tc>
          <w:tcPr>
            <w:tcW w:w="2551" w:type="dxa"/>
            <w:vAlign w:val="center"/>
          </w:tcPr>
          <w:p>
            <w:pPr>
              <w:pStyle w:val="19"/>
            </w:pPr>
            <w:r>
              <w:t>17.00</w:t>
            </w:r>
          </w:p>
        </w:tc>
        <w:tc>
          <w:tcPr>
            <w:tcW w:w="2551" w:type="dxa"/>
            <w:vAlign w:val="center"/>
          </w:tcPr>
          <w:p>
            <w:pPr>
              <w:pStyle w:val="19"/>
            </w:pPr>
          </w:p>
        </w:tc>
        <w:tc>
          <w:tcPr>
            <w:tcW w:w="2551" w:type="dxa"/>
            <w:vAlign w:val="center"/>
          </w:tcPr>
          <w:p>
            <w:pPr>
              <w:pStyle w:val="19"/>
            </w:pPr>
            <w:r>
              <w:t>17.00</w:t>
            </w:r>
          </w:p>
        </w:tc>
      </w:tr>
      <w:tr>
        <w:trPr>
          <w:trHeight w:val="369"/>
        </w:trPr>
        <w:tc>
          <w:tcPr>
            <w:tcW w:w="850" w:type="dxa"/>
            <w:vAlign w:val="center"/>
          </w:tcPr>
          <w:p>
            <w:pPr>
              <w:pStyle w:val="21"/>
            </w:pPr>
            <w:r>
              <w:t>8</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13.80</w:t>
            </w:r>
          </w:p>
        </w:tc>
        <w:tc>
          <w:tcPr>
            <w:tcW w:w="2551" w:type="dxa"/>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13.80</w:t>
            </w:r>
          </w:p>
        </w:tc>
        <w:tc>
          <w:tcPr>
            <w:tcW w:w="2551" w:type="dxa"/>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6.50</w:t>
            </w:r>
          </w:p>
        </w:tc>
        <w:tc>
          <w:tcPr>
            <w:tcW w:w="2551" w:type="dxa"/>
            <w:vAlign w:val="center"/>
          </w:tcPr>
          <w:p>
            <w:pPr>
              <w:pStyle w:val="19"/>
            </w:pPr>
            <w:r>
              <w:t>6.50</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7.30</w:t>
            </w:r>
          </w:p>
        </w:tc>
        <w:tc>
          <w:tcPr>
            <w:tcW w:w="2551" w:type="dxa"/>
            <w:vAlign w:val="center"/>
          </w:tcPr>
          <w:p>
            <w:pPr>
              <w:pStyle w:val="19"/>
            </w:pPr>
            <w:r>
              <w:t>7.30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6.96</w:t>
            </w:r>
          </w:p>
        </w:tc>
        <w:tc>
          <w:tcPr>
            <w:tcW w:w="2551" w:type="dxa"/>
            <w:vAlign w:val="center"/>
          </w:tcPr>
          <w:p>
            <w:pPr>
              <w:pStyle w:val="19"/>
            </w:pPr>
            <w:r>
              <w:t>6.96</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6.96</w:t>
            </w:r>
          </w:p>
        </w:tc>
        <w:tc>
          <w:tcPr>
            <w:tcW w:w="2551" w:type="dxa"/>
            <w:vAlign w:val="center"/>
          </w:tcPr>
          <w:p>
            <w:pPr>
              <w:pStyle w:val="19"/>
            </w:pPr>
            <w:r>
              <w:t>6.96</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3.31</w:t>
            </w:r>
          </w:p>
        </w:tc>
        <w:tc>
          <w:tcPr>
            <w:tcW w:w="2551" w:type="dxa"/>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3.65</w:t>
            </w:r>
          </w:p>
        </w:tc>
        <w:tc>
          <w:tcPr>
            <w:tcW w:w="2551" w:type="dxa"/>
            <w:vAlign w:val="center"/>
          </w:tcPr>
          <w:p>
            <w:pPr>
              <w:pStyle w:val="19"/>
            </w:pPr>
            <w:r>
              <w:t>3.65</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87.33</w:t>
            </w:r>
          </w:p>
        </w:tc>
        <w:tc>
          <w:tcPr>
            <w:tcW w:w="2551" w:type="dxa"/>
            <w:vAlign w:val="center"/>
          </w:tcPr>
          <w:p>
            <w:pPr>
              <w:pStyle w:val="23"/>
            </w:pPr>
            <w:r>
              <w:t>75.97</w:t>
            </w:r>
          </w:p>
        </w:tc>
        <w:tc>
          <w:tcPr>
            <w:tcW w:w="2551" w:type="dxa"/>
            <w:vAlign w:val="center"/>
          </w:tcPr>
          <w:p>
            <w:pPr>
              <w:pStyle w:val="23"/>
            </w:pPr>
            <w:r>
              <w:t>11.36</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69.17</w:t>
            </w:r>
          </w:p>
        </w:tc>
        <w:tc>
          <w:tcPr>
            <w:tcW w:w="2551" w:type="dxa"/>
            <w:vAlign w:val="center"/>
          </w:tcPr>
          <w:p>
            <w:pPr>
              <w:pStyle w:val="19"/>
            </w:pPr>
            <w:r>
              <w:t>69.17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22.26</w:t>
            </w:r>
          </w:p>
        </w:tc>
        <w:tc>
          <w:tcPr>
            <w:tcW w:w="2551" w:type="dxa"/>
            <w:vAlign w:val="center"/>
          </w:tcPr>
          <w:p>
            <w:pPr>
              <w:pStyle w:val="19"/>
            </w:pPr>
            <w:r>
              <w:t>22.26</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21.67</w:t>
            </w:r>
          </w:p>
        </w:tc>
        <w:tc>
          <w:tcPr>
            <w:tcW w:w="2551" w:type="dxa"/>
            <w:vAlign w:val="center"/>
          </w:tcPr>
          <w:p>
            <w:pPr>
              <w:pStyle w:val="19"/>
            </w:pPr>
            <w:r>
              <w:t>21.67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1.41</w:t>
            </w:r>
          </w:p>
        </w:tc>
        <w:tc>
          <w:tcPr>
            <w:tcW w:w="2551" w:type="dxa"/>
            <w:vAlign w:val="center"/>
          </w:tcPr>
          <w:p>
            <w:pPr>
              <w:pStyle w:val="19"/>
            </w:pPr>
            <w:r>
              <w:t>1.41</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3.42</w:t>
            </w:r>
          </w:p>
        </w:tc>
        <w:tc>
          <w:tcPr>
            <w:tcW w:w="2551" w:type="dxa"/>
            <w:vAlign w:val="center"/>
          </w:tcPr>
          <w:p>
            <w:pPr>
              <w:pStyle w:val="19"/>
            </w:pPr>
            <w:r>
              <w:t>3.42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7.30</w:t>
            </w:r>
          </w:p>
        </w:tc>
        <w:tc>
          <w:tcPr>
            <w:tcW w:w="2551" w:type="dxa"/>
            <w:vAlign w:val="center"/>
          </w:tcPr>
          <w:p>
            <w:pPr>
              <w:pStyle w:val="19"/>
            </w:pPr>
            <w:r>
              <w:t>7.30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3.31</w:t>
            </w:r>
          </w:p>
        </w:tc>
        <w:tc>
          <w:tcPr>
            <w:tcW w:w="2551" w:type="dxa"/>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3.65</w:t>
            </w:r>
          </w:p>
        </w:tc>
        <w:tc>
          <w:tcPr>
            <w:tcW w:w="2551" w:type="dxa"/>
            <w:vAlign w:val="center"/>
          </w:tcPr>
          <w:p>
            <w:pPr>
              <w:pStyle w:val="19"/>
            </w:pPr>
            <w:r>
              <w:t>3.65</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0.64</w:t>
            </w:r>
          </w:p>
        </w:tc>
        <w:tc>
          <w:tcPr>
            <w:tcW w:w="2551" w:type="dxa"/>
            <w:vAlign w:val="center"/>
          </w:tcPr>
          <w:p>
            <w:pPr>
              <w:pStyle w:val="19"/>
            </w:pPr>
            <w:r>
              <w:t>0.64</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11.36</w:t>
            </w:r>
          </w:p>
        </w:tc>
        <w:tc>
          <w:tcPr>
            <w:tcW w:w="2551" w:type="dxa"/>
            <w:vAlign w:val="center"/>
          </w:tcPr>
          <w:p>
            <w:pPr>
              <w:pStyle w:val="19"/>
            </w:pPr>
          </w:p>
        </w:tc>
        <w:tc>
          <w:tcPr>
            <w:tcW w:w="2551" w:type="dxa"/>
            <w:vAlign w:val="center"/>
          </w:tcPr>
          <w:p>
            <w:pPr>
              <w:pStyle w:val="19"/>
            </w:pPr>
            <w:r>
              <w:t>11.36</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0.55</w:t>
            </w:r>
          </w:p>
        </w:tc>
        <w:tc>
          <w:tcPr>
            <w:tcW w:w="2551" w:type="dxa"/>
            <w:vAlign w:val="center"/>
          </w:tcPr>
          <w:p>
            <w:pPr>
              <w:pStyle w:val="19"/>
            </w:pPr>
          </w:p>
        </w:tc>
        <w:tc>
          <w:tcPr>
            <w:tcW w:w="2551" w:type="dxa"/>
            <w:vAlign w:val="center"/>
          </w:tcPr>
          <w:p>
            <w:pPr>
              <w:pStyle w:val="19"/>
            </w:pPr>
            <w:r>
              <w:t>0.55</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0.28</w:t>
            </w:r>
          </w:p>
        </w:tc>
        <w:tc>
          <w:tcPr>
            <w:tcW w:w="2551" w:type="dxa"/>
            <w:vAlign w:val="center"/>
          </w:tcPr>
          <w:p>
            <w:pPr>
              <w:pStyle w:val="19"/>
            </w:pPr>
          </w:p>
        </w:tc>
        <w:tc>
          <w:tcPr>
            <w:tcW w:w="2551" w:type="dxa"/>
            <w:vAlign w:val="center"/>
          </w:tcPr>
          <w:p>
            <w:pPr>
              <w:pStyle w:val="19"/>
            </w:pPr>
            <w:r>
              <w:t>0.28</w:t>
            </w:r>
          </w:p>
        </w:tc>
      </w:tr>
      <w:tr>
        <w:trPr>
          <w:trHeight w:val="369"/>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16</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0.79</w:t>
            </w:r>
          </w:p>
        </w:tc>
        <w:tc>
          <w:tcPr>
            <w:tcW w:w="2551" w:type="dxa"/>
            <w:vAlign w:val="center"/>
          </w:tcPr>
          <w:p>
            <w:pPr>
              <w:pStyle w:val="19"/>
            </w:pPr>
          </w:p>
        </w:tc>
        <w:tc>
          <w:tcPr>
            <w:tcW w:w="2551" w:type="dxa"/>
            <w:vAlign w:val="center"/>
          </w:tcPr>
          <w:p>
            <w:pPr>
              <w:pStyle w:val="19"/>
            </w:pPr>
            <w:r>
              <w:t>0.79</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0.99</w:t>
            </w:r>
          </w:p>
        </w:tc>
        <w:tc>
          <w:tcPr>
            <w:tcW w:w="2551" w:type="dxa"/>
            <w:vAlign w:val="center"/>
          </w:tcPr>
          <w:p>
            <w:pPr>
              <w:pStyle w:val="19"/>
            </w:pPr>
          </w:p>
        </w:tc>
        <w:tc>
          <w:tcPr>
            <w:tcW w:w="2551" w:type="dxa"/>
            <w:vAlign w:val="center"/>
          </w:tcPr>
          <w:p>
            <w:pPr>
              <w:pStyle w:val="19"/>
            </w:pPr>
            <w:r>
              <w:t>0.99</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2.82</w:t>
            </w:r>
          </w:p>
        </w:tc>
        <w:tc>
          <w:tcPr>
            <w:tcW w:w="2551" w:type="dxa"/>
            <w:vAlign w:val="center"/>
          </w:tcPr>
          <w:p>
            <w:pPr>
              <w:pStyle w:val="19"/>
            </w:pPr>
          </w:p>
        </w:tc>
        <w:tc>
          <w:tcPr>
            <w:tcW w:w="2551" w:type="dxa"/>
            <w:vAlign w:val="center"/>
          </w:tcPr>
          <w:p>
            <w:pPr>
              <w:pStyle w:val="19"/>
            </w:pPr>
            <w:r>
              <w:t>2.82</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0.33</w:t>
            </w:r>
          </w:p>
        </w:tc>
        <w:tc>
          <w:tcPr>
            <w:tcW w:w="2551" w:type="dxa"/>
            <w:vAlign w:val="center"/>
          </w:tcPr>
          <w:p>
            <w:pPr>
              <w:pStyle w:val="19"/>
            </w:pPr>
          </w:p>
        </w:tc>
        <w:tc>
          <w:tcPr>
            <w:tcW w:w="2551" w:type="dxa"/>
            <w:vAlign w:val="center"/>
          </w:tcPr>
          <w:p>
            <w:pPr>
              <w:pStyle w:val="19"/>
            </w:pPr>
            <w:r>
              <w:t>0.33</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6.80</w:t>
            </w:r>
          </w:p>
        </w:tc>
        <w:tc>
          <w:tcPr>
            <w:tcW w:w="2551" w:type="dxa"/>
            <w:vAlign w:val="center"/>
          </w:tcPr>
          <w:p>
            <w:pPr>
              <w:pStyle w:val="19"/>
            </w:pPr>
            <w:r>
              <w:t>6.80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6.50</w:t>
            </w:r>
          </w:p>
        </w:tc>
        <w:tc>
          <w:tcPr>
            <w:tcW w:w="2551" w:type="dxa"/>
            <w:vAlign w:val="center"/>
          </w:tcPr>
          <w:p>
            <w:pPr>
              <w:pStyle w:val="19"/>
            </w:pPr>
            <w:r>
              <w:t>6.50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0.30</w:t>
            </w:r>
          </w:p>
        </w:tc>
        <w:tc>
          <w:tcPr>
            <w:tcW w:w="2551" w:type="dxa"/>
            <w:vAlign w:val="center"/>
          </w:tcPr>
          <w:p>
            <w:pPr>
              <w:pStyle w:val="19"/>
            </w:pPr>
            <w:r>
              <w:t>0.30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5.30</w:t>
            </w:r>
          </w:p>
        </w:tc>
        <w:tc>
          <w:tcPr>
            <w:tcW w:w="2381" w:type="dxa"/>
            <w:vAlign w:val="center"/>
          </w:tcPr>
          <w:p>
            <w:pPr>
              <w:pStyle w:val="23"/>
            </w:pPr>
            <w:r>
              <w:t>5.30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0.30</w:t>
            </w:r>
          </w:p>
        </w:tc>
        <w:tc>
          <w:tcPr>
            <w:tcW w:w="2381" w:type="dxa"/>
            <w:vAlign w:val="center"/>
          </w:tcPr>
          <w:p>
            <w:pPr>
              <w:pStyle w:val="19"/>
            </w:pPr>
            <w:r>
              <w:t>0.30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唐山市丰南区妇女联合会2022年部门预算信息公开情况说明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唐山市丰南区妇女联合会2022年部门预算信息公开情况说明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按照《预算法》、《地方预决算公开操作规程》和《关于进一步推进预算公开工作的实施意见》规定，现将唐山市丰南区妇女联合会2022年部门预算公开如下：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根据《唐山市丰南区妇女联合会职能配置、内设机构和人员编制规定》，唐山市丰南区妇女联合会的主要职责是：</w:t>
      </w:r>
    </w:p>
    <w:p>
      <w:pPr>
        <w:pStyle w:val="25"/>
      </w:pPr>
      <w:r>
        <w:t>一、引导全区妇女跟党走，积极投身改革开放和社会主义经济、政治、文化建设，提高妇女素质，为建设经济强区作贡献。</w:t>
      </w:r>
    </w:p>
    <w:p>
      <w:pPr>
        <w:pStyle w:val="25"/>
      </w:pPr>
      <w:r>
        <w:t>二、关注涉及妇女切身利益，强化维权工作，帮扶困境群体。积极开展对妇女的科技及生产劳动技能等教育培训。</w:t>
      </w:r>
    </w:p>
    <w:p>
      <w:pPr>
        <w:pStyle w:val="25"/>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唐山市丰南区妇女联合会本级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按照预算管理有关规定，目前我省部门预算的编制实行综合预算管理，即全部收入和支出都反映在预算中。唐山市丰南区妇女联合会机关及所属事业单位的收支包含在部门预算中。</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（一）收入说明</w:t>
      </w:r>
    </w:p>
    <w:p>
      <w:pPr>
        <w:keepNext w:val="0"/>
        <w:keepLines w:val="0"/>
        <w:pageBreakBefore w:val="0"/>
        <w:widowControl w:val="0"/>
        <w:kinsoku/>
        <w:wordWrap/>
        <w:overflowPunct/>
        <w:topLinePunct w:val="0"/>
        <w:autoSpaceDE/>
        <w:autoSpaceDN/>
        <w:adjustRightInd/>
        <w:snapToGrid/>
        <w:ind w:firstLineChars="200" w:firstLine="560"/>
        <w:rPr>
          <w:rFonts w:ascii="Times New Roman" w:eastAsia="方正仿宋_GBK" w:cs="仿宋" w:hAnsi="Times New Roman" w:hint="eastAsia"/>
          <w:color w:val="000000"/>
          <w:sz w:val="28"/>
        </w:rPr>
      </w:pPr>
      <w:r>
        <w:rPr>
          <w:rFonts w:ascii="Times New Roman" w:eastAsia="方正仿宋_GBK" w:hAnsi="Times New Roman" w:hint="eastAsia"/>
          <w:color w:val="000000"/>
          <w:sz w:val="28"/>
        </w:rPr>
        <w:t>2022年部门预算收入185.2万元，其中：一般公共预算拨款185.2万元，</w:t>
      </w:r>
      <w:r>
        <w:rPr>
          <w:rFonts w:ascii="Times New Roman" w:eastAsia="方正仿宋_GBK" w:cs="仿宋" w:hAnsi="Times New Roman" w:hint="eastAsia"/>
          <w:color w:val="000000"/>
          <w:sz w:val="28"/>
          <w:lang w:val="en-US" w:eastAsia="zh-CN"/>
        </w:rPr>
        <w:t xml:space="preserve">上级一般公共预算安排转移支付17万元。 </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185.2</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75.97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11.36</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97.87</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2022年部门预算较2021年减少38.12万元，其中：人员经费减少19.68万元，日常公用经费减少1.08万元，项目经费减少17.36万元。</w:t>
      </w:r>
    </w:p>
    <w:p>
      <w:pPr>
        <w:spacing w:before="0" w:after="0" w:line="500" w:lineRule="exact"/>
        <w:ind w:firstLine="560"/>
        <w:jc w:val="left"/>
        <w:outlineLvl w:val="9"/>
      </w:pPr>
      <w:bookmarkStart w:id="11" w:name="_GoBack"/>
      <w:bookmarkEnd w:id="11"/>
    </w:p>
    <w:p>
      <w:pPr>
        <w:pStyle w:val="26"/>
      </w:pPr>
    </w:p>
    <w:p>
      <w:pPr>
        <w:spacing w:before="10" w:after="10" w:line="360" w:lineRule="auto"/>
        <w:ind w:firstLine="640"/>
        <w:jc w:val="left"/>
        <w:outlineLvl w:val="2"/>
      </w:pPr>
      <w:bookmarkStart w:id="12" w:name="_Toc_3_3_0000000012"/>
      <w:r>
        <w:rPr>
          <w:rFonts w:ascii="黑体" w:eastAsia="黑体" w:cs="黑体"/>
          <w:color w:val="000000"/>
          <w:sz w:val="32"/>
        </w:rPr>
        <w:t>三、机关运行经费安排情况</w:t>
      </w:r>
      <w:bookmarkEnd w:id="12"/>
    </w:p>
    <w:p>
      <w:pPr>
        <w:pStyle w:val="27"/>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11.36万元，主要包括用于保证机关正常运转的办公及印刷费0.83万元、邮电费0.25万元、差旅费0.3万元、公务用车运行维护费2.5万元、公务接待费0.3万元、工会费0.79万元、福利费1.28万元、移动通讯补贴2.25万元、交通补贴2.82万元、离退休干部报刊费0.04万元等支出。</w:t>
      </w:r>
    </w:p>
    <w:p>
      <w:pPr>
        <w:pStyle w:val="27"/>
      </w:pPr>
    </w:p>
    <w:p>
      <w:pPr>
        <w:spacing w:before="10" w:after="10" w:line="360" w:lineRule="auto"/>
        <w:ind w:firstLine="640"/>
        <w:jc w:val="left"/>
        <w:outlineLvl w:val="2"/>
      </w:pPr>
      <w:bookmarkStart w:id="13" w:name="_Toc_3_3_0000000013"/>
      <w:r>
        <w:rPr>
          <w:rFonts w:ascii="黑体" w:eastAsia="黑体" w:cs="黑体"/>
          <w:color w:val="000000"/>
          <w:sz w:val="32"/>
        </w:rPr>
        <w:t>四、财政拨款“三公”经费预算情况及增减变化原因</w:t>
      </w:r>
      <w:bookmarkEnd w:id="13"/>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2022年部门“三公”经费预算安排2.8万元，比2021年增减无变化。具体增减情况为：</w:t>
      </w:r>
    </w:p>
    <w:p>
      <w:pPr>
        <w:spacing w:line="360" w:lineRule="auto"/>
        <w:ind w:firstLineChars="200" w:firstLine="560"/>
        <w:jc w:val="left"/>
        <w:rPr>
          <w:rFonts w:ascii="Times New Roman" w:eastAsia="方正仿宋_GBK" w:hAnsi="Times New Roman" w:hint="eastAsia"/>
          <w:color w:val="000000"/>
          <w:sz w:val="28"/>
        </w:rPr>
      </w:pPr>
      <w:bookmarkStart w:id="14" w:name="OLE_LINK1"/>
      <w:r>
        <w:rPr>
          <w:rFonts w:ascii="Times New Roman" w:eastAsia="方正仿宋_GBK" w:hAnsi="Times New Roman" w:hint="eastAsia"/>
          <w:color w:val="000000"/>
          <w:sz w:val="28"/>
        </w:rPr>
        <w:t>（一）公务用车购置及运行费2.5万元，比2021年无变化，原因是无新购入车辆。</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（二）公务接待费0.3万元，</w:t>
      </w:r>
      <w:bookmarkEnd w:id="14"/>
      <w:r>
        <w:rPr>
          <w:rFonts w:ascii="Times New Roman" w:eastAsia="方正仿宋_GBK" w:hAnsi="Times New Roman" w:hint="eastAsia"/>
          <w:color w:val="000000"/>
          <w:sz w:val="28"/>
        </w:rPr>
        <w:t>比2021年增减无变化，原因是正常开展相关工作。</w:t>
      </w:r>
    </w:p>
    <w:p>
      <w:pPr>
        <w:spacing w:line="360" w:lineRule="auto"/>
        <w:ind w:firstLineChars="200" w:firstLine="560"/>
        <w:jc w:val="left"/>
        <w:rPr>
          <w:rFonts w:ascii="Times New Roman" w:eastAsia="方正仿宋_GBK" w:hAnsi="Times New Roman"/>
          <w:color w:val="FF0000"/>
          <w:sz w:val="28"/>
        </w:rPr>
      </w:pPr>
      <w:r>
        <w:rPr>
          <w:rFonts w:ascii="Times New Roman" w:eastAsia="方正仿宋_GBK" w:hAnsi="Times New Roman" w:hint="eastAsia"/>
          <w:color w:val="000000"/>
          <w:sz w:val="28"/>
        </w:rPr>
        <w:t>（三）因公出国（境）费0万元，比2021年增减无变化，原因是正常开展相关工作。</w:t>
      </w:r>
    </w:p>
    <w:p>
      <w:pPr>
        <w:pStyle w:val="28"/>
      </w:pPr>
    </w:p>
    <w:p>
      <w:pPr>
        <w:spacing w:before="10" w:after="10" w:line="360" w:lineRule="auto"/>
        <w:ind w:firstLine="640"/>
        <w:jc w:val="left"/>
        <w:outlineLvl w:val="2"/>
      </w:pPr>
      <w:bookmarkStart w:id="15" w:name="_Toc_3_3_0000000014"/>
      <w:r>
        <w:rPr>
          <w:rFonts w:ascii="黑体" w:eastAsia="黑体" w:cs="黑体"/>
          <w:color w:val="000000"/>
          <w:sz w:val="32"/>
        </w:rPr>
        <w:t>五、预算绩效信息</w:t>
      </w:r>
      <w:bookmarkEnd w:id="15"/>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丰南区妇联继续坚持党建引领，努力在妇女思想政治引领、妇联改革创新、美丽庭院示范创建、服务高质量发展、助力社会治理五项重点工作上取得突破。一是深化巾帼大宣讲活动，通过妇女之家、妇女讲习所、网上妇联等渠道开展巾帼大宣讲活动。二是全力推进省示范妇女之家建设，自建一批妇女之家。三是打造各具特色的示范街、精品户、中心户，创建内涵丰富的妇女微家、妇女讲习所、执委工作站等。四是扎实推进家政服务业体制扩容，深化“和风木兰”家政服务品牌，大力发展“丰南福嫂、巾帼家政”，建立更多实训基地。五是以传承家教家风为重点，开展家庭教育讲座、家风宣传、家训认领活动。</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一、围绕中心，服务大局，完成区委区政府交办的工作任务，全区妇女精神面貌有较大改观，创业就业能力逐步增强，素质得到有效提升。</w:t>
      </w:r>
    </w:p>
    <w:p>
      <w:pPr>
        <w:pStyle w:val="30"/>
      </w:pPr>
      <w:r>
        <w:t>绩效目标：妇女积极参与妇联组织围绕区委区政府中心工作开展的各项活动，精神面貌有较大改观，创业就业能力逐步增强，素质得到有效提升。</w:t>
      </w:r>
    </w:p>
    <w:p>
      <w:pPr>
        <w:pStyle w:val="30"/>
      </w:pPr>
      <w:r>
        <w:t>绩效指标：宣传培训教育妇女人数大于2万人次、项目预算资金预算产出和效果达100%、帮扶妇女就业人数达40余人次、项目的宣传效果满意值达100%、帮扶妇女创业人数达50余人次。</w:t>
      </w:r>
    </w:p>
    <w:p>
      <w:pPr>
        <w:pStyle w:val="30"/>
      </w:pPr>
    </w:p>
    <w:p>
      <w:pPr>
        <w:pStyle w:val="30"/>
      </w:pPr>
      <w:r>
        <w:t>二、妇女综合素质和发展能力有较大提升。妇女儿童合法权益得到有效维护，男女平等基本国策宣传进一步深入人心。</w:t>
      </w:r>
    </w:p>
    <w:p>
      <w:pPr>
        <w:pStyle w:val="30"/>
      </w:pPr>
      <w:r>
        <w:t>绩效目标：1、关注和研究涉及妇女切身利益的热点难点问题，向区委区政府提出对策建议；参与有关妇女儿童政策和法律、法规草案的拟定，教育引导妇女依法维权，对权益受到侵害的妇女儿童和困境妇女儿童提供帮助。2、开展对妇女的科技文化、生产劳动技能和家庭、家教、家风教育</w:t>
      </w:r>
    </w:p>
    <w:p>
      <w:pPr>
        <w:pStyle w:val="30"/>
      </w:pPr>
      <w:r>
        <w:t>绩效指标：1、法律援助妇女侵权案件率达90%、妇女信访代理工作覆盖率90%、开展妇女维权宣传活动达到40场次。2、培养妇女致富带头人人数20人、培训达标率达到80*、项目的宣传效果满意值达到100%。</w:t>
      </w:r>
    </w:p>
    <w:p>
      <w:pPr>
        <w:pStyle w:val="30"/>
      </w:pPr>
    </w:p>
    <w:p>
      <w:pPr>
        <w:pStyle w:val="30"/>
      </w:pPr>
      <w:r>
        <w:t>三、不断加强妇联组织自身建设，提升妇联干部服务妇女的能力和水平，保障妇女维权、妇女发展工作正常有序开展。</w:t>
      </w:r>
    </w:p>
    <w:p>
      <w:pPr>
        <w:pStyle w:val="30"/>
      </w:pPr>
      <w:r>
        <w:t>绩效目标：妇联基层组织的组织、阵地、队伍建设等得到加强，妇联干部工作能力和服务水平提高。</w:t>
      </w:r>
    </w:p>
    <w:p>
      <w:pPr>
        <w:pStyle w:val="30"/>
      </w:pPr>
      <w:r>
        <w:t>绩效指标：创建区级示范妇女之家数量为10个、各类组织建设规范化程度达到80%、建设区级示范儿童之家数量为10个、 创建示范基层组织率达到90%。</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完善制度建设，引导全区妇女跟党走,积极投身改革开放和社会主义经济、政治、文化建设，提高妇女素质，为建设经济强区作贡献。关注涉及妇女切身利益，强化维权工作，帮扶困境群体。积极开展对妇女的科技及生产劳动技能等教育培训。加强妇联组织建设和机关党建，做好区政府妇儿工委工作，指导所属事业单位为妇女儿童事业发展提供保障。加强支出管理，并加强落实绩效运行监控，同时做好绩效自评，完善财务管理制度，严格按照要求规范财务资产管理，加强内部的监督，并加强积极宣传培训调研等。</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ind w:firstLine="560"/>
        <w:jc w:val="left"/>
        <w:outlineLvl w:val="9"/>
      </w:pPr>
      <w:r>
        <w:rPr>
          <w:rFonts w:ascii="方正仿宋_GBK" w:eastAsia="方正仿宋_GBK" w:cs="方正仿宋_GBK"/>
          <w:b/>
          <w:color w:val="000000"/>
          <w:sz w:val="28"/>
        </w:rPr>
        <w:t>1、提前下达2022年区级妇女之家建设专项资金 唐财行【2021】35号绩效目标表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1.提高妇女素质，丰富妇女生活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组织宣传活动次数</w:t>
            </w:r>
          </w:p>
        </w:tc>
        <w:tc>
          <w:tcPr>
            <w:tcW w:w="2835" w:type="dxa"/>
            <w:vAlign w:val="center"/>
          </w:tcPr>
          <w:p>
            <w:pPr>
              <w:pStyle w:val="20"/>
            </w:pPr>
            <w:r>
              <w:t>组织宣传活动次数</w:t>
            </w:r>
          </w:p>
        </w:tc>
        <w:tc>
          <w:tcPr>
            <w:tcW w:w="2551" w:type="dxa"/>
            <w:vAlign w:val="center"/>
          </w:tcPr>
          <w:p>
            <w:pPr>
              <w:pStyle w:val="20"/>
            </w:pPr>
            <w:r>
              <w:t>≥10次</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阵地建设覆盖率</w:t>
            </w:r>
          </w:p>
        </w:tc>
        <w:tc>
          <w:tcPr>
            <w:tcW w:w="2835" w:type="dxa"/>
            <w:vAlign w:val="center"/>
          </w:tcPr>
          <w:p>
            <w:pPr>
              <w:pStyle w:val="20"/>
            </w:pPr>
            <w:r>
              <w:t>阵地建设占妇女之家建设标准的比率</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预算资金使用情况</w:t>
            </w:r>
          </w:p>
        </w:tc>
        <w:tc>
          <w:tcPr>
            <w:tcW w:w="2835" w:type="dxa"/>
            <w:vAlign w:val="center"/>
          </w:tcPr>
          <w:p>
            <w:pPr>
              <w:pStyle w:val="20"/>
            </w:pPr>
            <w:r>
              <w:t>支出预算占项目资金的比率</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预算资金使用情况</w:t>
            </w:r>
          </w:p>
        </w:tc>
        <w:tc>
          <w:tcPr>
            <w:tcW w:w="2835" w:type="dxa"/>
            <w:vAlign w:val="center"/>
          </w:tcPr>
          <w:p>
            <w:pPr>
              <w:pStyle w:val="20"/>
            </w:pPr>
            <w:r>
              <w:t>预算资金使用情况</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公共服务水平提升情况</w:t>
            </w:r>
          </w:p>
        </w:tc>
        <w:tc>
          <w:tcPr>
            <w:tcW w:w="2835" w:type="dxa"/>
            <w:vAlign w:val="center"/>
          </w:tcPr>
          <w:p>
            <w:pPr>
              <w:pStyle w:val="20"/>
            </w:pPr>
            <w:r>
              <w:t>基层妇女组织活动规范程度</w:t>
            </w:r>
          </w:p>
        </w:tc>
        <w:tc>
          <w:tcPr>
            <w:tcW w:w="2551" w:type="dxa"/>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能够长期较好的开活动，发挥阵地作用</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群众对业务开展情况的满意度情况</w:t>
            </w:r>
          </w:p>
        </w:tc>
        <w:tc>
          <w:tcPr>
            <w:tcW w:w="2551" w:type="dxa"/>
            <w:vAlign w:val="center"/>
          </w:tcPr>
          <w:p>
            <w:pPr>
              <w:pStyle w:val="20"/>
            </w:pPr>
            <w:r>
              <w:t>≥85%</w:t>
            </w:r>
          </w:p>
        </w:tc>
        <w:tc>
          <w:tcPr>
            <w:tcW w:w="2268" w:type="dxa"/>
            <w:vAlign w:val="center"/>
          </w:tcPr>
          <w:p>
            <w:pPr>
              <w:pStyle w:val="20"/>
            </w:pPr>
            <w:r>
              <w:t>妇女之家建设标准</w:t>
            </w:r>
          </w:p>
        </w:tc>
      </w:tr>
    </w:tbl>
    <w:p>
      <w:pPr>
        <w:sectPr>
          <w:pgSz w:w="16840" w:h="11900" w:orient="landscape"/>
          <w:pgMar w:top="1361" w:right="1020" w:bottom="1134" w:left="1020" w:header="720" w:footer="720" w:gutter="0"/>
          <w:docGrid w:linePitch="326" w:charSpace="0"/>
        </w:sectPr>
      </w:pPr>
    </w:p>
    <w:p>
      <w:pPr>
        <w:pStyle w:val="20"/>
        <w:rPr>
          <w:rFonts w:ascii="方正楷体_GBK" w:eastAsia="方正楷体_GBK" w:cs="方正楷体_GBK"/>
          <w:b/>
          <w:color w:val="000000"/>
          <w:sz w:val="32"/>
        </w:rPr>
      </w:pPr>
      <w:r>
        <w:rPr>
          <w:rFonts w:ascii="方正楷体_GBK" w:eastAsia="方正楷体_GBK" w:cs="方正楷体_GBK"/>
          <w:b/>
          <w:color w:val="000000"/>
          <w:sz w:val="32"/>
        </w:rPr>
        <w:t>第三部  预算项目绩效目标</w:t>
      </w:r>
    </w:p>
    <w:p>
      <w:pPr>
        <w:pStyle w:val="20"/>
        <w:rPr>
          <w:rFonts w:ascii="方正楷体_GBK" w:eastAsia="方正楷体_GBK" w:cs="方正楷体_GBK"/>
          <w:b/>
          <w:color w:val="000000"/>
          <w:sz w:val="32"/>
        </w:rPr>
      </w:pPr>
    </w:p>
    <w:p>
      <w:pPr>
        <w:spacing w:before="0" w:after="0"/>
        <w:ind w:firstLine="560"/>
        <w:jc w:val="left"/>
        <w:outlineLvl w:val="9"/>
      </w:pPr>
      <w:r>
        <w:rPr>
          <w:rFonts w:ascii="方正仿宋_GBK" w:eastAsia="方正仿宋_GBK" w:cs="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1.付劳务派遣人员工资，保证机关日常工作正常运转。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聘用的劳务派遣人数</w:t>
            </w:r>
          </w:p>
        </w:tc>
        <w:tc>
          <w:tcPr>
            <w:tcW w:w="2551" w:type="dxa"/>
            <w:vAlign w:val="center"/>
          </w:tcPr>
          <w:p>
            <w:pPr>
              <w:pStyle w:val="20"/>
            </w:pPr>
            <w:r>
              <w:t>7人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工资发放及时率</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劳务派遣人员月最低工资标准</w:t>
            </w:r>
          </w:p>
        </w:tc>
        <w:tc>
          <w:tcPr>
            <w:tcW w:w="2835" w:type="dxa"/>
            <w:vAlign w:val="center"/>
          </w:tcPr>
          <w:p>
            <w:pPr>
              <w:pStyle w:val="20"/>
            </w:pPr>
            <w:r>
              <w:t>执行的劳务派遣人员月工资标准</w:t>
            </w:r>
          </w:p>
        </w:tc>
        <w:tc>
          <w:tcPr>
            <w:tcW w:w="2551" w:type="dxa"/>
            <w:vAlign w:val="center"/>
          </w:tcPr>
          <w:p>
            <w:pPr>
              <w:pStyle w:val="20"/>
            </w:pPr>
            <w:r>
              <w:t>≥1900元/月，人</w:t>
            </w:r>
          </w:p>
        </w:tc>
        <w:tc>
          <w:tcPr>
            <w:tcW w:w="2268" w:type="dxa"/>
            <w:vAlign w:val="center"/>
          </w:tcPr>
          <w:p>
            <w:pPr>
              <w:pStyle w:val="20"/>
            </w:pPr>
            <w:r>
              <w:t>聘用合同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保障各项工作正常运转</w:t>
            </w:r>
          </w:p>
        </w:tc>
        <w:tc>
          <w:tcPr>
            <w:tcW w:w="2551" w:type="dxa"/>
            <w:vAlign w:val="center"/>
          </w:tcPr>
          <w:p>
            <w:pPr>
              <w:pStyle w:val="20"/>
            </w:pPr>
            <w:r>
              <w:t>维护教育稳定，促进教育发展</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1.付见习人员生活补贴。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工资发放人数</w:t>
            </w:r>
          </w:p>
        </w:tc>
        <w:tc>
          <w:tcPr>
            <w:tcW w:w="2835" w:type="dxa"/>
            <w:vAlign w:val="center"/>
          </w:tcPr>
          <w:p>
            <w:pPr>
              <w:pStyle w:val="20"/>
            </w:pPr>
            <w:r>
              <w:t>就业见习人员工资人数</w:t>
            </w:r>
          </w:p>
        </w:tc>
        <w:tc>
          <w:tcPr>
            <w:tcW w:w="2551" w:type="dxa"/>
            <w:vAlign w:val="center"/>
          </w:tcPr>
          <w:p>
            <w:pPr>
              <w:pStyle w:val="20"/>
            </w:pPr>
            <w:r>
              <w:t>2人</w:t>
            </w:r>
          </w:p>
        </w:tc>
        <w:tc>
          <w:tcPr>
            <w:tcW w:w="2268" w:type="dxa"/>
            <w:vAlign w:val="center"/>
          </w:tcPr>
          <w:p>
            <w:pPr>
              <w:pStyle w:val="20"/>
            </w:pPr>
            <w:r>
              <w:t>就业见习协议</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资金支付合规率</w:t>
            </w:r>
          </w:p>
        </w:tc>
        <w:tc>
          <w:tcPr>
            <w:tcW w:w="2835" w:type="dxa"/>
            <w:vAlign w:val="center"/>
          </w:tcPr>
          <w:p>
            <w:pPr>
              <w:pStyle w:val="20"/>
            </w:pPr>
            <w:r>
              <w:t>资金支付合规率</w:t>
            </w:r>
          </w:p>
        </w:tc>
        <w:tc>
          <w:tcPr>
            <w:tcW w:w="2551" w:type="dxa"/>
            <w:vAlign w:val="center"/>
          </w:tcPr>
          <w:p>
            <w:pPr>
              <w:pStyle w:val="20"/>
            </w:pPr>
            <w:r>
              <w:t>100%</w:t>
            </w:r>
          </w:p>
        </w:tc>
        <w:tc>
          <w:tcPr>
            <w:tcW w:w="2268" w:type="dxa"/>
            <w:vAlign w:val="center"/>
          </w:tcPr>
          <w:p>
            <w:pPr>
              <w:pStyle w:val="20"/>
            </w:pPr>
            <w:r>
              <w:t>国家规定标准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支付及时率</w:t>
            </w:r>
          </w:p>
        </w:tc>
        <w:tc>
          <w:tcPr>
            <w:tcW w:w="2835" w:type="dxa"/>
            <w:vAlign w:val="center"/>
          </w:tcPr>
          <w:p>
            <w:pPr>
              <w:pStyle w:val="20"/>
            </w:pPr>
            <w:r>
              <w:t>支付及时率</w:t>
            </w:r>
          </w:p>
        </w:tc>
        <w:tc>
          <w:tcPr>
            <w:tcW w:w="2551" w:type="dxa"/>
            <w:vAlign w:val="center"/>
          </w:tcPr>
          <w:p>
            <w:pPr>
              <w:pStyle w:val="20"/>
            </w:pPr>
            <w:r>
              <w:t>100%</w:t>
            </w:r>
          </w:p>
        </w:tc>
        <w:tc>
          <w:tcPr>
            <w:tcW w:w="2268" w:type="dxa"/>
            <w:vAlign w:val="center"/>
          </w:tcPr>
          <w:p>
            <w:pPr>
              <w:pStyle w:val="20"/>
            </w:pPr>
            <w:r>
              <w:t>相关规定</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w:t>
            </w:r>
          </w:p>
        </w:tc>
        <w:tc>
          <w:tcPr>
            <w:tcW w:w="2835" w:type="dxa"/>
            <w:vAlign w:val="center"/>
          </w:tcPr>
          <w:p>
            <w:pPr>
              <w:pStyle w:val="20"/>
            </w:pPr>
            <w:r>
              <w:t>成本控制</w:t>
            </w:r>
          </w:p>
        </w:tc>
        <w:tc>
          <w:tcPr>
            <w:tcW w:w="2551" w:type="dxa"/>
            <w:vAlign w:val="center"/>
          </w:tcPr>
          <w:p>
            <w:pPr>
              <w:pStyle w:val="20"/>
            </w:pPr>
            <w:r>
              <w:t>100%</w:t>
            </w:r>
          </w:p>
        </w:tc>
        <w:tc>
          <w:tcPr>
            <w:tcW w:w="2268" w:type="dxa"/>
            <w:vAlign w:val="center"/>
          </w:tcPr>
          <w:p>
            <w:pPr>
              <w:pStyle w:val="20"/>
            </w:pPr>
            <w:r>
              <w:t>相关规定</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1.据2022年工作谋划，乡村振兴美丽庭院创建，开展全区美丽庭院创建相关活动，打造美丽庭院。</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参加培训人次</w:t>
            </w:r>
          </w:p>
        </w:tc>
        <w:tc>
          <w:tcPr>
            <w:tcW w:w="2835" w:type="dxa"/>
            <w:vAlign w:val="center"/>
          </w:tcPr>
          <w:p>
            <w:pPr>
              <w:pStyle w:val="20"/>
            </w:pPr>
            <w:r>
              <w:t>参加培训人次</w:t>
            </w:r>
          </w:p>
        </w:tc>
        <w:tc>
          <w:tcPr>
            <w:tcW w:w="2551" w:type="dxa"/>
            <w:vAlign w:val="center"/>
          </w:tcPr>
          <w:p>
            <w:pPr>
              <w:pStyle w:val="20"/>
            </w:pPr>
            <w:r>
              <w:t>≥200人</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预算资金使用率</w:t>
            </w:r>
          </w:p>
        </w:tc>
        <w:tc>
          <w:tcPr>
            <w:tcW w:w="2835" w:type="dxa"/>
            <w:vAlign w:val="center"/>
          </w:tcPr>
          <w:p>
            <w:pPr>
              <w:pStyle w:val="20"/>
            </w:pPr>
            <w:r>
              <w:t>预算资金使用率</w:t>
            </w:r>
          </w:p>
        </w:tc>
        <w:tc>
          <w:tcPr>
            <w:tcW w:w="2551" w:type="dxa"/>
            <w:vAlign w:val="center"/>
          </w:tcPr>
          <w:p>
            <w:pPr>
              <w:pStyle w:val="20"/>
            </w:pPr>
            <w:r>
              <w:t>≥90%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按期完成的计划占总计划的比率</w:t>
            </w:r>
          </w:p>
        </w:tc>
        <w:tc>
          <w:tcPr>
            <w:tcW w:w="2835" w:type="dxa"/>
            <w:vAlign w:val="center"/>
          </w:tcPr>
          <w:p>
            <w:pPr>
              <w:pStyle w:val="20"/>
            </w:pPr>
            <w:r>
              <w:t>按期完成的计划占总计划的比率</w:t>
            </w:r>
          </w:p>
        </w:tc>
        <w:tc>
          <w:tcPr>
            <w:tcW w:w="2551" w:type="dxa"/>
            <w:vAlign w:val="center"/>
          </w:tcPr>
          <w:p>
            <w:pPr>
              <w:pStyle w:val="20"/>
            </w:pPr>
            <w:r>
              <w:t>≥90%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成本控制率</w:t>
            </w:r>
          </w:p>
        </w:tc>
        <w:tc>
          <w:tcPr>
            <w:tcW w:w="2835" w:type="dxa"/>
            <w:vAlign w:val="center"/>
          </w:tcPr>
          <w:p>
            <w:pPr>
              <w:pStyle w:val="20"/>
            </w:pPr>
            <w:r>
              <w:t>完成项目的成本控制在预算水平</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在媒体播发宣传妇联稿件篇数</w:t>
            </w:r>
          </w:p>
        </w:tc>
        <w:tc>
          <w:tcPr>
            <w:tcW w:w="2835" w:type="dxa"/>
            <w:vAlign w:val="center"/>
          </w:tcPr>
          <w:p>
            <w:pPr>
              <w:pStyle w:val="20"/>
            </w:pPr>
            <w:r>
              <w:t>在媒体播发宣传妇联稿件篇数（篇）</w:t>
            </w:r>
          </w:p>
        </w:tc>
        <w:tc>
          <w:tcPr>
            <w:tcW w:w="2551" w:type="dxa"/>
            <w:vAlign w:val="center"/>
          </w:tcPr>
          <w:p>
            <w:pPr>
              <w:pStyle w:val="20"/>
            </w:pPr>
            <w:r>
              <w:t>≥5篇</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工作完成情况</w:t>
            </w:r>
          </w:p>
        </w:tc>
        <w:tc>
          <w:tcPr>
            <w:tcW w:w="2835" w:type="dxa"/>
            <w:vAlign w:val="center"/>
          </w:tcPr>
          <w:p>
            <w:pPr>
              <w:pStyle w:val="20"/>
            </w:pPr>
            <w:r>
              <w:t>受到区领导及广大群众的好评</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≥95%</w:t>
            </w:r>
          </w:p>
        </w:tc>
        <w:tc>
          <w:tcPr>
            <w:tcW w:w="2268" w:type="dxa"/>
            <w:vAlign w:val="center"/>
          </w:tcPr>
          <w:p>
            <w:pPr>
              <w:pStyle w:val="20"/>
            </w:pPr>
            <w:r>
              <w:t>全国、省、市妇联系统工作要求及妇联工作职能</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4、业务活动经费（慰问、活动）绩效目标表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1.开展“三八”“六一”活动、全区妇女培训双节慰问等。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培训参加人次</w:t>
            </w:r>
          </w:p>
        </w:tc>
        <w:tc>
          <w:tcPr>
            <w:tcW w:w="2835" w:type="dxa"/>
            <w:vAlign w:val="center"/>
          </w:tcPr>
          <w:p>
            <w:pPr>
              <w:pStyle w:val="20"/>
            </w:pPr>
            <w:r>
              <w:t>培训参加人次</w:t>
            </w:r>
          </w:p>
        </w:tc>
        <w:tc>
          <w:tcPr>
            <w:tcW w:w="2551" w:type="dxa"/>
            <w:vAlign w:val="center"/>
          </w:tcPr>
          <w:p>
            <w:pPr>
              <w:pStyle w:val="20"/>
            </w:pPr>
            <w:r>
              <w:t>≥200人</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建设妇女之家儿童之家数量</w:t>
            </w:r>
          </w:p>
        </w:tc>
        <w:tc>
          <w:tcPr>
            <w:tcW w:w="2835" w:type="dxa"/>
            <w:vAlign w:val="center"/>
          </w:tcPr>
          <w:p>
            <w:pPr>
              <w:pStyle w:val="20"/>
            </w:pPr>
            <w:r>
              <w:t>建设妇女之家儿童之家数量</w:t>
            </w:r>
          </w:p>
        </w:tc>
        <w:tc>
          <w:tcPr>
            <w:tcW w:w="2551" w:type="dxa"/>
            <w:vAlign w:val="center"/>
          </w:tcPr>
          <w:p>
            <w:pPr>
              <w:pStyle w:val="20"/>
            </w:pPr>
            <w:r>
              <w:t>≥5个</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预算资金使用情况</w:t>
            </w:r>
          </w:p>
        </w:tc>
        <w:tc>
          <w:tcPr>
            <w:tcW w:w="2835" w:type="dxa"/>
            <w:vAlign w:val="center"/>
          </w:tcPr>
          <w:p>
            <w:pPr>
              <w:pStyle w:val="20"/>
            </w:pPr>
            <w:r>
              <w:t>预算资金使用情况占本项目资金的比重</w:t>
            </w:r>
          </w:p>
        </w:tc>
        <w:tc>
          <w:tcPr>
            <w:tcW w:w="2551" w:type="dxa"/>
            <w:vAlign w:val="center"/>
          </w:tcPr>
          <w:p>
            <w:pPr>
              <w:pStyle w:val="20"/>
            </w:pPr>
            <w:r>
              <w:t>≥90%</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完成及时率</w:t>
            </w:r>
          </w:p>
        </w:tc>
        <w:tc>
          <w:tcPr>
            <w:tcW w:w="2551" w:type="dxa"/>
            <w:vAlign w:val="center"/>
          </w:tcPr>
          <w:p>
            <w:pPr>
              <w:pStyle w:val="20"/>
            </w:pPr>
            <w:r>
              <w:t>≥95%</w:t>
            </w:r>
          </w:p>
        </w:tc>
        <w:tc>
          <w:tcPr>
            <w:tcW w:w="2268" w:type="dxa"/>
            <w:vAlign w:val="center"/>
          </w:tcPr>
          <w:p>
            <w:pPr>
              <w:pStyle w:val="20"/>
            </w:pPr>
            <w:r>
              <w:t>中国妇女十二大及省、市妇联文件</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100%</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在媒体播发宣传妇联稿件数量</w:t>
            </w:r>
          </w:p>
        </w:tc>
        <w:tc>
          <w:tcPr>
            <w:tcW w:w="2835" w:type="dxa"/>
            <w:vAlign w:val="center"/>
          </w:tcPr>
          <w:p>
            <w:pPr>
              <w:pStyle w:val="20"/>
            </w:pPr>
            <w:r>
              <w:t>在媒体播发宣传妇联稿件的篇数</w:t>
            </w:r>
          </w:p>
        </w:tc>
        <w:tc>
          <w:tcPr>
            <w:tcW w:w="2551" w:type="dxa"/>
            <w:vAlign w:val="center"/>
          </w:tcPr>
          <w:p>
            <w:pPr>
              <w:pStyle w:val="20"/>
            </w:pPr>
            <w:r>
              <w:t>≥10篇</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工作完成情况</w:t>
            </w:r>
          </w:p>
        </w:tc>
        <w:tc>
          <w:tcPr>
            <w:tcW w:w="2835" w:type="dxa"/>
            <w:vAlign w:val="center"/>
          </w:tcPr>
          <w:p>
            <w:pPr>
              <w:pStyle w:val="20"/>
            </w:pPr>
            <w:r>
              <w:t>受到区领导及广大群众的好评</w:t>
            </w:r>
          </w:p>
        </w:tc>
        <w:tc>
          <w:tcPr>
            <w:tcW w:w="2551" w:type="dxa"/>
            <w:vAlign w:val="center"/>
          </w:tcPr>
          <w:p>
            <w:pPr>
              <w:pStyle w:val="20"/>
            </w:pPr>
            <w:r>
              <w:t>100%</w:t>
            </w:r>
          </w:p>
        </w:tc>
        <w:tc>
          <w:tcPr>
            <w:tcW w:w="2268" w:type="dxa"/>
            <w:vAlign w:val="center"/>
          </w:tcPr>
          <w:p>
            <w:pPr>
              <w:pStyle w:val="20"/>
            </w:pPr>
            <w:r>
              <w:t>中国妇女十二大及省、市妇联文件</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100%</w:t>
            </w:r>
          </w:p>
        </w:tc>
        <w:tc>
          <w:tcPr>
            <w:tcW w:w="2268" w:type="dxa"/>
            <w:vAlign w:val="center"/>
          </w:tcPr>
          <w:p>
            <w:pPr>
              <w:pStyle w:val="20"/>
            </w:pPr>
          </w:p>
        </w:tc>
      </w:tr>
    </w:tbl>
    <w:p>
      <w:pPr>
        <w:sectPr>
          <w:pgSz w:w="16840" w:h="11900" w:orient="landscape"/>
          <w:pgMar w:top="1361" w:right="1020" w:bottom="1134" w:left="1020" w:header="720" w:footer="720" w:gutter="0"/>
          <w:docGrid w:linePitch="326" w:charSpace="0"/>
        </w:sectPr>
      </w:pPr>
    </w:p>
    <w:p>
      <w:pPr>
        <w:pStyle w:val="20"/>
      </w:pPr>
      <w:bookmarkStart w:id="16" w:name="_Toc_3_3_0000000015"/>
      <w:r>
        <w:rPr>
          <w:rFonts w:ascii="黑体" w:eastAsia="黑体" w:cs="黑体"/>
          <w:color w:val="000000"/>
          <w:sz w:val="32"/>
        </w:rPr>
        <w:t>六、政府采购预算情况</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2022年，唐山市丰南区妇女联合会安排政府采购预算0.00万元。具体内容见下表。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325唐山市丰南区妇女联合会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6"/>
      <w:r>
        <w:rPr>
          <w:rFonts w:ascii="黑体" w:eastAsia="黑体" w:cs="黑体"/>
          <w:color w:val="000000"/>
          <w:sz w:val="32"/>
        </w:rPr>
        <w:t>七、国有资产信息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325唐山市丰南区妇女联合会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7"/>
      <w:r>
        <w:rPr>
          <w:rFonts w:ascii="黑体" w:eastAsia="黑体" w:cs="黑体"/>
          <w:color w:val="000000"/>
          <w:sz w:val="32"/>
        </w:rPr>
        <w:t>八、名词解释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eastAsia="黑体" w:cs="黑体"/>
          <w:color w:val="000000"/>
          <w:sz w:val="32"/>
        </w:rPr>
        <w:t>九、其他需要说明的事项</w:t>
      </w:r>
      <w:bookmarkEnd w:id="19"/>
    </w:p>
    <w:p>
      <w:pPr>
        <w:pStyle w:val="20"/>
        <w:rPr>
          <w:rFonts w:ascii="方正楷体_GBK" w:eastAsia="方正楷体_GBK" w:cs="方正楷体_GBK"/>
          <w:b/>
          <w:color w:val="000000"/>
          <w:sz w:val="32"/>
        </w:rPr>
        <w:sectPr>
          <w:pgSz w:w="16840" w:h="11900" w:orient="landscape"/>
          <w:pgMar w:top="1361" w:right="1020" w:bottom="1361" w:left="1020" w:header="720" w:footer="720" w:gutter="0"/>
          <w:docGrid w:linePitch="326" w:charSpace="0"/>
        </w:sectPr>
      </w:pPr>
      <w:r>
        <w:rPr>
          <w:rFonts w:ascii="Times New Roman" w:eastAsia="方正仿宋_GBK" w:cs="Times New Roman" w:hAnsi="Times New Roman"/>
          <w:b w:val="0"/>
          <w:color w:val="000000"/>
          <w:sz w:val="28"/>
        </w:rPr>
        <w:t>我部门无其他需要说明的事。</w:t>
      </w:r>
    </w:p>
    <w:p>
      <w:pPr>
        <w:spacing w:before="0" w:after="0" w:line="240" w:lineRule="auto"/>
        <w:ind w:left="0"/>
        <w:jc w:val="left"/>
        <w:outlineLvl w:val="9"/>
        <w:sectPr>
          <w:pgSz w:w="16840" w:h="11900" w:orient="landscape"/>
          <w:pgMar w:top="1361" w:right="1020" w:bottom="1134" w:left="1020" w:header="720" w:footer="720" w:gutter="0"/>
          <w:docGrid w:linePitch="326" w:charSpace="0"/>
        </w:sectPr>
      </w:pPr>
    </w:p>
    <w:p>
      <w:pPr>
        <w:spacing w:line="500" w:lineRule="exact"/>
        <w:ind w:left="0"/>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19"/>
      <w:r>
        <w:rPr>
          <w:rFonts w:ascii="方正小标宋_GBK" w:eastAsia="方正小标宋_GBK" w:cs="方正小标宋_GBK"/>
          <w:b w:val="0"/>
          <w:color w:val="000000"/>
          <w:sz w:val="44"/>
        </w:rPr>
        <w:t>一、唐山市丰南区妇女联合会本级收支预算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185.20</w:t>
            </w:r>
          </w:p>
        </w:tc>
        <w:tc>
          <w:tcPr>
            <w:tcW w:w="4535" w:type="dxa"/>
            <w:vAlign w:val="center"/>
          </w:tcPr>
          <w:p>
            <w:pPr>
              <w:pStyle w:val="20"/>
            </w:pPr>
            <w:r>
              <w:t>一、一般公共服务支出</w:t>
            </w:r>
          </w:p>
        </w:tc>
        <w:tc>
          <w:tcPr>
            <w:tcW w:w="2126" w:type="dxa"/>
            <w:vAlign w:val="center"/>
          </w:tcPr>
          <w:p>
            <w:pPr>
              <w:pStyle w:val="19"/>
            </w:pPr>
            <w:r>
              <w:t>158.93</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13.80</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6.96</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5.51</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185.20</w:t>
            </w:r>
          </w:p>
        </w:tc>
        <w:tc>
          <w:tcPr>
            <w:tcW w:w="4535" w:type="dxa"/>
            <w:vAlign w:val="center"/>
          </w:tcPr>
          <w:p>
            <w:pPr>
              <w:pStyle w:val="22"/>
            </w:pPr>
            <w:r>
              <w:t>本年支出合计</w:t>
            </w:r>
          </w:p>
        </w:tc>
        <w:tc>
          <w:tcPr>
            <w:tcW w:w="2126" w:type="dxa"/>
            <w:vAlign w:val="center"/>
          </w:tcPr>
          <w:p>
            <w:pPr>
              <w:pStyle w:val="23"/>
            </w:pPr>
            <w:r>
              <w:t>185.20</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185.20</w:t>
            </w:r>
          </w:p>
        </w:tc>
        <w:tc>
          <w:tcPr>
            <w:tcW w:w="4535" w:type="dxa"/>
            <w:vAlign w:val="center"/>
          </w:tcPr>
          <w:p>
            <w:pPr>
              <w:pStyle w:val="22"/>
            </w:pPr>
            <w:r>
              <w:t>支出总计</w:t>
            </w:r>
          </w:p>
        </w:tc>
        <w:tc>
          <w:tcPr>
            <w:tcW w:w="2126" w:type="dxa"/>
            <w:vAlign w:val="center"/>
          </w:tcPr>
          <w:p>
            <w:pPr>
              <w:pStyle w:val="23"/>
            </w:pPr>
            <w:r>
              <w:t>185.20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185.20</w:t>
            </w:r>
          </w:p>
        </w:tc>
        <w:tc>
          <w:tcPr>
            <w:tcW w:w="1134" w:type="dxa"/>
            <w:vAlign w:val="center"/>
          </w:tcPr>
          <w:p>
            <w:pPr>
              <w:pStyle w:val="23"/>
            </w:pPr>
            <w:r>
              <w:t>185.20</w:t>
            </w:r>
          </w:p>
        </w:tc>
        <w:tc>
          <w:tcPr>
            <w:tcW w:w="1134" w:type="dxa"/>
            <w:vAlign w:val="center"/>
          </w:tcPr>
          <w:p>
            <w:pPr>
              <w:pStyle w:val="23"/>
            </w:pPr>
            <w:r>
              <w:t>185.20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20129</w:t>
            </w:r>
          </w:p>
        </w:tc>
        <w:tc>
          <w:tcPr>
            <w:tcW w:w="1559" w:type="dxa"/>
            <w:vAlign w:val="center"/>
          </w:tcPr>
          <w:p>
            <w:pPr>
              <w:pStyle w:val="20"/>
            </w:pPr>
            <w:r>
              <w:t>群众团体事务</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r>
              <w:t>158.93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2012901</w:t>
            </w:r>
          </w:p>
        </w:tc>
        <w:tc>
          <w:tcPr>
            <w:tcW w:w="1559" w:type="dxa"/>
            <w:vAlign w:val="center"/>
          </w:tcPr>
          <w:p>
            <w:pPr>
              <w:pStyle w:val="20"/>
            </w:pPr>
            <w:r>
              <w:t>行政运行</w:t>
            </w:r>
          </w:p>
        </w:tc>
        <w:tc>
          <w:tcPr>
            <w:tcW w:w="1134" w:type="dxa"/>
            <w:vAlign w:val="center"/>
          </w:tcPr>
          <w:p>
            <w:pPr>
              <w:pStyle w:val="19"/>
            </w:pPr>
            <w:r>
              <w:t>53.99</w:t>
            </w:r>
          </w:p>
        </w:tc>
        <w:tc>
          <w:tcPr>
            <w:tcW w:w="1134" w:type="dxa"/>
            <w:vAlign w:val="center"/>
          </w:tcPr>
          <w:p>
            <w:pPr>
              <w:pStyle w:val="19"/>
            </w:pPr>
            <w:r>
              <w:t>53.99</w:t>
            </w:r>
          </w:p>
        </w:tc>
        <w:tc>
          <w:tcPr>
            <w:tcW w:w="1134" w:type="dxa"/>
            <w:vAlign w:val="center"/>
          </w:tcPr>
          <w:p>
            <w:pPr>
              <w:pStyle w:val="19"/>
            </w:pPr>
            <w:r>
              <w:t>53.99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2012902</w:t>
            </w:r>
          </w:p>
        </w:tc>
        <w:tc>
          <w:tcPr>
            <w:tcW w:w="1559" w:type="dxa"/>
            <w:vAlign w:val="center"/>
          </w:tcPr>
          <w:p>
            <w:pPr>
              <w:pStyle w:val="20"/>
            </w:pPr>
            <w:r>
              <w:t>一般行政管理事务</w:t>
            </w:r>
          </w:p>
        </w:tc>
        <w:tc>
          <w:tcPr>
            <w:tcW w:w="1134" w:type="dxa"/>
            <w:vAlign w:val="center"/>
          </w:tcPr>
          <w:p>
            <w:pPr>
              <w:pStyle w:val="19"/>
            </w:pPr>
            <w:r>
              <w:t>80.87</w:t>
            </w:r>
          </w:p>
        </w:tc>
        <w:tc>
          <w:tcPr>
            <w:tcW w:w="1134" w:type="dxa"/>
            <w:vAlign w:val="center"/>
          </w:tcPr>
          <w:p>
            <w:pPr>
              <w:pStyle w:val="19"/>
            </w:pPr>
            <w:r>
              <w:t>80.87</w:t>
            </w:r>
          </w:p>
        </w:tc>
        <w:tc>
          <w:tcPr>
            <w:tcW w:w="1134" w:type="dxa"/>
            <w:vAlign w:val="center"/>
          </w:tcPr>
          <w:p>
            <w:pPr>
              <w:pStyle w:val="19"/>
            </w:pPr>
            <w:r>
              <w:t>80.87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2012950</w:t>
            </w:r>
          </w:p>
        </w:tc>
        <w:tc>
          <w:tcPr>
            <w:tcW w:w="1559" w:type="dxa"/>
            <w:vAlign w:val="center"/>
          </w:tcPr>
          <w:p>
            <w:pPr>
              <w:pStyle w:val="20"/>
            </w:pPr>
            <w:r>
              <w:t>事业运行</w:t>
            </w:r>
          </w:p>
        </w:tc>
        <w:tc>
          <w:tcPr>
            <w:tcW w:w="1134" w:type="dxa"/>
            <w:vAlign w:val="center"/>
          </w:tcPr>
          <w:p>
            <w:pPr>
              <w:pStyle w:val="19"/>
            </w:pPr>
            <w:r>
              <w:t>7.07</w:t>
            </w:r>
          </w:p>
        </w:tc>
        <w:tc>
          <w:tcPr>
            <w:tcW w:w="1134" w:type="dxa"/>
            <w:vAlign w:val="center"/>
          </w:tcPr>
          <w:p>
            <w:pPr>
              <w:pStyle w:val="19"/>
            </w:pPr>
            <w:r>
              <w:t>7.07</w:t>
            </w:r>
          </w:p>
        </w:tc>
        <w:tc>
          <w:tcPr>
            <w:tcW w:w="1134" w:type="dxa"/>
            <w:vAlign w:val="center"/>
          </w:tcPr>
          <w:p>
            <w:pPr>
              <w:pStyle w:val="19"/>
            </w:pPr>
            <w:r>
              <w:t>7.07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2012999</w:t>
            </w:r>
          </w:p>
        </w:tc>
        <w:tc>
          <w:tcPr>
            <w:tcW w:w="1559" w:type="dxa"/>
            <w:vAlign w:val="center"/>
          </w:tcPr>
          <w:p>
            <w:pPr>
              <w:pStyle w:val="20"/>
            </w:pPr>
            <w:r>
              <w:t>其他群众团体事务支出</w:t>
            </w:r>
          </w:p>
        </w:tc>
        <w:tc>
          <w:tcPr>
            <w:tcW w:w="1134" w:type="dxa"/>
            <w:vAlign w:val="center"/>
          </w:tcPr>
          <w:p>
            <w:pPr>
              <w:pStyle w:val="19"/>
            </w:pPr>
            <w:r>
              <w:t>17.00</w:t>
            </w:r>
          </w:p>
        </w:tc>
        <w:tc>
          <w:tcPr>
            <w:tcW w:w="1134" w:type="dxa"/>
            <w:vAlign w:val="center"/>
          </w:tcPr>
          <w:p>
            <w:pPr>
              <w:pStyle w:val="19"/>
            </w:pPr>
            <w:r>
              <w:t>17.00</w:t>
            </w:r>
          </w:p>
        </w:tc>
        <w:tc>
          <w:tcPr>
            <w:tcW w:w="1134" w:type="dxa"/>
            <w:vAlign w:val="center"/>
          </w:tcPr>
          <w:p>
            <w:pPr>
              <w:pStyle w:val="19"/>
            </w:pPr>
            <w:r>
              <w:t>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r>
              <w:t>13.80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6.50</w:t>
            </w:r>
          </w:p>
        </w:tc>
        <w:tc>
          <w:tcPr>
            <w:tcW w:w="1134" w:type="dxa"/>
            <w:vAlign w:val="center"/>
          </w:tcPr>
          <w:p>
            <w:pPr>
              <w:pStyle w:val="19"/>
            </w:pPr>
            <w:r>
              <w:t>6.50</w:t>
            </w:r>
          </w:p>
        </w:tc>
        <w:tc>
          <w:tcPr>
            <w:tcW w:w="1134" w:type="dxa"/>
            <w:vAlign w:val="center"/>
          </w:tcPr>
          <w:p>
            <w:pPr>
              <w:pStyle w:val="19"/>
            </w:pPr>
            <w:r>
              <w:t>6.50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7.30</w:t>
            </w:r>
          </w:p>
        </w:tc>
        <w:tc>
          <w:tcPr>
            <w:tcW w:w="1134" w:type="dxa"/>
            <w:vAlign w:val="center"/>
          </w:tcPr>
          <w:p>
            <w:pPr>
              <w:pStyle w:val="19"/>
            </w:pPr>
            <w:r>
              <w:t>7.30</w:t>
            </w:r>
          </w:p>
        </w:tc>
        <w:tc>
          <w:tcPr>
            <w:tcW w:w="1134" w:type="dxa"/>
            <w:vAlign w:val="center"/>
          </w:tcPr>
          <w:p>
            <w:pPr>
              <w:pStyle w:val="19"/>
            </w:pPr>
            <w:r>
              <w:t>7.30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r>
              <w:t>6.96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3.31</w:t>
            </w:r>
          </w:p>
        </w:tc>
        <w:tc>
          <w:tcPr>
            <w:tcW w:w="1134" w:type="dxa"/>
            <w:vAlign w:val="center"/>
          </w:tcPr>
          <w:p>
            <w:pPr>
              <w:pStyle w:val="19"/>
            </w:pPr>
            <w:r>
              <w:t>3.31</w:t>
            </w:r>
          </w:p>
        </w:tc>
        <w:tc>
          <w:tcPr>
            <w:tcW w:w="1134" w:type="dxa"/>
            <w:vAlign w:val="center"/>
          </w:tcPr>
          <w:p>
            <w:pPr>
              <w:pStyle w:val="19"/>
            </w:pPr>
            <w:r>
              <w:t>3.31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3.65</w:t>
            </w:r>
          </w:p>
        </w:tc>
        <w:tc>
          <w:tcPr>
            <w:tcW w:w="1134" w:type="dxa"/>
            <w:vAlign w:val="center"/>
          </w:tcPr>
          <w:p>
            <w:pPr>
              <w:pStyle w:val="19"/>
            </w:pPr>
            <w:r>
              <w:t>3.65</w:t>
            </w:r>
          </w:p>
        </w:tc>
        <w:tc>
          <w:tcPr>
            <w:tcW w:w="1134" w:type="dxa"/>
            <w:vAlign w:val="center"/>
          </w:tcPr>
          <w:p>
            <w:pPr>
              <w:pStyle w:val="19"/>
            </w:pPr>
            <w:r>
              <w:t>3.65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185.20</w:t>
            </w:r>
          </w:p>
        </w:tc>
        <w:tc>
          <w:tcPr>
            <w:tcW w:w="1361" w:type="dxa"/>
            <w:vAlign w:val="center"/>
          </w:tcPr>
          <w:p>
            <w:pPr>
              <w:pStyle w:val="23"/>
            </w:pPr>
            <w:r>
              <w:t>87.33</w:t>
            </w:r>
          </w:p>
        </w:tc>
        <w:tc>
          <w:tcPr>
            <w:tcW w:w="1361" w:type="dxa"/>
            <w:vAlign w:val="center"/>
          </w:tcPr>
          <w:p>
            <w:pPr>
              <w:pStyle w:val="23"/>
            </w:pPr>
            <w:r>
              <w:t>97.87</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158.93</w:t>
            </w:r>
          </w:p>
        </w:tc>
        <w:tc>
          <w:tcPr>
            <w:tcW w:w="1361" w:type="dxa"/>
            <w:vAlign w:val="center"/>
          </w:tcPr>
          <w:p>
            <w:pPr>
              <w:pStyle w:val="19"/>
            </w:pPr>
            <w:r>
              <w:t>61.06</w:t>
            </w:r>
          </w:p>
        </w:tc>
        <w:tc>
          <w:tcPr>
            <w:tcW w:w="1361" w:type="dxa"/>
            <w:vAlign w:val="center"/>
          </w:tcPr>
          <w:p>
            <w:pPr>
              <w:pStyle w:val="19"/>
            </w:pPr>
            <w:r>
              <w:t>97.87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20129</w:t>
            </w:r>
          </w:p>
        </w:tc>
        <w:tc>
          <w:tcPr>
            <w:tcW w:w="4535" w:type="dxa"/>
            <w:vAlign w:val="center"/>
          </w:tcPr>
          <w:p>
            <w:pPr>
              <w:pStyle w:val="20"/>
            </w:pPr>
            <w:r>
              <w:t>群众团体事务</w:t>
            </w:r>
          </w:p>
        </w:tc>
        <w:tc>
          <w:tcPr>
            <w:tcW w:w="1361" w:type="dxa"/>
            <w:vAlign w:val="center"/>
          </w:tcPr>
          <w:p>
            <w:pPr>
              <w:pStyle w:val="19"/>
            </w:pPr>
            <w:r>
              <w:t>158.93</w:t>
            </w:r>
          </w:p>
        </w:tc>
        <w:tc>
          <w:tcPr>
            <w:tcW w:w="1361" w:type="dxa"/>
            <w:vAlign w:val="center"/>
          </w:tcPr>
          <w:p>
            <w:pPr>
              <w:pStyle w:val="19"/>
            </w:pPr>
            <w:r>
              <w:t>61.06</w:t>
            </w:r>
          </w:p>
        </w:tc>
        <w:tc>
          <w:tcPr>
            <w:tcW w:w="1361" w:type="dxa"/>
            <w:vAlign w:val="center"/>
          </w:tcPr>
          <w:p>
            <w:pPr>
              <w:pStyle w:val="19"/>
            </w:pPr>
            <w:r>
              <w:t>97.87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2012901</w:t>
            </w:r>
          </w:p>
        </w:tc>
        <w:tc>
          <w:tcPr>
            <w:tcW w:w="4535" w:type="dxa"/>
            <w:vAlign w:val="center"/>
          </w:tcPr>
          <w:p>
            <w:pPr>
              <w:pStyle w:val="20"/>
            </w:pPr>
            <w:r>
              <w:t>行政运行</w:t>
            </w:r>
          </w:p>
        </w:tc>
        <w:tc>
          <w:tcPr>
            <w:tcW w:w="1361" w:type="dxa"/>
            <w:vAlign w:val="center"/>
          </w:tcPr>
          <w:p>
            <w:pPr>
              <w:pStyle w:val="19"/>
            </w:pPr>
            <w:r>
              <w:t>53.99</w:t>
            </w:r>
          </w:p>
        </w:tc>
        <w:tc>
          <w:tcPr>
            <w:tcW w:w="1361" w:type="dxa"/>
            <w:vAlign w:val="center"/>
          </w:tcPr>
          <w:p>
            <w:pPr>
              <w:pStyle w:val="19"/>
            </w:pPr>
            <w:r>
              <w:t>53.99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2012902</w:t>
            </w:r>
          </w:p>
        </w:tc>
        <w:tc>
          <w:tcPr>
            <w:tcW w:w="4535" w:type="dxa"/>
            <w:vAlign w:val="center"/>
          </w:tcPr>
          <w:p>
            <w:pPr>
              <w:pStyle w:val="20"/>
            </w:pPr>
            <w:r>
              <w:t>一般行政管理事务</w:t>
            </w:r>
          </w:p>
        </w:tc>
        <w:tc>
          <w:tcPr>
            <w:tcW w:w="1361" w:type="dxa"/>
            <w:vAlign w:val="center"/>
          </w:tcPr>
          <w:p>
            <w:pPr>
              <w:pStyle w:val="19"/>
            </w:pPr>
            <w:r>
              <w:t>80.87</w:t>
            </w:r>
          </w:p>
        </w:tc>
        <w:tc>
          <w:tcPr>
            <w:tcW w:w="1361" w:type="dxa"/>
            <w:vAlign w:val="center"/>
          </w:tcPr>
          <w:p>
            <w:pPr>
              <w:pStyle w:val="19"/>
            </w:pPr>
          </w:p>
        </w:tc>
        <w:tc>
          <w:tcPr>
            <w:tcW w:w="1361" w:type="dxa"/>
            <w:vAlign w:val="center"/>
          </w:tcPr>
          <w:p>
            <w:pPr>
              <w:pStyle w:val="19"/>
            </w:pPr>
            <w:r>
              <w:t>80.87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2012950</w:t>
            </w:r>
          </w:p>
        </w:tc>
        <w:tc>
          <w:tcPr>
            <w:tcW w:w="4535" w:type="dxa"/>
            <w:vAlign w:val="center"/>
          </w:tcPr>
          <w:p>
            <w:pPr>
              <w:pStyle w:val="20"/>
            </w:pPr>
            <w:r>
              <w:t>事业运行</w:t>
            </w:r>
          </w:p>
        </w:tc>
        <w:tc>
          <w:tcPr>
            <w:tcW w:w="1361" w:type="dxa"/>
            <w:vAlign w:val="center"/>
          </w:tcPr>
          <w:p>
            <w:pPr>
              <w:pStyle w:val="19"/>
            </w:pPr>
            <w:r>
              <w:t>7.07</w:t>
            </w:r>
          </w:p>
        </w:tc>
        <w:tc>
          <w:tcPr>
            <w:tcW w:w="1361" w:type="dxa"/>
            <w:vAlign w:val="center"/>
          </w:tcPr>
          <w:p>
            <w:pPr>
              <w:pStyle w:val="19"/>
            </w:pPr>
            <w:r>
              <w:t>7.07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2012999</w:t>
            </w:r>
          </w:p>
        </w:tc>
        <w:tc>
          <w:tcPr>
            <w:tcW w:w="4535" w:type="dxa"/>
            <w:vAlign w:val="center"/>
          </w:tcPr>
          <w:p>
            <w:pPr>
              <w:pStyle w:val="20"/>
            </w:pPr>
            <w:r>
              <w:t>其他群众团体事务支出</w:t>
            </w:r>
          </w:p>
        </w:tc>
        <w:tc>
          <w:tcPr>
            <w:tcW w:w="1361" w:type="dxa"/>
            <w:vAlign w:val="center"/>
          </w:tcPr>
          <w:p>
            <w:pPr>
              <w:pStyle w:val="19"/>
            </w:pPr>
            <w:r>
              <w:t>17.00</w:t>
            </w:r>
          </w:p>
        </w:tc>
        <w:tc>
          <w:tcPr>
            <w:tcW w:w="1361" w:type="dxa"/>
            <w:vAlign w:val="center"/>
          </w:tcPr>
          <w:p>
            <w:pPr>
              <w:pStyle w:val="19"/>
            </w:pPr>
          </w:p>
        </w:tc>
        <w:tc>
          <w:tcPr>
            <w:tcW w:w="1361" w:type="dxa"/>
            <w:vAlign w:val="center"/>
          </w:tcPr>
          <w:p>
            <w:pPr>
              <w:pStyle w:val="19"/>
            </w:pPr>
            <w:r>
              <w:t>17.00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13.80</w:t>
            </w:r>
          </w:p>
        </w:tc>
        <w:tc>
          <w:tcPr>
            <w:tcW w:w="1361" w:type="dxa"/>
            <w:vAlign w:val="center"/>
          </w:tcPr>
          <w:p>
            <w:pPr>
              <w:pStyle w:val="19"/>
            </w:pPr>
            <w:r>
              <w:t>13.80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13.80</w:t>
            </w:r>
          </w:p>
        </w:tc>
        <w:tc>
          <w:tcPr>
            <w:tcW w:w="1361" w:type="dxa"/>
            <w:vAlign w:val="center"/>
          </w:tcPr>
          <w:p>
            <w:pPr>
              <w:pStyle w:val="19"/>
            </w:pPr>
            <w:r>
              <w:t>13.80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6.50</w:t>
            </w:r>
          </w:p>
        </w:tc>
        <w:tc>
          <w:tcPr>
            <w:tcW w:w="1361" w:type="dxa"/>
            <w:vAlign w:val="center"/>
          </w:tcPr>
          <w:p>
            <w:pPr>
              <w:pStyle w:val="19"/>
            </w:pPr>
            <w:r>
              <w:t>6.50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7.30</w:t>
            </w:r>
          </w:p>
        </w:tc>
        <w:tc>
          <w:tcPr>
            <w:tcW w:w="1361" w:type="dxa"/>
            <w:vAlign w:val="center"/>
          </w:tcPr>
          <w:p>
            <w:pPr>
              <w:pStyle w:val="19"/>
            </w:pPr>
            <w:r>
              <w:t>7.30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6.96</w:t>
            </w:r>
          </w:p>
        </w:tc>
        <w:tc>
          <w:tcPr>
            <w:tcW w:w="1361" w:type="dxa"/>
            <w:vAlign w:val="center"/>
          </w:tcPr>
          <w:p>
            <w:pPr>
              <w:pStyle w:val="19"/>
            </w:pPr>
            <w:r>
              <w:t>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6.96</w:t>
            </w:r>
          </w:p>
        </w:tc>
        <w:tc>
          <w:tcPr>
            <w:tcW w:w="1361" w:type="dxa"/>
            <w:vAlign w:val="center"/>
          </w:tcPr>
          <w:p>
            <w:pPr>
              <w:pStyle w:val="19"/>
            </w:pPr>
            <w:r>
              <w:t>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3.31</w:t>
            </w:r>
          </w:p>
        </w:tc>
        <w:tc>
          <w:tcPr>
            <w:tcW w:w="1361" w:type="dxa"/>
            <w:vAlign w:val="center"/>
          </w:tcPr>
          <w:p>
            <w:pPr>
              <w:pStyle w:val="19"/>
            </w:pPr>
            <w:r>
              <w:t>3.31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3.65</w:t>
            </w:r>
          </w:p>
        </w:tc>
        <w:tc>
          <w:tcPr>
            <w:tcW w:w="1361" w:type="dxa"/>
            <w:vAlign w:val="center"/>
          </w:tcPr>
          <w:p>
            <w:pPr>
              <w:pStyle w:val="19"/>
            </w:pPr>
            <w:r>
              <w:t>3.65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5.51</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185.20</w:t>
            </w:r>
          </w:p>
        </w:tc>
        <w:tc>
          <w:tcPr>
            <w:tcW w:w="3402" w:type="dxa"/>
            <w:vAlign w:val="center"/>
          </w:tcPr>
          <w:p>
            <w:pPr>
              <w:pStyle w:val="20"/>
            </w:pPr>
            <w:r>
              <w:t>一、一般公共服务支出</w:t>
            </w:r>
          </w:p>
        </w:tc>
        <w:tc>
          <w:tcPr>
            <w:tcW w:w="1474" w:type="dxa"/>
            <w:vAlign w:val="center"/>
          </w:tcPr>
          <w:p>
            <w:pPr>
              <w:pStyle w:val="19"/>
            </w:pPr>
            <w:r>
              <w:t>158.93</w:t>
            </w:r>
          </w:p>
        </w:tc>
        <w:tc>
          <w:tcPr>
            <w:tcW w:w="1474" w:type="dxa"/>
            <w:vAlign w:val="center"/>
          </w:tcPr>
          <w:p>
            <w:pPr>
              <w:pStyle w:val="19"/>
            </w:pPr>
            <w:r>
              <w:t>158.93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13.80</w:t>
            </w:r>
          </w:p>
        </w:tc>
        <w:tc>
          <w:tcPr>
            <w:tcW w:w="1474" w:type="dxa"/>
            <w:vAlign w:val="center"/>
          </w:tcPr>
          <w:p>
            <w:pPr>
              <w:pStyle w:val="19"/>
            </w:pPr>
            <w:r>
              <w:t>13.80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6.96</w:t>
            </w:r>
          </w:p>
        </w:tc>
        <w:tc>
          <w:tcPr>
            <w:tcW w:w="1474" w:type="dxa"/>
            <w:vAlign w:val="center"/>
          </w:tcPr>
          <w:p>
            <w:pPr>
              <w:pStyle w:val="19"/>
            </w:pPr>
            <w:r>
              <w:t>6.96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5.51</w:t>
            </w:r>
          </w:p>
        </w:tc>
        <w:tc>
          <w:tcPr>
            <w:tcW w:w="1474" w:type="dxa"/>
            <w:vAlign w:val="center"/>
          </w:tcPr>
          <w:p>
            <w:pPr>
              <w:pStyle w:val="19"/>
            </w:pPr>
            <w:r>
              <w:t>5.51</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185.20</w:t>
            </w:r>
          </w:p>
        </w:tc>
        <w:tc>
          <w:tcPr>
            <w:tcW w:w="3402" w:type="dxa"/>
            <w:vAlign w:val="center"/>
          </w:tcPr>
          <w:p>
            <w:pPr>
              <w:pStyle w:val="22"/>
            </w:pPr>
            <w:r>
              <w:t>本年支出合计</w:t>
            </w:r>
          </w:p>
        </w:tc>
        <w:tc>
          <w:tcPr>
            <w:tcW w:w="1474" w:type="dxa"/>
            <w:vAlign w:val="center"/>
          </w:tcPr>
          <w:p>
            <w:pPr>
              <w:pStyle w:val="23"/>
            </w:pPr>
            <w:r>
              <w:t>185.20</w:t>
            </w:r>
          </w:p>
        </w:tc>
        <w:tc>
          <w:tcPr>
            <w:tcW w:w="1474" w:type="dxa"/>
            <w:vAlign w:val="center"/>
          </w:tcPr>
          <w:p>
            <w:pPr>
              <w:pStyle w:val="23"/>
            </w:pPr>
            <w:r>
              <w:t>185.20</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185.20</w:t>
            </w:r>
          </w:p>
        </w:tc>
        <w:tc>
          <w:tcPr>
            <w:tcW w:w="3402" w:type="dxa"/>
            <w:vAlign w:val="center"/>
          </w:tcPr>
          <w:p>
            <w:pPr>
              <w:pStyle w:val="22"/>
            </w:pPr>
            <w:r>
              <w:t>支出总计</w:t>
            </w:r>
          </w:p>
        </w:tc>
        <w:tc>
          <w:tcPr>
            <w:tcW w:w="1474" w:type="dxa"/>
            <w:vAlign w:val="center"/>
          </w:tcPr>
          <w:p>
            <w:pPr>
              <w:pStyle w:val="23"/>
            </w:pPr>
            <w:r>
              <w:t>185.20</w:t>
            </w:r>
          </w:p>
        </w:tc>
        <w:tc>
          <w:tcPr>
            <w:tcW w:w="1474" w:type="dxa"/>
            <w:vAlign w:val="center"/>
          </w:tcPr>
          <w:p>
            <w:pPr>
              <w:pStyle w:val="23"/>
            </w:pPr>
            <w:r>
              <w:t>185.20</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185.20</w:t>
            </w:r>
          </w:p>
        </w:tc>
        <w:tc>
          <w:tcPr>
            <w:tcW w:w="2551" w:type="dxa"/>
            <w:vAlign w:val="center"/>
          </w:tcPr>
          <w:p>
            <w:pPr>
              <w:pStyle w:val="23"/>
            </w:pPr>
            <w:r>
              <w:t>87.33</w:t>
            </w:r>
          </w:p>
        </w:tc>
        <w:tc>
          <w:tcPr>
            <w:tcW w:w="2551" w:type="dxa"/>
            <w:vAlign w:val="center"/>
          </w:tcPr>
          <w:p>
            <w:pPr>
              <w:pStyle w:val="23"/>
            </w:pPr>
            <w:r>
              <w:t>97.87</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158.93</w:t>
            </w:r>
          </w:p>
        </w:tc>
        <w:tc>
          <w:tcPr>
            <w:tcW w:w="2551" w:type="dxa"/>
            <w:vAlign w:val="center"/>
          </w:tcPr>
          <w:p>
            <w:pPr>
              <w:pStyle w:val="19"/>
            </w:pPr>
            <w:r>
              <w:t>61.06</w:t>
            </w:r>
          </w:p>
        </w:tc>
        <w:tc>
          <w:tcPr>
            <w:tcW w:w="2551" w:type="dxa"/>
            <w:vAlign w:val="center"/>
          </w:tcPr>
          <w:p>
            <w:pPr>
              <w:pStyle w:val="19"/>
            </w:pPr>
            <w:r>
              <w:t>97.87</w:t>
            </w:r>
          </w:p>
        </w:tc>
      </w:tr>
      <w:tr>
        <w:trPr>
          <w:trHeight w:val="369"/>
        </w:trPr>
        <w:tc>
          <w:tcPr>
            <w:tcW w:w="850" w:type="dxa"/>
            <w:vAlign w:val="center"/>
          </w:tcPr>
          <w:p>
            <w:pPr>
              <w:pStyle w:val="21"/>
            </w:pPr>
            <w:r>
              <w:t>3</w:t>
            </w:r>
          </w:p>
        </w:tc>
        <w:tc>
          <w:tcPr>
            <w:tcW w:w="1191" w:type="dxa"/>
            <w:vAlign w:val="center"/>
          </w:tcPr>
          <w:p>
            <w:pPr>
              <w:pStyle w:val="20"/>
            </w:pPr>
            <w:r>
              <w:t>20129</w:t>
            </w:r>
          </w:p>
        </w:tc>
        <w:tc>
          <w:tcPr>
            <w:tcW w:w="4535" w:type="dxa"/>
            <w:vAlign w:val="center"/>
          </w:tcPr>
          <w:p>
            <w:pPr>
              <w:pStyle w:val="20"/>
            </w:pPr>
            <w:r>
              <w:t>群众团体事务</w:t>
            </w:r>
          </w:p>
        </w:tc>
        <w:tc>
          <w:tcPr>
            <w:tcW w:w="2551" w:type="dxa"/>
            <w:vAlign w:val="center"/>
          </w:tcPr>
          <w:p>
            <w:pPr>
              <w:pStyle w:val="19"/>
            </w:pPr>
            <w:r>
              <w:t>158.93</w:t>
            </w:r>
          </w:p>
        </w:tc>
        <w:tc>
          <w:tcPr>
            <w:tcW w:w="2551" w:type="dxa"/>
            <w:vAlign w:val="center"/>
          </w:tcPr>
          <w:p>
            <w:pPr>
              <w:pStyle w:val="19"/>
            </w:pPr>
            <w:r>
              <w:t>61.06</w:t>
            </w:r>
          </w:p>
        </w:tc>
        <w:tc>
          <w:tcPr>
            <w:tcW w:w="2551" w:type="dxa"/>
            <w:vAlign w:val="center"/>
          </w:tcPr>
          <w:p>
            <w:pPr>
              <w:pStyle w:val="19"/>
            </w:pPr>
            <w:r>
              <w:t>97.87</w:t>
            </w:r>
          </w:p>
        </w:tc>
      </w:tr>
      <w:tr>
        <w:trPr>
          <w:trHeight w:val="369"/>
        </w:trPr>
        <w:tc>
          <w:tcPr>
            <w:tcW w:w="850" w:type="dxa"/>
            <w:vAlign w:val="center"/>
          </w:tcPr>
          <w:p>
            <w:pPr>
              <w:pStyle w:val="21"/>
            </w:pPr>
            <w:r>
              <w:t>4</w:t>
            </w:r>
          </w:p>
        </w:tc>
        <w:tc>
          <w:tcPr>
            <w:tcW w:w="1191" w:type="dxa"/>
            <w:vAlign w:val="center"/>
          </w:tcPr>
          <w:p>
            <w:pPr>
              <w:pStyle w:val="20"/>
            </w:pPr>
            <w:r>
              <w:t>2012901</w:t>
            </w:r>
          </w:p>
        </w:tc>
        <w:tc>
          <w:tcPr>
            <w:tcW w:w="4535" w:type="dxa"/>
            <w:vAlign w:val="center"/>
          </w:tcPr>
          <w:p>
            <w:pPr>
              <w:pStyle w:val="20"/>
            </w:pPr>
            <w:r>
              <w:t>行政运行</w:t>
            </w:r>
          </w:p>
        </w:tc>
        <w:tc>
          <w:tcPr>
            <w:tcW w:w="2551" w:type="dxa"/>
            <w:vAlign w:val="center"/>
          </w:tcPr>
          <w:p>
            <w:pPr>
              <w:pStyle w:val="19"/>
            </w:pPr>
            <w:r>
              <w:t>53.99</w:t>
            </w:r>
          </w:p>
        </w:tc>
        <w:tc>
          <w:tcPr>
            <w:tcW w:w="2551" w:type="dxa"/>
            <w:vAlign w:val="center"/>
          </w:tcPr>
          <w:p>
            <w:pPr>
              <w:pStyle w:val="19"/>
            </w:pPr>
            <w:r>
              <w:t>53.99</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2012902</w:t>
            </w:r>
          </w:p>
        </w:tc>
        <w:tc>
          <w:tcPr>
            <w:tcW w:w="4535" w:type="dxa"/>
            <w:vAlign w:val="center"/>
          </w:tcPr>
          <w:p>
            <w:pPr>
              <w:pStyle w:val="20"/>
            </w:pPr>
            <w:r>
              <w:t>一般行政管理事务</w:t>
            </w:r>
          </w:p>
        </w:tc>
        <w:tc>
          <w:tcPr>
            <w:tcW w:w="2551" w:type="dxa"/>
            <w:vAlign w:val="center"/>
          </w:tcPr>
          <w:p>
            <w:pPr>
              <w:pStyle w:val="19"/>
            </w:pPr>
            <w:r>
              <w:t>80.87</w:t>
            </w:r>
          </w:p>
        </w:tc>
        <w:tc>
          <w:tcPr>
            <w:tcW w:w="2551" w:type="dxa"/>
            <w:vAlign w:val="center"/>
          </w:tcPr>
          <w:p>
            <w:pPr>
              <w:pStyle w:val="19"/>
            </w:pPr>
          </w:p>
        </w:tc>
        <w:tc>
          <w:tcPr>
            <w:tcW w:w="2551" w:type="dxa"/>
            <w:vAlign w:val="center"/>
          </w:tcPr>
          <w:p>
            <w:pPr>
              <w:pStyle w:val="19"/>
            </w:pPr>
            <w:r>
              <w:t>80.87</w:t>
            </w:r>
          </w:p>
        </w:tc>
      </w:tr>
      <w:tr>
        <w:trPr>
          <w:trHeight w:val="369"/>
        </w:trPr>
        <w:tc>
          <w:tcPr>
            <w:tcW w:w="850" w:type="dxa"/>
            <w:vAlign w:val="center"/>
          </w:tcPr>
          <w:p>
            <w:pPr>
              <w:pStyle w:val="21"/>
            </w:pPr>
            <w:r>
              <w:t>6</w:t>
            </w:r>
          </w:p>
        </w:tc>
        <w:tc>
          <w:tcPr>
            <w:tcW w:w="1191" w:type="dxa"/>
            <w:vAlign w:val="center"/>
          </w:tcPr>
          <w:p>
            <w:pPr>
              <w:pStyle w:val="20"/>
            </w:pPr>
            <w:r>
              <w:t>2012950</w:t>
            </w:r>
          </w:p>
        </w:tc>
        <w:tc>
          <w:tcPr>
            <w:tcW w:w="4535" w:type="dxa"/>
            <w:vAlign w:val="center"/>
          </w:tcPr>
          <w:p>
            <w:pPr>
              <w:pStyle w:val="20"/>
            </w:pPr>
            <w:r>
              <w:t>事业运行</w:t>
            </w:r>
          </w:p>
        </w:tc>
        <w:tc>
          <w:tcPr>
            <w:tcW w:w="2551" w:type="dxa"/>
            <w:vAlign w:val="center"/>
          </w:tcPr>
          <w:p>
            <w:pPr>
              <w:pStyle w:val="19"/>
            </w:pPr>
            <w:r>
              <w:t>7.07</w:t>
            </w:r>
          </w:p>
        </w:tc>
        <w:tc>
          <w:tcPr>
            <w:tcW w:w="2551" w:type="dxa"/>
            <w:vAlign w:val="center"/>
          </w:tcPr>
          <w:p>
            <w:pPr>
              <w:pStyle w:val="19"/>
            </w:pPr>
            <w:r>
              <w:t>7.07</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2012999</w:t>
            </w:r>
          </w:p>
        </w:tc>
        <w:tc>
          <w:tcPr>
            <w:tcW w:w="4535" w:type="dxa"/>
            <w:vAlign w:val="center"/>
          </w:tcPr>
          <w:p>
            <w:pPr>
              <w:pStyle w:val="20"/>
            </w:pPr>
            <w:r>
              <w:t>其他群众团体事务支出</w:t>
            </w:r>
          </w:p>
        </w:tc>
        <w:tc>
          <w:tcPr>
            <w:tcW w:w="2551" w:type="dxa"/>
            <w:vAlign w:val="center"/>
          </w:tcPr>
          <w:p>
            <w:pPr>
              <w:pStyle w:val="19"/>
            </w:pPr>
            <w:r>
              <w:t>17.00</w:t>
            </w:r>
          </w:p>
        </w:tc>
        <w:tc>
          <w:tcPr>
            <w:tcW w:w="2551" w:type="dxa"/>
            <w:vAlign w:val="center"/>
          </w:tcPr>
          <w:p>
            <w:pPr>
              <w:pStyle w:val="19"/>
            </w:pPr>
          </w:p>
        </w:tc>
        <w:tc>
          <w:tcPr>
            <w:tcW w:w="2551" w:type="dxa"/>
            <w:vAlign w:val="center"/>
          </w:tcPr>
          <w:p>
            <w:pPr>
              <w:pStyle w:val="19"/>
            </w:pPr>
            <w:r>
              <w:t>17.00</w:t>
            </w:r>
          </w:p>
        </w:tc>
      </w:tr>
      <w:tr>
        <w:trPr>
          <w:trHeight w:val="369"/>
        </w:trPr>
        <w:tc>
          <w:tcPr>
            <w:tcW w:w="850" w:type="dxa"/>
            <w:vAlign w:val="center"/>
          </w:tcPr>
          <w:p>
            <w:pPr>
              <w:pStyle w:val="21"/>
            </w:pPr>
            <w:r>
              <w:t>8</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13.80</w:t>
            </w:r>
          </w:p>
        </w:tc>
        <w:tc>
          <w:tcPr>
            <w:tcW w:w="2551" w:type="dxa"/>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13.80</w:t>
            </w:r>
          </w:p>
        </w:tc>
        <w:tc>
          <w:tcPr>
            <w:tcW w:w="2551" w:type="dxa"/>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6.50</w:t>
            </w:r>
          </w:p>
        </w:tc>
        <w:tc>
          <w:tcPr>
            <w:tcW w:w="2551" w:type="dxa"/>
            <w:vAlign w:val="center"/>
          </w:tcPr>
          <w:p>
            <w:pPr>
              <w:pStyle w:val="19"/>
            </w:pPr>
            <w:r>
              <w:t>6.50</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7.30</w:t>
            </w:r>
          </w:p>
        </w:tc>
        <w:tc>
          <w:tcPr>
            <w:tcW w:w="2551" w:type="dxa"/>
            <w:vAlign w:val="center"/>
          </w:tcPr>
          <w:p>
            <w:pPr>
              <w:pStyle w:val="19"/>
            </w:pPr>
            <w:r>
              <w:t>7.30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6.96</w:t>
            </w:r>
          </w:p>
        </w:tc>
        <w:tc>
          <w:tcPr>
            <w:tcW w:w="2551" w:type="dxa"/>
            <w:vAlign w:val="center"/>
          </w:tcPr>
          <w:p>
            <w:pPr>
              <w:pStyle w:val="19"/>
            </w:pPr>
            <w:r>
              <w:t>6.96</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6.96</w:t>
            </w:r>
          </w:p>
        </w:tc>
        <w:tc>
          <w:tcPr>
            <w:tcW w:w="2551" w:type="dxa"/>
            <w:vAlign w:val="center"/>
          </w:tcPr>
          <w:p>
            <w:pPr>
              <w:pStyle w:val="19"/>
            </w:pPr>
            <w:r>
              <w:t>6.96</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3.31</w:t>
            </w:r>
          </w:p>
        </w:tc>
        <w:tc>
          <w:tcPr>
            <w:tcW w:w="2551" w:type="dxa"/>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3.65</w:t>
            </w:r>
          </w:p>
        </w:tc>
        <w:tc>
          <w:tcPr>
            <w:tcW w:w="2551" w:type="dxa"/>
            <w:vAlign w:val="center"/>
          </w:tcPr>
          <w:p>
            <w:pPr>
              <w:pStyle w:val="19"/>
            </w:pPr>
            <w:r>
              <w:t>3.65</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87.33</w:t>
            </w:r>
          </w:p>
        </w:tc>
        <w:tc>
          <w:tcPr>
            <w:tcW w:w="2551" w:type="dxa"/>
            <w:vAlign w:val="center"/>
          </w:tcPr>
          <w:p>
            <w:pPr>
              <w:pStyle w:val="23"/>
            </w:pPr>
            <w:r>
              <w:t>75.97</w:t>
            </w:r>
          </w:p>
        </w:tc>
        <w:tc>
          <w:tcPr>
            <w:tcW w:w="2551" w:type="dxa"/>
            <w:vAlign w:val="center"/>
          </w:tcPr>
          <w:p>
            <w:pPr>
              <w:pStyle w:val="23"/>
            </w:pPr>
            <w:r>
              <w:t>11.36</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69.17</w:t>
            </w:r>
          </w:p>
        </w:tc>
        <w:tc>
          <w:tcPr>
            <w:tcW w:w="2551" w:type="dxa"/>
            <w:vAlign w:val="center"/>
          </w:tcPr>
          <w:p>
            <w:pPr>
              <w:pStyle w:val="19"/>
            </w:pPr>
            <w:r>
              <w:t>69.17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22.26</w:t>
            </w:r>
          </w:p>
        </w:tc>
        <w:tc>
          <w:tcPr>
            <w:tcW w:w="2551" w:type="dxa"/>
            <w:vAlign w:val="center"/>
          </w:tcPr>
          <w:p>
            <w:pPr>
              <w:pStyle w:val="19"/>
            </w:pPr>
            <w:r>
              <w:t>22.26</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21.67</w:t>
            </w:r>
          </w:p>
        </w:tc>
        <w:tc>
          <w:tcPr>
            <w:tcW w:w="2551" w:type="dxa"/>
            <w:vAlign w:val="center"/>
          </w:tcPr>
          <w:p>
            <w:pPr>
              <w:pStyle w:val="19"/>
            </w:pPr>
            <w:r>
              <w:t>21.67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1.41</w:t>
            </w:r>
          </w:p>
        </w:tc>
        <w:tc>
          <w:tcPr>
            <w:tcW w:w="2551" w:type="dxa"/>
            <w:vAlign w:val="center"/>
          </w:tcPr>
          <w:p>
            <w:pPr>
              <w:pStyle w:val="19"/>
            </w:pPr>
            <w:r>
              <w:t>1.41</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3.42</w:t>
            </w:r>
          </w:p>
        </w:tc>
        <w:tc>
          <w:tcPr>
            <w:tcW w:w="2551" w:type="dxa"/>
            <w:vAlign w:val="center"/>
          </w:tcPr>
          <w:p>
            <w:pPr>
              <w:pStyle w:val="19"/>
            </w:pPr>
            <w:r>
              <w:t>3.42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7.30</w:t>
            </w:r>
          </w:p>
        </w:tc>
        <w:tc>
          <w:tcPr>
            <w:tcW w:w="2551" w:type="dxa"/>
            <w:vAlign w:val="center"/>
          </w:tcPr>
          <w:p>
            <w:pPr>
              <w:pStyle w:val="19"/>
            </w:pPr>
            <w:r>
              <w:t>7.30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3.31</w:t>
            </w:r>
          </w:p>
        </w:tc>
        <w:tc>
          <w:tcPr>
            <w:tcW w:w="2551" w:type="dxa"/>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3.65</w:t>
            </w:r>
          </w:p>
        </w:tc>
        <w:tc>
          <w:tcPr>
            <w:tcW w:w="2551" w:type="dxa"/>
            <w:vAlign w:val="center"/>
          </w:tcPr>
          <w:p>
            <w:pPr>
              <w:pStyle w:val="19"/>
            </w:pPr>
            <w:r>
              <w:t>3.65</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0.64</w:t>
            </w:r>
          </w:p>
        </w:tc>
        <w:tc>
          <w:tcPr>
            <w:tcW w:w="2551" w:type="dxa"/>
            <w:vAlign w:val="center"/>
          </w:tcPr>
          <w:p>
            <w:pPr>
              <w:pStyle w:val="19"/>
            </w:pPr>
            <w:r>
              <w:t>0.64</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5.51</w:t>
            </w:r>
          </w:p>
        </w:tc>
        <w:tc>
          <w:tcPr>
            <w:tcW w:w="2551" w:type="dxa"/>
            <w:vAlign w:val="center"/>
          </w:tcPr>
          <w:p>
            <w:pPr>
              <w:pStyle w:val="19"/>
            </w:pPr>
            <w:r>
              <w:t>5.51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11.36</w:t>
            </w:r>
          </w:p>
        </w:tc>
        <w:tc>
          <w:tcPr>
            <w:tcW w:w="2551" w:type="dxa"/>
            <w:vAlign w:val="center"/>
          </w:tcPr>
          <w:p>
            <w:pPr>
              <w:pStyle w:val="19"/>
            </w:pPr>
          </w:p>
        </w:tc>
        <w:tc>
          <w:tcPr>
            <w:tcW w:w="2551" w:type="dxa"/>
            <w:vAlign w:val="center"/>
          </w:tcPr>
          <w:p>
            <w:pPr>
              <w:pStyle w:val="19"/>
            </w:pPr>
            <w:r>
              <w:t>11.36</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0.55</w:t>
            </w:r>
          </w:p>
        </w:tc>
        <w:tc>
          <w:tcPr>
            <w:tcW w:w="2551" w:type="dxa"/>
            <w:vAlign w:val="center"/>
          </w:tcPr>
          <w:p>
            <w:pPr>
              <w:pStyle w:val="19"/>
            </w:pPr>
          </w:p>
        </w:tc>
        <w:tc>
          <w:tcPr>
            <w:tcW w:w="2551" w:type="dxa"/>
            <w:vAlign w:val="center"/>
          </w:tcPr>
          <w:p>
            <w:pPr>
              <w:pStyle w:val="19"/>
            </w:pPr>
            <w:r>
              <w:t>0.55</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0.28</w:t>
            </w:r>
          </w:p>
        </w:tc>
        <w:tc>
          <w:tcPr>
            <w:tcW w:w="2551" w:type="dxa"/>
            <w:vAlign w:val="center"/>
          </w:tcPr>
          <w:p>
            <w:pPr>
              <w:pStyle w:val="19"/>
            </w:pPr>
          </w:p>
        </w:tc>
        <w:tc>
          <w:tcPr>
            <w:tcW w:w="2551" w:type="dxa"/>
            <w:vAlign w:val="center"/>
          </w:tcPr>
          <w:p>
            <w:pPr>
              <w:pStyle w:val="19"/>
            </w:pPr>
            <w:r>
              <w:t>0.28</w:t>
            </w:r>
          </w:p>
        </w:tc>
      </w:tr>
      <w:tr>
        <w:trPr>
          <w:trHeight w:val="369"/>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16</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0.79</w:t>
            </w:r>
          </w:p>
        </w:tc>
        <w:tc>
          <w:tcPr>
            <w:tcW w:w="2551" w:type="dxa"/>
            <w:vAlign w:val="center"/>
          </w:tcPr>
          <w:p>
            <w:pPr>
              <w:pStyle w:val="19"/>
            </w:pPr>
          </w:p>
        </w:tc>
        <w:tc>
          <w:tcPr>
            <w:tcW w:w="2551" w:type="dxa"/>
            <w:vAlign w:val="center"/>
          </w:tcPr>
          <w:p>
            <w:pPr>
              <w:pStyle w:val="19"/>
            </w:pPr>
            <w:r>
              <w:t>0.79</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0.99</w:t>
            </w:r>
          </w:p>
        </w:tc>
        <w:tc>
          <w:tcPr>
            <w:tcW w:w="2551" w:type="dxa"/>
            <w:vAlign w:val="center"/>
          </w:tcPr>
          <w:p>
            <w:pPr>
              <w:pStyle w:val="19"/>
            </w:pPr>
          </w:p>
        </w:tc>
        <w:tc>
          <w:tcPr>
            <w:tcW w:w="2551" w:type="dxa"/>
            <w:vAlign w:val="center"/>
          </w:tcPr>
          <w:p>
            <w:pPr>
              <w:pStyle w:val="19"/>
            </w:pPr>
            <w:r>
              <w:t>0.99</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2.82</w:t>
            </w:r>
          </w:p>
        </w:tc>
        <w:tc>
          <w:tcPr>
            <w:tcW w:w="2551" w:type="dxa"/>
            <w:vAlign w:val="center"/>
          </w:tcPr>
          <w:p>
            <w:pPr>
              <w:pStyle w:val="19"/>
            </w:pPr>
          </w:p>
        </w:tc>
        <w:tc>
          <w:tcPr>
            <w:tcW w:w="2551" w:type="dxa"/>
            <w:vAlign w:val="center"/>
          </w:tcPr>
          <w:p>
            <w:pPr>
              <w:pStyle w:val="19"/>
            </w:pPr>
            <w:r>
              <w:t>2.82</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0.33</w:t>
            </w:r>
          </w:p>
        </w:tc>
        <w:tc>
          <w:tcPr>
            <w:tcW w:w="2551" w:type="dxa"/>
            <w:vAlign w:val="center"/>
          </w:tcPr>
          <w:p>
            <w:pPr>
              <w:pStyle w:val="19"/>
            </w:pPr>
          </w:p>
        </w:tc>
        <w:tc>
          <w:tcPr>
            <w:tcW w:w="2551" w:type="dxa"/>
            <w:vAlign w:val="center"/>
          </w:tcPr>
          <w:p>
            <w:pPr>
              <w:pStyle w:val="19"/>
            </w:pPr>
            <w:r>
              <w:t>0.33</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6.80</w:t>
            </w:r>
          </w:p>
        </w:tc>
        <w:tc>
          <w:tcPr>
            <w:tcW w:w="2551" w:type="dxa"/>
            <w:vAlign w:val="center"/>
          </w:tcPr>
          <w:p>
            <w:pPr>
              <w:pStyle w:val="19"/>
            </w:pPr>
            <w:r>
              <w:t>6.80</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6.50</w:t>
            </w:r>
          </w:p>
        </w:tc>
        <w:tc>
          <w:tcPr>
            <w:tcW w:w="2551" w:type="dxa"/>
            <w:vAlign w:val="center"/>
          </w:tcPr>
          <w:p>
            <w:pPr>
              <w:pStyle w:val="19"/>
            </w:pPr>
            <w:r>
              <w:t>6.50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0.30</w:t>
            </w:r>
          </w:p>
        </w:tc>
        <w:tc>
          <w:tcPr>
            <w:tcW w:w="2551" w:type="dxa"/>
            <w:vAlign w:val="center"/>
          </w:tcPr>
          <w:p>
            <w:pPr>
              <w:pStyle w:val="19"/>
            </w:pPr>
            <w:r>
              <w:t>0.30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5.30</w:t>
            </w:r>
          </w:p>
        </w:tc>
        <w:tc>
          <w:tcPr>
            <w:tcW w:w="2381" w:type="dxa"/>
            <w:vAlign w:val="center"/>
          </w:tcPr>
          <w:p>
            <w:pPr>
              <w:pStyle w:val="23"/>
            </w:pPr>
            <w:r>
              <w:t>5.30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0.30</w:t>
            </w:r>
          </w:p>
        </w:tc>
        <w:tc>
          <w:tcPr>
            <w:tcW w:w="2381" w:type="dxa"/>
            <w:vAlign w:val="center"/>
          </w:tcPr>
          <w:p>
            <w:pPr>
              <w:pStyle w:val="19"/>
            </w:pPr>
            <w:r>
              <w:t>0.30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唐山市丰南区妇女联合会本级2022年单位预算信息公开情况说明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按照《预算法》、《地方预决算公开操作规程》和《关于进一步推进预算公开工作的实施意见》规定，现将唐山市丰南区妇女联合会本级2022年单位预算公开如下：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唐山市丰南区妇女联合会本级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1.付劳务派遣人员工资，保证机关日常工作正常运转。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聘用的劳务派遣人数</w:t>
            </w:r>
          </w:p>
        </w:tc>
        <w:tc>
          <w:tcPr>
            <w:tcW w:w="2551" w:type="dxa"/>
            <w:vAlign w:val="center"/>
          </w:tcPr>
          <w:p>
            <w:pPr>
              <w:pStyle w:val="20"/>
            </w:pPr>
            <w:r>
              <w:t>7人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工资发放及时率</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劳务派遣人员月最低工资标准</w:t>
            </w:r>
          </w:p>
        </w:tc>
        <w:tc>
          <w:tcPr>
            <w:tcW w:w="2835" w:type="dxa"/>
            <w:vAlign w:val="center"/>
          </w:tcPr>
          <w:p>
            <w:pPr>
              <w:pStyle w:val="20"/>
            </w:pPr>
            <w:r>
              <w:t>执行的劳务派遣人员月工资标准</w:t>
            </w:r>
          </w:p>
        </w:tc>
        <w:tc>
          <w:tcPr>
            <w:tcW w:w="2551" w:type="dxa"/>
            <w:vAlign w:val="center"/>
          </w:tcPr>
          <w:p>
            <w:pPr>
              <w:pStyle w:val="20"/>
            </w:pPr>
            <w:r>
              <w:t>≥1900元/月，人</w:t>
            </w:r>
          </w:p>
        </w:tc>
        <w:tc>
          <w:tcPr>
            <w:tcW w:w="2268" w:type="dxa"/>
            <w:vAlign w:val="center"/>
          </w:tcPr>
          <w:p>
            <w:pPr>
              <w:pStyle w:val="20"/>
            </w:pPr>
            <w:r>
              <w:t>聘用合同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保障各项工作正常运转</w:t>
            </w:r>
          </w:p>
        </w:tc>
        <w:tc>
          <w:tcPr>
            <w:tcW w:w="2551" w:type="dxa"/>
            <w:vAlign w:val="center"/>
          </w:tcPr>
          <w:p>
            <w:pPr>
              <w:pStyle w:val="20"/>
            </w:pPr>
            <w:r>
              <w:t>维护教育稳定，促进教育发展</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1.付见习人员生活补贴。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工资发放人数</w:t>
            </w:r>
          </w:p>
        </w:tc>
        <w:tc>
          <w:tcPr>
            <w:tcW w:w="2835" w:type="dxa"/>
            <w:vAlign w:val="center"/>
          </w:tcPr>
          <w:p>
            <w:pPr>
              <w:pStyle w:val="20"/>
            </w:pPr>
            <w:r>
              <w:t>就业见习人员工资人数</w:t>
            </w:r>
          </w:p>
        </w:tc>
        <w:tc>
          <w:tcPr>
            <w:tcW w:w="2551" w:type="dxa"/>
            <w:vAlign w:val="center"/>
          </w:tcPr>
          <w:p>
            <w:pPr>
              <w:pStyle w:val="20"/>
            </w:pPr>
            <w:r>
              <w:t>2人</w:t>
            </w:r>
          </w:p>
        </w:tc>
        <w:tc>
          <w:tcPr>
            <w:tcW w:w="2268" w:type="dxa"/>
            <w:vAlign w:val="center"/>
          </w:tcPr>
          <w:p>
            <w:pPr>
              <w:pStyle w:val="20"/>
            </w:pPr>
            <w:r>
              <w:t>就业见习协议</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资金支付合规率</w:t>
            </w:r>
          </w:p>
        </w:tc>
        <w:tc>
          <w:tcPr>
            <w:tcW w:w="2835" w:type="dxa"/>
            <w:vAlign w:val="center"/>
          </w:tcPr>
          <w:p>
            <w:pPr>
              <w:pStyle w:val="20"/>
            </w:pPr>
            <w:r>
              <w:t>资金支付合规率</w:t>
            </w:r>
          </w:p>
        </w:tc>
        <w:tc>
          <w:tcPr>
            <w:tcW w:w="2551" w:type="dxa"/>
            <w:vAlign w:val="center"/>
          </w:tcPr>
          <w:p>
            <w:pPr>
              <w:pStyle w:val="20"/>
            </w:pPr>
            <w:r>
              <w:t>100%</w:t>
            </w:r>
          </w:p>
        </w:tc>
        <w:tc>
          <w:tcPr>
            <w:tcW w:w="2268" w:type="dxa"/>
            <w:vAlign w:val="center"/>
          </w:tcPr>
          <w:p>
            <w:pPr>
              <w:pStyle w:val="20"/>
            </w:pPr>
            <w:r>
              <w:t>国家规定标准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支付及时率</w:t>
            </w:r>
          </w:p>
        </w:tc>
        <w:tc>
          <w:tcPr>
            <w:tcW w:w="2835" w:type="dxa"/>
            <w:vAlign w:val="center"/>
          </w:tcPr>
          <w:p>
            <w:pPr>
              <w:pStyle w:val="20"/>
            </w:pPr>
            <w:r>
              <w:t>支付及时率</w:t>
            </w:r>
          </w:p>
        </w:tc>
        <w:tc>
          <w:tcPr>
            <w:tcW w:w="2551" w:type="dxa"/>
            <w:vAlign w:val="center"/>
          </w:tcPr>
          <w:p>
            <w:pPr>
              <w:pStyle w:val="20"/>
            </w:pPr>
            <w:r>
              <w:t>100%</w:t>
            </w:r>
          </w:p>
        </w:tc>
        <w:tc>
          <w:tcPr>
            <w:tcW w:w="2268" w:type="dxa"/>
            <w:vAlign w:val="center"/>
          </w:tcPr>
          <w:p>
            <w:pPr>
              <w:pStyle w:val="20"/>
            </w:pPr>
            <w:r>
              <w:t>相关规定</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w:t>
            </w:r>
          </w:p>
        </w:tc>
        <w:tc>
          <w:tcPr>
            <w:tcW w:w="2835" w:type="dxa"/>
            <w:vAlign w:val="center"/>
          </w:tcPr>
          <w:p>
            <w:pPr>
              <w:pStyle w:val="20"/>
            </w:pPr>
            <w:r>
              <w:t>成本控制</w:t>
            </w:r>
          </w:p>
        </w:tc>
        <w:tc>
          <w:tcPr>
            <w:tcW w:w="2551" w:type="dxa"/>
            <w:vAlign w:val="center"/>
          </w:tcPr>
          <w:p>
            <w:pPr>
              <w:pStyle w:val="20"/>
            </w:pPr>
            <w:r>
              <w:t>100%</w:t>
            </w:r>
          </w:p>
        </w:tc>
        <w:tc>
          <w:tcPr>
            <w:tcW w:w="2268" w:type="dxa"/>
            <w:vAlign w:val="center"/>
          </w:tcPr>
          <w:p>
            <w:pPr>
              <w:pStyle w:val="20"/>
            </w:pPr>
            <w:r>
              <w:t>相关规定</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3、提前下达2022年区级妇女之家建设专项资金 唐财行【2021】35号绩效目标表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1.提高妇女素质，丰富妇女生活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组织宣传活动次数</w:t>
            </w:r>
          </w:p>
        </w:tc>
        <w:tc>
          <w:tcPr>
            <w:tcW w:w="2835" w:type="dxa"/>
            <w:vAlign w:val="center"/>
          </w:tcPr>
          <w:p>
            <w:pPr>
              <w:pStyle w:val="20"/>
            </w:pPr>
            <w:r>
              <w:t>组织宣传活动次数</w:t>
            </w:r>
          </w:p>
        </w:tc>
        <w:tc>
          <w:tcPr>
            <w:tcW w:w="2551" w:type="dxa"/>
            <w:vAlign w:val="center"/>
          </w:tcPr>
          <w:p>
            <w:pPr>
              <w:pStyle w:val="20"/>
            </w:pPr>
            <w:r>
              <w:t>≥10次</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阵地建设覆盖率</w:t>
            </w:r>
          </w:p>
        </w:tc>
        <w:tc>
          <w:tcPr>
            <w:tcW w:w="2835" w:type="dxa"/>
            <w:vAlign w:val="center"/>
          </w:tcPr>
          <w:p>
            <w:pPr>
              <w:pStyle w:val="20"/>
            </w:pPr>
            <w:r>
              <w:t>阵地建设占妇女之家建设标准的比率</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预算资金使用情况</w:t>
            </w:r>
          </w:p>
        </w:tc>
        <w:tc>
          <w:tcPr>
            <w:tcW w:w="2835" w:type="dxa"/>
            <w:vAlign w:val="center"/>
          </w:tcPr>
          <w:p>
            <w:pPr>
              <w:pStyle w:val="20"/>
            </w:pPr>
            <w:r>
              <w:t>支出预算占项目资金的比率</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预算资金使用情况</w:t>
            </w:r>
          </w:p>
        </w:tc>
        <w:tc>
          <w:tcPr>
            <w:tcW w:w="2835" w:type="dxa"/>
            <w:vAlign w:val="center"/>
          </w:tcPr>
          <w:p>
            <w:pPr>
              <w:pStyle w:val="20"/>
            </w:pPr>
            <w:r>
              <w:t>预算资金使用情况</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公共服务水平提升情况</w:t>
            </w:r>
          </w:p>
        </w:tc>
        <w:tc>
          <w:tcPr>
            <w:tcW w:w="2835" w:type="dxa"/>
            <w:vAlign w:val="center"/>
          </w:tcPr>
          <w:p>
            <w:pPr>
              <w:pStyle w:val="20"/>
            </w:pPr>
            <w:r>
              <w:t>基层妇女组织活动规范程度</w:t>
            </w:r>
          </w:p>
        </w:tc>
        <w:tc>
          <w:tcPr>
            <w:tcW w:w="2551" w:type="dxa"/>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能够长期较好的开活动，发挥阵地作用</w:t>
            </w:r>
          </w:p>
        </w:tc>
        <w:tc>
          <w:tcPr>
            <w:tcW w:w="2551" w:type="dxa"/>
            <w:vAlign w:val="center"/>
          </w:tcPr>
          <w:p>
            <w:pPr>
              <w:pStyle w:val="20"/>
            </w:pPr>
            <w:r>
              <w:t>≥80%</w:t>
            </w:r>
          </w:p>
        </w:tc>
        <w:tc>
          <w:tcPr>
            <w:tcW w:w="2268" w:type="dxa"/>
            <w:vAlign w:val="center"/>
          </w:tcPr>
          <w:p>
            <w:pPr>
              <w:pStyle w:val="20"/>
            </w:pPr>
            <w:r>
              <w:t>妇女之家建设标准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群众对业务开展情况的满意度情况</w:t>
            </w:r>
          </w:p>
        </w:tc>
        <w:tc>
          <w:tcPr>
            <w:tcW w:w="2551" w:type="dxa"/>
            <w:vAlign w:val="center"/>
          </w:tcPr>
          <w:p>
            <w:pPr>
              <w:pStyle w:val="20"/>
            </w:pPr>
            <w:r>
              <w:t>≥85%</w:t>
            </w:r>
          </w:p>
        </w:tc>
        <w:tc>
          <w:tcPr>
            <w:tcW w:w="2268" w:type="dxa"/>
            <w:vAlign w:val="center"/>
          </w:tcPr>
          <w:p>
            <w:pPr>
              <w:pStyle w:val="20"/>
            </w:pPr>
            <w:r>
              <w:t>妇女之家建设标准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1.据2022年工作谋划，乡村振兴美丽庭院创建，开展全区美丽庭院创建相关活动，打造美丽庭院。</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参加培训人次</w:t>
            </w:r>
          </w:p>
        </w:tc>
        <w:tc>
          <w:tcPr>
            <w:tcW w:w="2835" w:type="dxa"/>
            <w:vAlign w:val="center"/>
          </w:tcPr>
          <w:p>
            <w:pPr>
              <w:pStyle w:val="20"/>
            </w:pPr>
            <w:r>
              <w:t>参加培训人次</w:t>
            </w:r>
          </w:p>
        </w:tc>
        <w:tc>
          <w:tcPr>
            <w:tcW w:w="2551" w:type="dxa"/>
            <w:vAlign w:val="center"/>
          </w:tcPr>
          <w:p>
            <w:pPr>
              <w:pStyle w:val="20"/>
            </w:pPr>
            <w:r>
              <w:t>≥200人</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预算资金使用率</w:t>
            </w:r>
          </w:p>
        </w:tc>
        <w:tc>
          <w:tcPr>
            <w:tcW w:w="2835" w:type="dxa"/>
            <w:vAlign w:val="center"/>
          </w:tcPr>
          <w:p>
            <w:pPr>
              <w:pStyle w:val="20"/>
            </w:pPr>
            <w:r>
              <w:t>预算资金使用率</w:t>
            </w:r>
          </w:p>
        </w:tc>
        <w:tc>
          <w:tcPr>
            <w:tcW w:w="2551" w:type="dxa"/>
            <w:vAlign w:val="center"/>
          </w:tcPr>
          <w:p>
            <w:pPr>
              <w:pStyle w:val="20"/>
            </w:pPr>
            <w:r>
              <w:t>≥90%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按期完成的计划占总计划的比率</w:t>
            </w:r>
          </w:p>
        </w:tc>
        <w:tc>
          <w:tcPr>
            <w:tcW w:w="2835" w:type="dxa"/>
            <w:vAlign w:val="center"/>
          </w:tcPr>
          <w:p>
            <w:pPr>
              <w:pStyle w:val="20"/>
            </w:pPr>
            <w:r>
              <w:t>按期完成的计划占总计划的比率</w:t>
            </w:r>
          </w:p>
        </w:tc>
        <w:tc>
          <w:tcPr>
            <w:tcW w:w="2551" w:type="dxa"/>
            <w:vAlign w:val="center"/>
          </w:tcPr>
          <w:p>
            <w:pPr>
              <w:pStyle w:val="20"/>
            </w:pPr>
            <w:r>
              <w:t>≥90%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成本控制率</w:t>
            </w:r>
          </w:p>
        </w:tc>
        <w:tc>
          <w:tcPr>
            <w:tcW w:w="2835" w:type="dxa"/>
            <w:vAlign w:val="center"/>
          </w:tcPr>
          <w:p>
            <w:pPr>
              <w:pStyle w:val="20"/>
            </w:pPr>
            <w:r>
              <w:t>完成项目的成本控制在预算水平</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在媒体播发宣传妇联稿件篇数</w:t>
            </w:r>
          </w:p>
        </w:tc>
        <w:tc>
          <w:tcPr>
            <w:tcW w:w="2835" w:type="dxa"/>
            <w:vAlign w:val="center"/>
          </w:tcPr>
          <w:p>
            <w:pPr>
              <w:pStyle w:val="20"/>
            </w:pPr>
            <w:r>
              <w:t>在媒体播发宣传妇联稿件篇数（篇）</w:t>
            </w:r>
          </w:p>
        </w:tc>
        <w:tc>
          <w:tcPr>
            <w:tcW w:w="2551" w:type="dxa"/>
            <w:vAlign w:val="center"/>
          </w:tcPr>
          <w:p>
            <w:pPr>
              <w:pStyle w:val="20"/>
            </w:pPr>
            <w:r>
              <w:t>≥5篇</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工作完成情况</w:t>
            </w:r>
          </w:p>
        </w:tc>
        <w:tc>
          <w:tcPr>
            <w:tcW w:w="2835" w:type="dxa"/>
            <w:vAlign w:val="center"/>
          </w:tcPr>
          <w:p>
            <w:pPr>
              <w:pStyle w:val="20"/>
            </w:pPr>
            <w:r>
              <w:t>受到区领导及广大群众的好评</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≥95%</w:t>
            </w:r>
          </w:p>
        </w:tc>
        <w:tc>
          <w:tcPr>
            <w:tcW w:w="2268" w:type="dxa"/>
            <w:vAlign w:val="center"/>
          </w:tcPr>
          <w:p>
            <w:pPr>
              <w:pStyle w:val="20"/>
            </w:pPr>
            <w:r>
              <w:t>全国、省、市妇联系统工作要求及妇联工作职能</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100%</w:t>
            </w:r>
          </w:p>
        </w:tc>
        <w:tc>
          <w:tcPr>
            <w:tcW w:w="2268" w:type="dxa"/>
            <w:vAlign w:val="center"/>
          </w:tcPr>
          <w:p>
            <w:pPr>
              <w:pStyle w:val="20"/>
            </w:pPr>
            <w:r>
              <w:t>全国、省、市妇联系统工作要求及妇联工作职能</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5、业务活动经费（慰问、活动）绩效目标表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1.开展“三八”“六一”活动、全区妇女培训双节慰问等。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培训参加人次</w:t>
            </w:r>
          </w:p>
        </w:tc>
        <w:tc>
          <w:tcPr>
            <w:tcW w:w="2835" w:type="dxa"/>
            <w:vAlign w:val="center"/>
          </w:tcPr>
          <w:p>
            <w:pPr>
              <w:pStyle w:val="20"/>
            </w:pPr>
            <w:r>
              <w:t>培训参加人次</w:t>
            </w:r>
          </w:p>
        </w:tc>
        <w:tc>
          <w:tcPr>
            <w:tcW w:w="2551" w:type="dxa"/>
            <w:vAlign w:val="center"/>
          </w:tcPr>
          <w:p>
            <w:pPr>
              <w:pStyle w:val="20"/>
            </w:pPr>
            <w:r>
              <w:t>≥200人</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建设妇女之家儿童之家数量</w:t>
            </w:r>
          </w:p>
        </w:tc>
        <w:tc>
          <w:tcPr>
            <w:tcW w:w="2835" w:type="dxa"/>
            <w:vAlign w:val="center"/>
          </w:tcPr>
          <w:p>
            <w:pPr>
              <w:pStyle w:val="20"/>
            </w:pPr>
            <w:r>
              <w:t>建设妇女之家儿童之家数量</w:t>
            </w:r>
          </w:p>
        </w:tc>
        <w:tc>
          <w:tcPr>
            <w:tcW w:w="2551" w:type="dxa"/>
            <w:vAlign w:val="center"/>
          </w:tcPr>
          <w:p>
            <w:pPr>
              <w:pStyle w:val="20"/>
            </w:pPr>
            <w:r>
              <w:t>≥5个</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预算资金使用情况</w:t>
            </w:r>
          </w:p>
        </w:tc>
        <w:tc>
          <w:tcPr>
            <w:tcW w:w="2835" w:type="dxa"/>
            <w:vAlign w:val="center"/>
          </w:tcPr>
          <w:p>
            <w:pPr>
              <w:pStyle w:val="20"/>
            </w:pPr>
            <w:r>
              <w:t>预算资金使用情况占本项目资金的比重</w:t>
            </w:r>
          </w:p>
        </w:tc>
        <w:tc>
          <w:tcPr>
            <w:tcW w:w="2551" w:type="dxa"/>
            <w:vAlign w:val="center"/>
          </w:tcPr>
          <w:p>
            <w:pPr>
              <w:pStyle w:val="20"/>
            </w:pPr>
            <w:r>
              <w:t>≥90%</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完成及时率</w:t>
            </w:r>
          </w:p>
        </w:tc>
        <w:tc>
          <w:tcPr>
            <w:tcW w:w="2551" w:type="dxa"/>
            <w:vAlign w:val="center"/>
          </w:tcPr>
          <w:p>
            <w:pPr>
              <w:pStyle w:val="20"/>
            </w:pPr>
            <w:r>
              <w:t>≥95%</w:t>
            </w:r>
          </w:p>
        </w:tc>
        <w:tc>
          <w:tcPr>
            <w:tcW w:w="2268" w:type="dxa"/>
            <w:vAlign w:val="center"/>
          </w:tcPr>
          <w:p>
            <w:pPr>
              <w:pStyle w:val="20"/>
            </w:pPr>
            <w:r>
              <w:t>中国妇女十二大及省、市妇联文件</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在全区或全市产生的重要影响，得到广大受众的充分认可</w:t>
            </w:r>
          </w:p>
        </w:tc>
        <w:tc>
          <w:tcPr>
            <w:tcW w:w="2551" w:type="dxa"/>
            <w:vAlign w:val="center"/>
          </w:tcPr>
          <w:p>
            <w:pPr>
              <w:pStyle w:val="20"/>
            </w:pPr>
            <w:r>
              <w:t>100%</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在媒体播发宣传妇联稿件数量</w:t>
            </w:r>
          </w:p>
        </w:tc>
        <w:tc>
          <w:tcPr>
            <w:tcW w:w="2835" w:type="dxa"/>
            <w:vAlign w:val="center"/>
          </w:tcPr>
          <w:p>
            <w:pPr>
              <w:pStyle w:val="20"/>
            </w:pPr>
            <w:r>
              <w:t>在媒体播发宣传妇联稿件的篇数</w:t>
            </w:r>
          </w:p>
        </w:tc>
        <w:tc>
          <w:tcPr>
            <w:tcW w:w="2551" w:type="dxa"/>
            <w:vAlign w:val="center"/>
          </w:tcPr>
          <w:p>
            <w:pPr>
              <w:pStyle w:val="20"/>
            </w:pPr>
            <w:r>
              <w:t>≥10篇</w:t>
            </w:r>
          </w:p>
        </w:tc>
        <w:tc>
          <w:tcPr>
            <w:tcW w:w="2268" w:type="dxa"/>
            <w:vAlign w:val="center"/>
          </w:tcPr>
          <w:p>
            <w:pPr>
              <w:pStyle w:val="20"/>
            </w:pPr>
            <w:r>
              <w:t>中国妇女十二大及省、市妇联文件</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工作完成情况</w:t>
            </w:r>
          </w:p>
        </w:tc>
        <w:tc>
          <w:tcPr>
            <w:tcW w:w="2835" w:type="dxa"/>
            <w:vAlign w:val="center"/>
          </w:tcPr>
          <w:p>
            <w:pPr>
              <w:pStyle w:val="20"/>
            </w:pPr>
            <w:r>
              <w:t>受到区领导及广大群众的好评</w:t>
            </w:r>
          </w:p>
        </w:tc>
        <w:tc>
          <w:tcPr>
            <w:tcW w:w="2551" w:type="dxa"/>
            <w:vAlign w:val="center"/>
          </w:tcPr>
          <w:p>
            <w:pPr>
              <w:pStyle w:val="20"/>
            </w:pPr>
            <w:r>
              <w:t>100%</w:t>
            </w:r>
          </w:p>
        </w:tc>
        <w:tc>
          <w:tcPr>
            <w:tcW w:w="2268" w:type="dxa"/>
            <w:vAlign w:val="center"/>
          </w:tcPr>
          <w:p>
            <w:pPr>
              <w:pStyle w:val="20"/>
            </w:pPr>
            <w:r>
              <w:t>中国妇女十二大及省、市妇联文件</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100%</w:t>
            </w:r>
          </w:p>
        </w:tc>
        <w:tc>
          <w:tcPr>
            <w:tcW w:w="2268" w:type="dxa"/>
            <w:vAlign w:val="center"/>
          </w:tcPr>
          <w:p>
            <w:pPr>
              <w:pStyle w:val="20"/>
            </w:pPr>
            <w:r>
              <w:t>实际调查情况</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2022年，唐山市丰南区妇女联合会本级安排政府采购预算0.00万元。具体内容见下表。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微软雅黑"/>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楷体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51</Pages>
  <Words>13822</Words>
  <Characters>16792</Characters>
  <Lines>3730</Lines>
  <Paragraphs>2293</Paragraphs>
  <CharactersWithSpaces>17079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2022-02-23T10:06:25Z</dcterms:created>
  <dcterms:modified xsi:type="dcterms:W3CDTF">2022-02-25T07:27:50Z</dcterms:modified>
</cp:coreProperties>
</file>