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33EAD">
      <w:pPr>
        <w:jc w:val="center"/>
        <w:outlineLvl w:val="0"/>
      </w:pP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14:paraId="73151F60">
      <w:pPr>
        <w:jc w:val="center"/>
      </w:pPr>
      <w:r>
        <w:rPr>
          <w:rFonts w:ascii="黑体" w:hAnsi="黑体" w:eastAsia="黑体" w:cs="黑体"/>
          <w:b/>
          <w:color w:val="000000"/>
          <w:sz w:val="30"/>
        </w:rPr>
        <w:t xml:space="preserve"> </w:t>
      </w:r>
    </w:p>
    <w:p w14:paraId="25DB42CE">
      <w:r>
        <w:rPr>
          <w:rFonts w:ascii="方正楷体_GBK" w:hAnsi="方正楷体_GBK" w:eastAsia="方正楷体_GBK" w:cs="方正楷体_GBK"/>
          <w:b/>
          <w:color w:val="000000"/>
          <w:sz w:val="28"/>
        </w:rPr>
        <w:t>部门预算公开表</w:t>
      </w:r>
    </w:p>
    <w:p w14:paraId="7CF39FB6">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5CDF41C9">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52082C2C">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040ADA0B">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6E4CA437">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3CC303FA">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66665B14">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08A67728">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04586EC2">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6C386AE6">
      <w:r>
        <w:fldChar w:fldCharType="end"/>
      </w:r>
    </w:p>
    <w:p w14:paraId="2E86AC91">
      <w:r>
        <w:rPr>
          <w:rFonts w:ascii="方正楷体_GBK" w:hAnsi="方正楷体_GBK" w:eastAsia="方正楷体_GBK" w:cs="方正楷体_GBK"/>
          <w:b/>
          <w:color w:val="000000"/>
          <w:sz w:val="28"/>
        </w:rPr>
        <w:t>部门预算信息公开情况说明</w:t>
      </w:r>
    </w:p>
    <w:p w14:paraId="5CDB7AB5">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7538A049">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75A4A59C">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0ECE31A7">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0EAC2D3D">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10F71EF8">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55EEBE9B">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31574B0A">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01C6175C">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6C151CB0">
      <w:pPr>
        <w:sectPr>
          <w:pgSz w:w="16840" w:h="11900" w:orient="landscape"/>
          <w:pgMar w:top="1587" w:right="1134" w:bottom="1361" w:left="1134" w:header="720" w:footer="720" w:gutter="0"/>
          <w:pgNumType w:start="1"/>
          <w:cols w:space="720" w:num="1"/>
        </w:sectPr>
      </w:pPr>
      <w:r>
        <w:fldChar w:fldCharType="end"/>
      </w:r>
    </w:p>
    <w:p w14:paraId="40363A23">
      <w:pPr>
        <w:jc w:val="cente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val="en-US" w:eastAsia="zh-CN"/>
        </w:rPr>
        <w:t>统计局2017</w:t>
      </w:r>
      <w:r>
        <w:rPr>
          <w:rFonts w:ascii="方正小标宋_GBK" w:hAnsi="方正小标宋_GBK" w:eastAsia="方正小标宋_GBK" w:cs="方正小标宋_GBK"/>
          <w:color w:val="000000"/>
          <w:sz w:val="44"/>
        </w:rPr>
        <w:t>年部门预算信息公开情况说明</w:t>
      </w:r>
    </w:p>
    <w:p w14:paraId="7C9505B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val="en-US" w:eastAsia="zh-CN"/>
        </w:rPr>
        <w:t>统计局2017</w:t>
      </w:r>
      <w:r>
        <w:rPr>
          <w:rFonts w:eastAsia="方正仿宋_GBK"/>
          <w:color w:val="000000"/>
          <w:sz w:val="28"/>
        </w:rPr>
        <w:t>年部门预算公开如下：</w:t>
      </w:r>
    </w:p>
    <w:p w14:paraId="02B144BD">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6B54EC89">
      <w:pPr>
        <w:ind w:firstLine="640"/>
      </w:pPr>
      <w:r>
        <w:rPr>
          <w:rFonts w:ascii="方正楷体_GBK" w:hAnsi="方正楷体_GBK" w:eastAsia="方正楷体_GBK" w:cs="方正楷体_GBK"/>
          <w:b/>
          <w:color w:val="000000"/>
          <w:sz w:val="32"/>
        </w:rPr>
        <w:t>部门职责：</w:t>
      </w:r>
    </w:p>
    <w:p w14:paraId="0D46BA45">
      <w:pPr>
        <w:pStyle w:val="27"/>
      </w:pPr>
      <w:r>
        <w:t>承担区人民代表大会、常务委员会、主任会议的筹备及会务工作。负责人大代表和人民群众来信来访和投诉的受理、转办及有关问题的催办工作。承办和处理人大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14:paraId="0CA977A8">
      <w:pPr>
        <w:ind w:firstLine="640"/>
      </w:pPr>
      <w:r>
        <w:rPr>
          <w:rFonts w:ascii="方正楷体_GBK" w:hAnsi="方正楷体_GBK" w:eastAsia="方正楷体_GBK" w:cs="方正楷体_GBK"/>
          <w:b/>
          <w:color w:val="000000"/>
          <w:sz w:val="32"/>
        </w:rPr>
        <w:t>机构设置：</w:t>
      </w:r>
    </w:p>
    <w:p w14:paraId="4F14941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4A2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4B5EB8">
            <w:pPr>
              <w:pStyle w:val="20"/>
            </w:pPr>
            <w:r>
              <w:t>单位名称</w:t>
            </w:r>
          </w:p>
        </w:tc>
        <w:tc>
          <w:tcPr>
            <w:tcW w:w="1843" w:type="dxa"/>
            <w:vAlign w:val="center"/>
          </w:tcPr>
          <w:p w14:paraId="5949AE60">
            <w:pPr>
              <w:pStyle w:val="20"/>
            </w:pPr>
            <w:r>
              <w:t>单位性质</w:t>
            </w:r>
          </w:p>
        </w:tc>
        <w:tc>
          <w:tcPr>
            <w:tcW w:w="2126" w:type="dxa"/>
            <w:vAlign w:val="center"/>
          </w:tcPr>
          <w:p w14:paraId="17DCFC1D">
            <w:pPr>
              <w:pStyle w:val="20"/>
            </w:pPr>
            <w:r>
              <w:t>单位规格</w:t>
            </w:r>
          </w:p>
        </w:tc>
        <w:tc>
          <w:tcPr>
            <w:tcW w:w="3827" w:type="dxa"/>
            <w:vAlign w:val="center"/>
          </w:tcPr>
          <w:p w14:paraId="174FA956">
            <w:pPr>
              <w:pStyle w:val="20"/>
            </w:pPr>
            <w:r>
              <w:t>经费保障形式</w:t>
            </w:r>
          </w:p>
        </w:tc>
      </w:tr>
      <w:tr w14:paraId="7F845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A3E3B00">
            <w:pPr>
              <w:pStyle w:val="22"/>
            </w:pPr>
            <w:r>
              <w:t>唐山市丰南区</w:t>
            </w:r>
            <w:r>
              <w:rPr>
                <w:rFonts w:hint="eastAsia"/>
                <w:lang w:val="en-US" w:eastAsia="zh-CN"/>
              </w:rPr>
              <w:t>统计局</w:t>
            </w:r>
          </w:p>
        </w:tc>
        <w:tc>
          <w:tcPr>
            <w:tcW w:w="1843" w:type="dxa"/>
            <w:vAlign w:val="center"/>
          </w:tcPr>
          <w:p w14:paraId="6BC534A3">
            <w:pPr>
              <w:pStyle w:val="23"/>
            </w:pPr>
            <w:r>
              <w:t>行政</w:t>
            </w:r>
          </w:p>
        </w:tc>
        <w:tc>
          <w:tcPr>
            <w:tcW w:w="2126" w:type="dxa"/>
            <w:vAlign w:val="center"/>
          </w:tcPr>
          <w:p w14:paraId="12279897">
            <w:pPr>
              <w:pStyle w:val="23"/>
            </w:pPr>
            <w:r>
              <w:t>正科级</w:t>
            </w:r>
          </w:p>
        </w:tc>
        <w:tc>
          <w:tcPr>
            <w:tcW w:w="3827" w:type="dxa"/>
            <w:vAlign w:val="center"/>
          </w:tcPr>
          <w:p w14:paraId="14D89FFD">
            <w:pPr>
              <w:pStyle w:val="23"/>
            </w:pPr>
            <w:r>
              <w:t>财政拨款</w:t>
            </w:r>
          </w:p>
        </w:tc>
      </w:tr>
    </w:tbl>
    <w:p w14:paraId="55C28D78">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5151C622">
      <w:pPr>
        <w:pStyle w:val="28"/>
      </w:pPr>
      <w:r>
        <w:t>按照预算管理有关规定，目前部门预算的编制实行综合预算管理，即全部收入和支出都反映在预算中。唐山市丰南区</w:t>
      </w:r>
      <w:r>
        <w:rPr>
          <w:rFonts w:hint="eastAsia"/>
          <w:lang w:eastAsia="zh-CN"/>
        </w:rPr>
        <w:t>全称</w:t>
      </w:r>
      <w:r>
        <w:t>机关及所属事业单位的收支包含在部门预算中。</w:t>
      </w:r>
    </w:p>
    <w:p w14:paraId="52FD0228">
      <w:pPr>
        <w:pStyle w:val="28"/>
      </w:pPr>
      <w:r>
        <w:t>1、收入说明</w:t>
      </w:r>
    </w:p>
    <w:p w14:paraId="36890C5C">
      <w:pPr>
        <w:pStyle w:val="28"/>
      </w:pPr>
      <w:r>
        <w:t>反映本部门当年全部收入。</w:t>
      </w:r>
      <w:r>
        <w:rPr>
          <w:rFonts w:hint="eastAsia"/>
          <w:lang w:val="en-US" w:eastAsia="zh-CN"/>
        </w:rPr>
        <w:t>2017</w:t>
      </w:r>
      <w:r>
        <w:t>年预算收入</w:t>
      </w:r>
      <w:r>
        <w:rPr>
          <w:rFonts w:hint="eastAsia"/>
          <w:lang w:val="en-US" w:eastAsia="zh-CN"/>
        </w:rPr>
        <w:t>721.89</w:t>
      </w:r>
      <w:r>
        <w:t>万元，其中：一般公共预算收入</w:t>
      </w:r>
      <w:r>
        <w:rPr>
          <w:rFonts w:hint="eastAsia"/>
          <w:lang w:val="en-US" w:eastAsia="zh-CN"/>
        </w:rPr>
        <w:t>721.89</w:t>
      </w:r>
      <w:r>
        <w:t>万元，基金预算收入0万元，国有资本经营预算收入0万元，财政专户核拨收入0万元，单位资金收入0万元，上年结转结余0万元。</w:t>
      </w:r>
    </w:p>
    <w:p w14:paraId="12136FBD">
      <w:pPr>
        <w:pStyle w:val="28"/>
      </w:pPr>
      <w:r>
        <w:t>2、支出说明</w:t>
      </w:r>
    </w:p>
    <w:p w14:paraId="2D1B703B">
      <w:pPr>
        <w:pStyle w:val="28"/>
      </w:pPr>
      <w:r>
        <w:t>收支预算总表支出栏、基本支出表、项目支出表按经济分类和支出功能分类科目编制，反映唐山市丰南区</w:t>
      </w:r>
      <w:r>
        <w:rPr>
          <w:rFonts w:hint="eastAsia"/>
          <w:lang w:val="en-US" w:eastAsia="zh-CN"/>
        </w:rPr>
        <w:t>统计局2017</w:t>
      </w:r>
      <w:r>
        <w:t>年度部门预算中支出预算的总体情况。</w:t>
      </w:r>
      <w:r>
        <w:rPr>
          <w:rFonts w:hint="eastAsia"/>
          <w:lang w:val="en-US" w:eastAsia="zh-CN"/>
        </w:rPr>
        <w:t>2017</w:t>
      </w:r>
      <w:r>
        <w:t>年支出预算</w:t>
      </w:r>
      <w:r>
        <w:rPr>
          <w:rFonts w:hint="eastAsia"/>
          <w:lang w:val="en-US" w:eastAsia="zh-CN"/>
        </w:rPr>
        <w:t>721.89</w:t>
      </w:r>
      <w:r>
        <w:t>万元，其中基本支出</w:t>
      </w:r>
      <w:r>
        <w:rPr>
          <w:rFonts w:hint="eastAsia"/>
          <w:lang w:val="en-US" w:eastAsia="zh-CN"/>
        </w:rPr>
        <w:t>553.18</w:t>
      </w:r>
      <w:r>
        <w:t>万元，包括人员经费</w:t>
      </w:r>
      <w:r>
        <w:rPr>
          <w:rFonts w:hint="eastAsia"/>
          <w:lang w:val="en-US" w:eastAsia="zh-CN"/>
        </w:rPr>
        <w:t>526.54</w:t>
      </w:r>
      <w:r>
        <w:t>万元和日常公用经费</w:t>
      </w:r>
      <w:r>
        <w:rPr>
          <w:rFonts w:hint="eastAsia"/>
          <w:lang w:val="en-US" w:eastAsia="zh-CN"/>
        </w:rPr>
        <w:t>26.64</w:t>
      </w:r>
      <w:r>
        <w:t>万元；项目支出</w:t>
      </w:r>
      <w:r>
        <w:rPr>
          <w:rFonts w:hint="eastAsia"/>
          <w:lang w:val="en-US" w:eastAsia="zh-CN"/>
        </w:rPr>
        <w:t>168.71</w:t>
      </w:r>
      <w:r>
        <w:t>万元，主要为</w:t>
      </w:r>
      <w:r>
        <w:rPr>
          <w:rFonts w:hint="eastAsia"/>
        </w:rPr>
        <w:t>第三次全国农业普查</w:t>
      </w:r>
      <w:r>
        <w:rPr>
          <w:rFonts w:hint="eastAsia"/>
          <w:lang w:eastAsia="zh-CN"/>
        </w:rPr>
        <w:t>、</w:t>
      </w:r>
      <w:r>
        <w:rPr>
          <w:rFonts w:hint="eastAsia" w:ascii="方正书宋_GBK" w:eastAsia="方正书宋_GBK"/>
        </w:rPr>
        <w:t>粮食产量抽样调查经费</w:t>
      </w:r>
      <w:r>
        <w:rPr>
          <w:rFonts w:hint="eastAsia" w:ascii="方正书宋_GBK" w:eastAsia="方正书宋_GBK"/>
          <w:lang w:val="en-US" w:eastAsia="zh-CN"/>
        </w:rPr>
        <w:t>等经费</w:t>
      </w:r>
      <w:r>
        <w:t>。</w:t>
      </w:r>
    </w:p>
    <w:p w14:paraId="1B774D29">
      <w:pPr>
        <w:pStyle w:val="28"/>
      </w:pPr>
      <w:r>
        <w:t>3、比上年增减情况</w:t>
      </w:r>
    </w:p>
    <w:p w14:paraId="1557C797">
      <w:pPr>
        <w:pStyle w:val="28"/>
        <w:rPr>
          <w:color w:val="auto"/>
        </w:rPr>
      </w:pPr>
      <w:r>
        <w:rPr>
          <w:rFonts w:hint="eastAsia"/>
          <w:color w:val="auto"/>
          <w:lang w:val="en-US" w:eastAsia="zh-CN"/>
        </w:rPr>
        <w:t>2017</w:t>
      </w:r>
      <w:r>
        <w:rPr>
          <w:color w:val="auto"/>
        </w:rPr>
        <w:t>年预算收支安排</w:t>
      </w:r>
      <w:r>
        <w:rPr>
          <w:rFonts w:hint="eastAsia"/>
          <w:color w:val="auto"/>
          <w:lang w:val="en-US" w:eastAsia="zh-CN"/>
        </w:rPr>
        <w:t>721.89</w:t>
      </w:r>
      <w:r>
        <w:rPr>
          <w:color w:val="auto"/>
        </w:rPr>
        <w:t>万元，较</w:t>
      </w:r>
      <w:r>
        <w:rPr>
          <w:rFonts w:hint="eastAsia"/>
          <w:color w:val="auto"/>
          <w:lang w:val="en-US" w:eastAsia="zh-CN"/>
        </w:rPr>
        <w:t>2016</w:t>
      </w:r>
      <w:r>
        <w:rPr>
          <w:color w:val="auto"/>
        </w:rPr>
        <w:t>年预算减少</w:t>
      </w:r>
      <w:r>
        <w:rPr>
          <w:rFonts w:hint="eastAsia"/>
          <w:color w:val="auto"/>
          <w:lang w:val="en-US" w:eastAsia="zh-CN"/>
        </w:rPr>
        <w:t>59.43</w:t>
      </w:r>
      <w:r>
        <w:rPr>
          <w:color w:val="auto"/>
        </w:rPr>
        <w:t>万元，其中：基本支出减少</w:t>
      </w:r>
      <w:r>
        <w:rPr>
          <w:rFonts w:hint="eastAsia"/>
          <w:color w:val="auto"/>
          <w:lang w:val="en-US" w:eastAsia="zh-CN"/>
        </w:rPr>
        <w:t>13.51</w:t>
      </w:r>
      <w:r>
        <w:rPr>
          <w:color w:val="auto"/>
        </w:rPr>
        <w:t>万元，主要为人员经费减少。项目支出减少</w:t>
      </w:r>
      <w:r>
        <w:rPr>
          <w:rFonts w:hint="eastAsia"/>
          <w:color w:val="auto"/>
          <w:lang w:val="en-US" w:eastAsia="zh-CN"/>
        </w:rPr>
        <w:t>72.94</w:t>
      </w:r>
      <w:r>
        <w:rPr>
          <w:color w:val="auto"/>
        </w:rPr>
        <w:t>万元，主要为</w:t>
      </w:r>
      <w:r>
        <w:rPr>
          <w:rFonts w:hint="eastAsia"/>
          <w:color w:val="auto"/>
          <w:lang w:eastAsia="zh-CN"/>
        </w:rPr>
        <w:t>1%全国人口抽样调查</w:t>
      </w:r>
      <w:r>
        <w:rPr>
          <w:rFonts w:hint="eastAsia"/>
          <w:color w:val="auto"/>
          <w:lang w:val="en-US" w:eastAsia="zh-CN"/>
        </w:rPr>
        <w:t>经费</w:t>
      </w:r>
      <w:r>
        <w:rPr>
          <w:color w:val="auto"/>
        </w:rPr>
        <w:t>减少。</w:t>
      </w:r>
    </w:p>
    <w:p w14:paraId="4E6BED4B">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0E6249B4">
      <w:pPr>
        <w:pStyle w:val="29"/>
      </w:pPr>
      <w:r>
        <w:rPr>
          <w:rFonts w:hint="eastAsia"/>
          <w:lang w:val="en-US" w:eastAsia="zh-CN"/>
        </w:rPr>
        <w:t>2017</w:t>
      </w:r>
      <w:r>
        <w:t>年，我部门机关运行经费共计安排</w:t>
      </w:r>
      <w:r>
        <w:rPr>
          <w:rFonts w:hint="eastAsia"/>
          <w:lang w:val="en-US" w:eastAsia="zh-CN"/>
        </w:rPr>
        <w:t>26.64</w:t>
      </w:r>
      <w:r>
        <w:t>万元，主要用于</w:t>
      </w:r>
      <w:r>
        <w:rPr>
          <w:rFonts w:hint="eastAsia"/>
          <w:lang w:val="en-US" w:eastAsia="zh-CN"/>
        </w:rPr>
        <w:t>办公费、</w:t>
      </w:r>
      <w:r>
        <w:rPr>
          <w:rFonts w:hint="eastAsia" w:ascii="方正书宋_GBK" w:eastAsia="方正书宋_GBK"/>
        </w:rPr>
        <w:t>公务用车运行维护费</w:t>
      </w:r>
      <w:r>
        <w:t>等日常运行支出。</w:t>
      </w:r>
    </w:p>
    <w:p w14:paraId="39DE0D19">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799409D0">
      <w:pPr>
        <w:spacing w:before="10" w:after="10"/>
        <w:ind w:firstLine="560" w:firstLineChars="200"/>
        <w:outlineLvl w:val="2"/>
        <w:rPr>
          <w:rFonts w:hint="eastAsia" w:ascii="Times New Roman" w:hAnsi="Times New Roman" w:eastAsia="方正仿宋_GBK" w:cs="Times New Roman"/>
          <w:sz w:val="28"/>
          <w:szCs w:val="24"/>
          <w:lang w:val="en-US" w:eastAsia="zh-CN" w:bidi="ar-SA"/>
        </w:rPr>
      </w:pPr>
      <w:bookmarkStart w:id="4" w:name="_Toc_3_3_0000000014"/>
      <w:r>
        <w:rPr>
          <w:rFonts w:hint="eastAsia" w:ascii="Times New Roman" w:hAnsi="Times New Roman" w:eastAsia="方正仿宋_GBK" w:cs="Times New Roman"/>
          <w:sz w:val="28"/>
          <w:szCs w:val="24"/>
          <w:lang w:val="en-US" w:eastAsia="zh-CN" w:bidi="ar-SA"/>
        </w:rPr>
        <w:t>2017</w:t>
      </w:r>
      <w:r>
        <w:rPr>
          <w:rFonts w:ascii="Times New Roman" w:hAnsi="Times New Roman" w:eastAsia="方正仿宋_GBK" w:cs="Times New Roman"/>
          <w:sz w:val="28"/>
          <w:szCs w:val="24"/>
          <w:lang w:val="en-US" w:eastAsia="uk-UA" w:bidi="ar-SA"/>
        </w:rPr>
        <w:t>年，我单位财政拨款“三公”经费预算安排</w:t>
      </w:r>
      <w:r>
        <w:rPr>
          <w:rFonts w:hint="eastAsia" w:ascii="Times New Roman" w:hAnsi="Times New Roman" w:eastAsia="方正仿宋_GBK" w:cs="Times New Roman"/>
          <w:sz w:val="28"/>
          <w:szCs w:val="24"/>
          <w:lang w:val="en-US" w:eastAsia="zh-CN" w:bidi="ar-SA"/>
        </w:rPr>
        <w:t>10.7</w:t>
      </w:r>
      <w:r>
        <w:rPr>
          <w:rFonts w:ascii="Times New Roman" w:hAnsi="Times New Roman" w:eastAsia="方正仿宋_GBK" w:cs="Times New Roman"/>
          <w:sz w:val="28"/>
          <w:szCs w:val="24"/>
          <w:lang w:val="en-US" w:eastAsia="uk-UA" w:bidi="ar-SA"/>
        </w:rPr>
        <w:t>万元，其中因公出国（境）费0万元；公务用车购置及运维费</w:t>
      </w:r>
      <w:r>
        <w:rPr>
          <w:rFonts w:hint="eastAsia" w:ascii="Times New Roman" w:hAnsi="Times New Roman" w:eastAsia="方正仿宋_GBK" w:cs="Times New Roman"/>
          <w:sz w:val="28"/>
          <w:szCs w:val="24"/>
          <w:lang w:val="en-US" w:eastAsia="zh-CN" w:bidi="ar-SA"/>
        </w:rPr>
        <w:t>10.7</w:t>
      </w:r>
      <w:r>
        <w:rPr>
          <w:rFonts w:ascii="Times New Roman" w:hAnsi="Times New Roman" w:eastAsia="方正仿宋_GBK" w:cs="Times New Roman"/>
          <w:sz w:val="28"/>
          <w:szCs w:val="24"/>
          <w:lang w:val="en-US" w:eastAsia="uk-UA" w:bidi="ar-SA"/>
        </w:rPr>
        <w:t>万元（其中：公务用车购置费为0万元，公务用车运维费</w:t>
      </w:r>
      <w:r>
        <w:rPr>
          <w:rFonts w:hint="eastAsia" w:ascii="Times New Roman" w:hAnsi="Times New Roman" w:eastAsia="方正仿宋_GBK" w:cs="Times New Roman"/>
          <w:sz w:val="28"/>
          <w:szCs w:val="24"/>
          <w:lang w:val="en-US" w:eastAsia="zh-CN" w:bidi="ar-SA"/>
        </w:rPr>
        <w:t>10.7</w:t>
      </w:r>
      <w:r>
        <w:rPr>
          <w:rFonts w:ascii="Times New Roman" w:hAnsi="Times New Roman" w:eastAsia="方正仿宋_GBK" w:cs="Times New Roman"/>
          <w:sz w:val="28"/>
          <w:szCs w:val="24"/>
          <w:lang w:val="en-US" w:eastAsia="uk-UA" w:bidi="ar-SA"/>
        </w:rPr>
        <w:t>万元)；公务接待费</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万元。与</w:t>
      </w:r>
      <w:r>
        <w:rPr>
          <w:rFonts w:hint="eastAsia" w:ascii="Times New Roman" w:hAnsi="Times New Roman" w:eastAsia="方正仿宋_GBK" w:cs="Times New Roman"/>
          <w:sz w:val="28"/>
          <w:szCs w:val="24"/>
          <w:lang w:val="en-US" w:eastAsia="zh-CN" w:bidi="ar-SA"/>
        </w:rPr>
        <w:t>2016</w:t>
      </w:r>
      <w:r>
        <w:rPr>
          <w:rFonts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减少6</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减少</w:t>
      </w:r>
      <w:r>
        <w:rPr>
          <w:rFonts w:ascii="Times New Roman" w:hAnsi="Times New Roman" w:eastAsia="方正仿宋_GBK" w:cs="Times New Roman"/>
          <w:sz w:val="28"/>
          <w:szCs w:val="24"/>
          <w:lang w:val="en-US" w:eastAsia="uk-UA" w:bidi="ar-SA"/>
        </w:rPr>
        <w:t>的主要原因是</w:t>
      </w:r>
      <w:bookmarkEnd w:id="4"/>
      <w:bookmarkStart w:id="5" w:name="_Toc_3_3_0000000017"/>
      <w:r>
        <w:rPr>
          <w:rFonts w:hint="eastAsia" w:ascii="Times New Roman" w:hAnsi="Times New Roman" w:eastAsia="方正仿宋_GBK" w:cs="Times New Roman"/>
          <w:sz w:val="28"/>
          <w:szCs w:val="24"/>
          <w:lang w:val="en-US" w:eastAsia="zh-CN" w:bidi="ar-SA"/>
        </w:rPr>
        <w:t>节约</w:t>
      </w:r>
      <w:r>
        <w:rPr>
          <w:rFonts w:hint="eastAsia" w:eastAsia="方正仿宋_GBK" w:cs="Times New Roman"/>
          <w:sz w:val="28"/>
          <w:szCs w:val="24"/>
          <w:lang w:val="en-US" w:eastAsia="zh-CN" w:bidi="ar-SA"/>
        </w:rPr>
        <w:t>资金</w:t>
      </w:r>
      <w:r>
        <w:rPr>
          <w:rFonts w:hint="eastAsia" w:ascii="Times New Roman" w:hAnsi="Times New Roman" w:eastAsia="方正仿宋_GBK" w:cs="Times New Roman"/>
          <w:sz w:val="28"/>
          <w:szCs w:val="24"/>
          <w:lang w:val="en-US" w:eastAsia="zh-CN" w:bidi="ar-SA"/>
        </w:rPr>
        <w:t>。</w:t>
      </w:r>
    </w:p>
    <w:p w14:paraId="0AB584E2">
      <w:pPr>
        <w:spacing w:before="10" w:after="10"/>
        <w:ind w:firstLine="640" w:firstLineChars="200"/>
        <w:outlineLvl w:val="2"/>
      </w:pPr>
      <w:r>
        <w:rPr>
          <w:rFonts w:hint="eastAsia" w:ascii="黑体" w:hAnsi="黑体" w:eastAsia="黑体" w:cs="黑体"/>
          <w:color w:val="000000"/>
          <w:sz w:val="32"/>
          <w:lang w:val="en-US" w:eastAsia="zh-CN"/>
        </w:rPr>
        <w:t>五</w:t>
      </w:r>
      <w:r>
        <w:rPr>
          <w:rFonts w:ascii="黑体" w:hAnsi="黑体" w:eastAsia="黑体" w:cs="黑体"/>
          <w:color w:val="000000"/>
          <w:sz w:val="32"/>
        </w:rPr>
        <w:t>、政府采购预算情况</w:t>
      </w:r>
      <w:bookmarkEnd w:id="5"/>
    </w:p>
    <w:p w14:paraId="4CABE107">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AD7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12AD88">
            <w:pPr>
              <w:pStyle w:val="19"/>
              <w:rPr>
                <w:rFonts w:hint="eastAsia" w:eastAsia="方正小标宋_GBK"/>
                <w:lang w:eastAsia="zh-CN"/>
              </w:rPr>
            </w:pPr>
            <w:r>
              <w:t>唐山市丰南区</w:t>
            </w:r>
            <w:r>
              <w:rPr>
                <w:rFonts w:hint="eastAsia"/>
                <w:lang w:val="en-US" w:eastAsia="zh-CN"/>
              </w:rPr>
              <w:t>统计局</w:t>
            </w:r>
          </w:p>
        </w:tc>
        <w:tc>
          <w:tcPr>
            <w:tcW w:w="7712" w:type="dxa"/>
            <w:gridSpan w:val="8"/>
            <w:tcBorders>
              <w:top w:val="single" w:color="FFFFFF" w:sz="6" w:space="0"/>
              <w:left w:val="single" w:color="FFFFFF" w:sz="6" w:space="0"/>
              <w:right w:val="single" w:color="FFFFFF" w:sz="6" w:space="0"/>
            </w:tcBorders>
            <w:vAlign w:val="center"/>
          </w:tcPr>
          <w:p w14:paraId="57CD9DDF">
            <w:pPr>
              <w:pStyle w:val="34"/>
            </w:pPr>
            <w:r>
              <w:t>单位：万元</w:t>
            </w:r>
          </w:p>
        </w:tc>
      </w:tr>
      <w:tr w14:paraId="0FB13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020E34A">
            <w:pPr>
              <w:pStyle w:val="20"/>
            </w:pPr>
            <w:r>
              <w:t>政府采购项目来源</w:t>
            </w:r>
          </w:p>
        </w:tc>
        <w:tc>
          <w:tcPr>
            <w:tcW w:w="1134" w:type="dxa"/>
            <w:vMerge w:val="restart"/>
            <w:vAlign w:val="center"/>
          </w:tcPr>
          <w:p w14:paraId="2E391F7D">
            <w:pPr>
              <w:pStyle w:val="20"/>
            </w:pPr>
            <w:r>
              <w:t>采购物品名称</w:t>
            </w:r>
          </w:p>
        </w:tc>
        <w:tc>
          <w:tcPr>
            <w:tcW w:w="1134" w:type="dxa"/>
            <w:vMerge w:val="restart"/>
            <w:vAlign w:val="center"/>
          </w:tcPr>
          <w:p w14:paraId="734A27F4">
            <w:pPr>
              <w:pStyle w:val="20"/>
            </w:pPr>
            <w:r>
              <w:t>政府采购目录序号</w:t>
            </w:r>
          </w:p>
        </w:tc>
        <w:tc>
          <w:tcPr>
            <w:tcW w:w="709" w:type="dxa"/>
            <w:vMerge w:val="restart"/>
            <w:vAlign w:val="center"/>
          </w:tcPr>
          <w:p w14:paraId="4DBEA5D7">
            <w:pPr>
              <w:pStyle w:val="20"/>
            </w:pPr>
            <w:r>
              <w:t>计量  单位</w:t>
            </w:r>
          </w:p>
        </w:tc>
        <w:tc>
          <w:tcPr>
            <w:tcW w:w="850" w:type="dxa"/>
            <w:vMerge w:val="restart"/>
            <w:vAlign w:val="center"/>
          </w:tcPr>
          <w:p w14:paraId="1B90F39A">
            <w:pPr>
              <w:pStyle w:val="20"/>
            </w:pPr>
            <w:r>
              <w:t>数量</w:t>
            </w:r>
          </w:p>
        </w:tc>
        <w:tc>
          <w:tcPr>
            <w:tcW w:w="850" w:type="dxa"/>
            <w:vMerge w:val="restart"/>
            <w:vAlign w:val="center"/>
          </w:tcPr>
          <w:p w14:paraId="779502CA">
            <w:pPr>
              <w:pStyle w:val="20"/>
            </w:pPr>
            <w:r>
              <w:t>单价</w:t>
            </w:r>
          </w:p>
        </w:tc>
        <w:tc>
          <w:tcPr>
            <w:tcW w:w="6748" w:type="dxa"/>
            <w:gridSpan w:val="7"/>
            <w:vAlign w:val="center"/>
          </w:tcPr>
          <w:p w14:paraId="66FA2C26">
            <w:pPr>
              <w:pStyle w:val="20"/>
            </w:pPr>
            <w:r>
              <w:t>政府采购金额（当年部门预算安排资金）</w:t>
            </w:r>
          </w:p>
        </w:tc>
        <w:tc>
          <w:tcPr>
            <w:tcW w:w="964" w:type="dxa"/>
            <w:vMerge w:val="restart"/>
            <w:vAlign w:val="center"/>
          </w:tcPr>
          <w:p w14:paraId="433D9352">
            <w:pPr>
              <w:pStyle w:val="20"/>
            </w:pPr>
            <w:r>
              <w:rPr>
                <w:rFonts w:hint="eastAsia"/>
                <w:lang w:val="en-US" w:eastAsia="zh-CN"/>
              </w:rPr>
              <w:t>2017</w:t>
            </w:r>
            <w:r>
              <w:t>年  预留中  小微企  业份额</w:t>
            </w:r>
          </w:p>
        </w:tc>
      </w:tr>
      <w:tr w14:paraId="0F4B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6EA90B">
            <w:pPr>
              <w:pStyle w:val="20"/>
            </w:pPr>
            <w:r>
              <w:t>项目名称</w:t>
            </w:r>
          </w:p>
        </w:tc>
        <w:tc>
          <w:tcPr>
            <w:tcW w:w="964" w:type="dxa"/>
            <w:vAlign w:val="center"/>
          </w:tcPr>
          <w:p w14:paraId="582EF646">
            <w:pPr>
              <w:pStyle w:val="20"/>
            </w:pPr>
            <w:r>
              <w:t>预算    资金</w:t>
            </w:r>
          </w:p>
        </w:tc>
        <w:tc>
          <w:tcPr>
            <w:tcW w:w="1134" w:type="dxa"/>
            <w:vMerge w:val="continue"/>
          </w:tcPr>
          <w:p w14:paraId="343AFA43"/>
        </w:tc>
        <w:tc>
          <w:tcPr>
            <w:tcW w:w="1134" w:type="dxa"/>
            <w:vMerge w:val="continue"/>
          </w:tcPr>
          <w:p w14:paraId="36FC942B"/>
        </w:tc>
        <w:tc>
          <w:tcPr>
            <w:tcW w:w="709" w:type="dxa"/>
            <w:vMerge w:val="continue"/>
          </w:tcPr>
          <w:p w14:paraId="5A97DBBC"/>
        </w:tc>
        <w:tc>
          <w:tcPr>
            <w:tcW w:w="850" w:type="dxa"/>
            <w:vMerge w:val="continue"/>
          </w:tcPr>
          <w:p w14:paraId="086B49B4"/>
        </w:tc>
        <w:tc>
          <w:tcPr>
            <w:tcW w:w="850" w:type="dxa"/>
            <w:vMerge w:val="continue"/>
          </w:tcPr>
          <w:p w14:paraId="5618EACA"/>
        </w:tc>
        <w:tc>
          <w:tcPr>
            <w:tcW w:w="964" w:type="dxa"/>
            <w:vAlign w:val="center"/>
          </w:tcPr>
          <w:p w14:paraId="5B48028D">
            <w:pPr>
              <w:pStyle w:val="20"/>
            </w:pPr>
            <w:r>
              <w:t>合计</w:t>
            </w:r>
          </w:p>
        </w:tc>
        <w:tc>
          <w:tcPr>
            <w:tcW w:w="964" w:type="dxa"/>
            <w:vAlign w:val="center"/>
          </w:tcPr>
          <w:p w14:paraId="2B68A387">
            <w:pPr>
              <w:pStyle w:val="20"/>
            </w:pPr>
            <w:r>
              <w:t>一般公共预算拨款</w:t>
            </w:r>
          </w:p>
        </w:tc>
        <w:tc>
          <w:tcPr>
            <w:tcW w:w="964" w:type="dxa"/>
            <w:vAlign w:val="center"/>
          </w:tcPr>
          <w:p w14:paraId="7F3393DE">
            <w:pPr>
              <w:pStyle w:val="20"/>
            </w:pPr>
            <w:r>
              <w:t>基金预算拨款</w:t>
            </w:r>
          </w:p>
        </w:tc>
        <w:tc>
          <w:tcPr>
            <w:tcW w:w="964" w:type="dxa"/>
            <w:vAlign w:val="center"/>
          </w:tcPr>
          <w:p w14:paraId="23906147">
            <w:pPr>
              <w:pStyle w:val="20"/>
            </w:pPr>
            <w:r>
              <w:t>国有资本经营预算拨款</w:t>
            </w:r>
          </w:p>
        </w:tc>
        <w:tc>
          <w:tcPr>
            <w:tcW w:w="964" w:type="dxa"/>
            <w:vAlign w:val="center"/>
          </w:tcPr>
          <w:p w14:paraId="3863004E">
            <w:pPr>
              <w:pStyle w:val="20"/>
            </w:pPr>
            <w:r>
              <w:t>财政专户核拨</w:t>
            </w:r>
          </w:p>
        </w:tc>
        <w:tc>
          <w:tcPr>
            <w:tcW w:w="964" w:type="dxa"/>
            <w:vAlign w:val="center"/>
          </w:tcPr>
          <w:p w14:paraId="30D04394">
            <w:pPr>
              <w:pStyle w:val="20"/>
            </w:pPr>
            <w:r>
              <w:t>单位    资金</w:t>
            </w:r>
          </w:p>
        </w:tc>
        <w:tc>
          <w:tcPr>
            <w:tcW w:w="964" w:type="dxa"/>
            <w:vAlign w:val="center"/>
          </w:tcPr>
          <w:p w14:paraId="00CAD606">
            <w:pPr>
              <w:pStyle w:val="20"/>
            </w:pPr>
            <w:r>
              <w:t>上年结转结余</w:t>
            </w:r>
          </w:p>
        </w:tc>
        <w:tc>
          <w:tcPr>
            <w:tcW w:w="964" w:type="dxa"/>
            <w:vMerge w:val="continue"/>
          </w:tcPr>
          <w:p w14:paraId="4ED778A0"/>
        </w:tc>
      </w:tr>
      <w:tr w14:paraId="6799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5C640">
            <w:pPr>
              <w:pStyle w:val="24"/>
            </w:pPr>
            <w:r>
              <w:t>合  计</w:t>
            </w:r>
          </w:p>
        </w:tc>
        <w:tc>
          <w:tcPr>
            <w:tcW w:w="964" w:type="dxa"/>
            <w:vAlign w:val="center"/>
          </w:tcPr>
          <w:p w14:paraId="7A9F3291">
            <w:pPr>
              <w:pStyle w:val="25"/>
            </w:pPr>
          </w:p>
        </w:tc>
        <w:tc>
          <w:tcPr>
            <w:tcW w:w="1134" w:type="dxa"/>
            <w:vAlign w:val="center"/>
          </w:tcPr>
          <w:p w14:paraId="0C6866FB">
            <w:pPr>
              <w:pStyle w:val="26"/>
            </w:pPr>
          </w:p>
        </w:tc>
        <w:tc>
          <w:tcPr>
            <w:tcW w:w="1134" w:type="dxa"/>
            <w:vAlign w:val="center"/>
          </w:tcPr>
          <w:p w14:paraId="543818F1">
            <w:pPr>
              <w:pStyle w:val="26"/>
            </w:pPr>
          </w:p>
        </w:tc>
        <w:tc>
          <w:tcPr>
            <w:tcW w:w="709" w:type="dxa"/>
            <w:vAlign w:val="center"/>
          </w:tcPr>
          <w:p w14:paraId="51803D3E">
            <w:pPr>
              <w:pStyle w:val="24"/>
            </w:pPr>
          </w:p>
        </w:tc>
        <w:tc>
          <w:tcPr>
            <w:tcW w:w="850" w:type="dxa"/>
            <w:vAlign w:val="center"/>
          </w:tcPr>
          <w:p w14:paraId="2355CF64">
            <w:pPr>
              <w:pStyle w:val="25"/>
            </w:pPr>
          </w:p>
        </w:tc>
        <w:tc>
          <w:tcPr>
            <w:tcW w:w="850" w:type="dxa"/>
            <w:vAlign w:val="center"/>
          </w:tcPr>
          <w:p w14:paraId="7C578C42">
            <w:pPr>
              <w:pStyle w:val="25"/>
            </w:pPr>
          </w:p>
        </w:tc>
        <w:tc>
          <w:tcPr>
            <w:tcW w:w="964" w:type="dxa"/>
            <w:vAlign w:val="center"/>
          </w:tcPr>
          <w:p w14:paraId="7649B57B">
            <w:pPr>
              <w:pStyle w:val="25"/>
            </w:pPr>
          </w:p>
        </w:tc>
        <w:tc>
          <w:tcPr>
            <w:tcW w:w="964" w:type="dxa"/>
            <w:vAlign w:val="center"/>
          </w:tcPr>
          <w:p w14:paraId="7CBC14A4">
            <w:pPr>
              <w:pStyle w:val="25"/>
            </w:pPr>
          </w:p>
        </w:tc>
        <w:tc>
          <w:tcPr>
            <w:tcW w:w="964" w:type="dxa"/>
            <w:vAlign w:val="center"/>
          </w:tcPr>
          <w:p w14:paraId="428E5665">
            <w:pPr>
              <w:pStyle w:val="25"/>
            </w:pPr>
          </w:p>
        </w:tc>
        <w:tc>
          <w:tcPr>
            <w:tcW w:w="964" w:type="dxa"/>
            <w:vAlign w:val="center"/>
          </w:tcPr>
          <w:p w14:paraId="3440302B">
            <w:pPr>
              <w:pStyle w:val="25"/>
            </w:pPr>
          </w:p>
        </w:tc>
        <w:tc>
          <w:tcPr>
            <w:tcW w:w="964" w:type="dxa"/>
            <w:vAlign w:val="center"/>
          </w:tcPr>
          <w:p w14:paraId="2ABFE4BC">
            <w:pPr>
              <w:pStyle w:val="25"/>
            </w:pPr>
          </w:p>
        </w:tc>
        <w:tc>
          <w:tcPr>
            <w:tcW w:w="964" w:type="dxa"/>
            <w:vAlign w:val="center"/>
          </w:tcPr>
          <w:p w14:paraId="43A63266">
            <w:pPr>
              <w:pStyle w:val="25"/>
            </w:pPr>
          </w:p>
        </w:tc>
        <w:tc>
          <w:tcPr>
            <w:tcW w:w="964" w:type="dxa"/>
            <w:vAlign w:val="center"/>
          </w:tcPr>
          <w:p w14:paraId="4B0E84E4">
            <w:pPr>
              <w:pStyle w:val="25"/>
            </w:pPr>
          </w:p>
        </w:tc>
        <w:tc>
          <w:tcPr>
            <w:tcW w:w="964" w:type="dxa"/>
            <w:vAlign w:val="center"/>
          </w:tcPr>
          <w:p w14:paraId="05971A1B">
            <w:pPr>
              <w:pStyle w:val="25"/>
            </w:pPr>
          </w:p>
        </w:tc>
      </w:tr>
    </w:tbl>
    <w:p w14:paraId="6392304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1A3BA8">
      <w:pPr>
        <w:ind w:firstLine="420"/>
      </w:pPr>
      <w:r>
        <w:rPr>
          <w:rFonts w:ascii="方正书宋_GBK" w:hAnsi="方正书宋_GBK" w:eastAsia="方正书宋_GBK" w:cs="方正书宋_GBK"/>
          <w:color w:val="000000"/>
          <w:sz w:val="21"/>
        </w:rPr>
        <w:t>注：无政府采购预算，空表列示。</w:t>
      </w:r>
    </w:p>
    <w:p w14:paraId="5BEF8B69">
      <w:pPr>
        <w:ind w:firstLine="640"/>
      </w:pPr>
      <w:r>
        <w:rPr>
          <w:rFonts w:eastAsia="方正仿宋_GBK"/>
          <w:color w:val="000000"/>
          <w:sz w:val="32"/>
        </w:rPr>
        <w:t xml:space="preserve"> </w:t>
      </w:r>
    </w:p>
    <w:p w14:paraId="4772459A">
      <w:pPr>
        <w:spacing w:before="10" w:after="10"/>
        <w:ind w:firstLine="640"/>
        <w:outlineLvl w:val="2"/>
      </w:pPr>
      <w:bookmarkStart w:id="6" w:name="_Toc_3_3_0000000018"/>
      <w:r>
        <w:rPr>
          <w:rFonts w:hint="eastAsia" w:ascii="黑体" w:hAnsi="黑体" w:eastAsia="黑体" w:cs="黑体"/>
          <w:color w:val="000000"/>
          <w:sz w:val="32"/>
          <w:lang w:val="en-US" w:eastAsia="zh-CN"/>
        </w:rPr>
        <w:t>六</w:t>
      </w:r>
      <w:r>
        <w:rPr>
          <w:rFonts w:ascii="黑体" w:hAnsi="黑体" w:eastAsia="黑体" w:cs="黑体"/>
          <w:color w:val="000000"/>
          <w:sz w:val="32"/>
        </w:rPr>
        <w:t>、国有资产信息</w:t>
      </w:r>
      <w:bookmarkEnd w:id="6"/>
    </w:p>
    <w:p w14:paraId="4211ECD7">
      <w:pPr>
        <w:spacing w:line="500" w:lineRule="exact"/>
        <w:ind w:firstLine="560"/>
      </w:pPr>
      <w:r>
        <w:rPr>
          <w:rFonts w:eastAsia="方正仿宋_GBK"/>
          <w:color w:val="000000"/>
          <w:sz w:val="28"/>
        </w:rPr>
        <w:t>唐山市丰南区</w:t>
      </w:r>
      <w:r>
        <w:rPr>
          <w:rFonts w:hint="eastAsia" w:eastAsia="方正仿宋_GBK"/>
          <w:color w:val="000000"/>
          <w:sz w:val="28"/>
          <w:lang w:val="en-US" w:eastAsia="zh-CN"/>
        </w:rPr>
        <w:t>统计局，</w:t>
      </w:r>
      <w:r>
        <w:rPr>
          <w:rFonts w:eastAsia="方正仿宋_GBK"/>
          <w:color w:val="000000"/>
          <w:sz w:val="28"/>
        </w:rPr>
        <w:t>上年末固定资产金额为</w:t>
      </w:r>
      <w:r>
        <w:rPr>
          <w:rFonts w:hint="eastAsia" w:eastAsia="方正仿宋_GBK"/>
          <w:color w:val="000000"/>
          <w:sz w:val="28"/>
          <w:lang w:val="en-US" w:eastAsia="zh-CN"/>
        </w:rPr>
        <w:t>109.12</w:t>
      </w:r>
      <w:r>
        <w:rPr>
          <w:rFonts w:eastAsia="方正仿宋_GBK"/>
          <w:color w:val="000000"/>
          <w:sz w:val="28"/>
        </w:rPr>
        <w:t>万元（详见下表）。已按要求列入政府采购预算，详见政府采购预算表。</w:t>
      </w:r>
    </w:p>
    <w:p w14:paraId="006C51C4">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32A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D9CBCB6">
            <w:pPr>
              <w:pStyle w:val="19"/>
              <w:rPr>
                <w:lang w:eastAsia="zh-CN"/>
              </w:rPr>
            </w:pPr>
            <w:r>
              <w:t>唐山市丰南区</w:t>
            </w:r>
            <w:r>
              <w:rPr>
                <w:rFonts w:hint="eastAsia"/>
                <w:lang w:val="en-US" w:eastAsia="zh-CN"/>
              </w:rPr>
              <w:t>统计局</w:t>
            </w:r>
          </w:p>
        </w:tc>
        <w:tc>
          <w:tcPr>
            <w:tcW w:w="5669" w:type="dxa"/>
            <w:gridSpan w:val="2"/>
            <w:tcBorders>
              <w:top w:val="single" w:color="FFFFFF" w:sz="6" w:space="0"/>
              <w:left w:val="single" w:color="FFFFFF" w:sz="6" w:space="0"/>
              <w:right w:val="single" w:color="FFFFFF" w:sz="6" w:space="0"/>
            </w:tcBorders>
            <w:vAlign w:val="center"/>
          </w:tcPr>
          <w:p w14:paraId="345287CC">
            <w:pPr>
              <w:pStyle w:val="17"/>
            </w:pPr>
            <w:r>
              <w:t>截止时间：</w:t>
            </w:r>
            <w:r>
              <w:rPr>
                <w:rFonts w:hint="eastAsia"/>
                <w:lang w:val="en-US" w:eastAsia="zh-CN"/>
              </w:rPr>
              <w:t>2016</w:t>
            </w:r>
            <w:r>
              <w:t>-12-31</w:t>
            </w:r>
          </w:p>
        </w:tc>
      </w:tr>
      <w:tr w14:paraId="72CC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284DA2">
            <w:pPr>
              <w:pStyle w:val="20"/>
            </w:pPr>
            <w:r>
              <w:t>项   目</w:t>
            </w:r>
          </w:p>
        </w:tc>
        <w:tc>
          <w:tcPr>
            <w:tcW w:w="2835" w:type="dxa"/>
            <w:vAlign w:val="center"/>
          </w:tcPr>
          <w:p w14:paraId="787B2F4F">
            <w:pPr>
              <w:pStyle w:val="20"/>
            </w:pPr>
            <w:r>
              <w:t>数量</w:t>
            </w:r>
          </w:p>
        </w:tc>
        <w:tc>
          <w:tcPr>
            <w:tcW w:w="2835" w:type="dxa"/>
            <w:vAlign w:val="center"/>
          </w:tcPr>
          <w:p w14:paraId="033CF21F">
            <w:pPr>
              <w:pStyle w:val="20"/>
            </w:pPr>
            <w:r>
              <w:t>价值（金额单位：万元）</w:t>
            </w:r>
          </w:p>
        </w:tc>
      </w:tr>
      <w:tr w14:paraId="687F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FE43A0">
            <w:pPr>
              <w:pStyle w:val="22"/>
            </w:pPr>
            <w:r>
              <w:t>资产总额</w:t>
            </w:r>
          </w:p>
        </w:tc>
        <w:tc>
          <w:tcPr>
            <w:tcW w:w="2835" w:type="dxa"/>
            <w:vAlign w:val="center"/>
          </w:tcPr>
          <w:p w14:paraId="3FE8B9BA">
            <w:pPr>
              <w:pStyle w:val="23"/>
            </w:pPr>
          </w:p>
        </w:tc>
        <w:tc>
          <w:tcPr>
            <w:tcW w:w="2835" w:type="dxa"/>
            <w:vAlign w:val="center"/>
          </w:tcPr>
          <w:p w14:paraId="6F8C14C6">
            <w:pPr>
              <w:pStyle w:val="21"/>
              <w:rPr>
                <w:rFonts w:hint="default" w:eastAsia="方正书宋_GBK"/>
                <w:lang w:val="en-US" w:eastAsia="zh-CN"/>
              </w:rPr>
            </w:pPr>
            <w:r>
              <w:rPr>
                <w:rFonts w:hint="eastAsia"/>
                <w:lang w:val="en-US" w:eastAsia="zh-CN"/>
              </w:rPr>
              <w:t>109.12</w:t>
            </w:r>
          </w:p>
        </w:tc>
      </w:tr>
      <w:tr w14:paraId="2029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038071">
            <w:pPr>
              <w:pStyle w:val="22"/>
            </w:pPr>
            <w:r>
              <w:t>1、房屋（平方米）</w:t>
            </w:r>
          </w:p>
        </w:tc>
        <w:tc>
          <w:tcPr>
            <w:tcW w:w="2835" w:type="dxa"/>
            <w:vAlign w:val="center"/>
          </w:tcPr>
          <w:p w14:paraId="4EB062A3">
            <w:pPr>
              <w:pStyle w:val="23"/>
            </w:pPr>
          </w:p>
        </w:tc>
        <w:tc>
          <w:tcPr>
            <w:tcW w:w="2835" w:type="dxa"/>
            <w:vAlign w:val="center"/>
          </w:tcPr>
          <w:p w14:paraId="6F16C4E2">
            <w:pPr>
              <w:pStyle w:val="21"/>
            </w:pPr>
          </w:p>
        </w:tc>
      </w:tr>
      <w:tr w14:paraId="1C7E3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D6A74A">
            <w:pPr>
              <w:pStyle w:val="22"/>
            </w:pPr>
            <w:r>
              <w:t>　　其中：办公用房（平方米）</w:t>
            </w:r>
          </w:p>
        </w:tc>
        <w:tc>
          <w:tcPr>
            <w:tcW w:w="2835" w:type="dxa"/>
            <w:vAlign w:val="center"/>
          </w:tcPr>
          <w:p w14:paraId="6CA3708F">
            <w:pPr>
              <w:pStyle w:val="23"/>
            </w:pPr>
          </w:p>
        </w:tc>
        <w:tc>
          <w:tcPr>
            <w:tcW w:w="2835" w:type="dxa"/>
            <w:vAlign w:val="center"/>
          </w:tcPr>
          <w:p w14:paraId="55F6AD14">
            <w:pPr>
              <w:pStyle w:val="21"/>
            </w:pPr>
          </w:p>
        </w:tc>
      </w:tr>
      <w:tr w14:paraId="1D28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496FA8">
            <w:pPr>
              <w:pStyle w:val="22"/>
            </w:pPr>
            <w:r>
              <w:t>2、车辆（台、辆）</w:t>
            </w:r>
          </w:p>
        </w:tc>
        <w:tc>
          <w:tcPr>
            <w:tcW w:w="2835" w:type="dxa"/>
            <w:vAlign w:val="center"/>
          </w:tcPr>
          <w:p w14:paraId="765C6FD8">
            <w:pPr>
              <w:pStyle w:val="23"/>
              <w:rPr>
                <w:rFonts w:hint="eastAsia" w:eastAsia="方正书宋_GBK"/>
                <w:lang w:eastAsia="zh-CN"/>
              </w:rPr>
            </w:pPr>
            <w:r>
              <w:rPr>
                <w:rFonts w:hint="eastAsia"/>
                <w:lang w:val="en-US" w:eastAsia="zh-CN"/>
              </w:rPr>
              <w:t>2</w:t>
            </w:r>
          </w:p>
        </w:tc>
        <w:tc>
          <w:tcPr>
            <w:tcW w:w="2835" w:type="dxa"/>
            <w:vAlign w:val="center"/>
          </w:tcPr>
          <w:p w14:paraId="4B3F24FB">
            <w:pPr>
              <w:pStyle w:val="21"/>
              <w:rPr>
                <w:rFonts w:hint="default" w:eastAsia="方正书宋_GBK"/>
                <w:lang w:val="en-US" w:eastAsia="zh-CN"/>
              </w:rPr>
            </w:pPr>
            <w:r>
              <w:rPr>
                <w:rFonts w:hint="eastAsia"/>
                <w:lang w:val="en-US" w:eastAsia="zh-CN"/>
              </w:rPr>
              <w:t>33.42</w:t>
            </w:r>
          </w:p>
        </w:tc>
      </w:tr>
      <w:tr w14:paraId="7840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4F018B">
            <w:pPr>
              <w:pStyle w:val="22"/>
            </w:pPr>
            <w:r>
              <w:t>3、单价在20万元以上的设备</w:t>
            </w:r>
          </w:p>
        </w:tc>
        <w:tc>
          <w:tcPr>
            <w:tcW w:w="2835" w:type="dxa"/>
            <w:vAlign w:val="center"/>
          </w:tcPr>
          <w:p w14:paraId="1B69DBC2">
            <w:pPr>
              <w:pStyle w:val="23"/>
            </w:pPr>
          </w:p>
        </w:tc>
        <w:tc>
          <w:tcPr>
            <w:tcW w:w="2835" w:type="dxa"/>
            <w:vAlign w:val="center"/>
          </w:tcPr>
          <w:p w14:paraId="165E7114">
            <w:pPr>
              <w:pStyle w:val="21"/>
            </w:pPr>
          </w:p>
        </w:tc>
      </w:tr>
      <w:tr w14:paraId="11A5E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E18B65">
            <w:pPr>
              <w:pStyle w:val="22"/>
            </w:pPr>
            <w:r>
              <w:t>4、其他固定资产</w:t>
            </w:r>
          </w:p>
        </w:tc>
        <w:tc>
          <w:tcPr>
            <w:tcW w:w="2835" w:type="dxa"/>
            <w:vAlign w:val="center"/>
          </w:tcPr>
          <w:p w14:paraId="2EB6932D">
            <w:pPr>
              <w:pStyle w:val="23"/>
              <w:rPr>
                <w:rFonts w:hint="default" w:eastAsia="方正书宋_GBK"/>
                <w:lang w:val="en-US" w:eastAsia="zh-CN"/>
              </w:rPr>
            </w:pPr>
          </w:p>
        </w:tc>
        <w:tc>
          <w:tcPr>
            <w:tcW w:w="2835" w:type="dxa"/>
            <w:vAlign w:val="center"/>
          </w:tcPr>
          <w:p w14:paraId="1A427782">
            <w:pPr>
              <w:pStyle w:val="21"/>
              <w:rPr>
                <w:rFonts w:hint="default" w:eastAsia="方正书宋_GBK"/>
                <w:lang w:val="en-US" w:eastAsia="zh-CN"/>
              </w:rPr>
            </w:pPr>
            <w:r>
              <w:rPr>
                <w:rFonts w:hint="eastAsia"/>
                <w:lang w:val="en-US" w:eastAsia="zh-CN"/>
              </w:rPr>
              <w:t>75.7</w:t>
            </w:r>
          </w:p>
        </w:tc>
      </w:tr>
    </w:tbl>
    <w:p w14:paraId="6A4109B0">
      <w:pPr>
        <w:ind w:firstLine="640"/>
      </w:pPr>
      <w:r>
        <w:rPr>
          <w:rFonts w:eastAsia="方正仿宋_GBK"/>
          <w:color w:val="000000"/>
          <w:sz w:val="32"/>
        </w:rPr>
        <w:t xml:space="preserve"> </w:t>
      </w:r>
    </w:p>
    <w:p w14:paraId="1515DE03">
      <w:pPr>
        <w:spacing w:before="10" w:after="10"/>
        <w:ind w:firstLine="640"/>
        <w:outlineLvl w:val="2"/>
      </w:pPr>
      <w:bookmarkStart w:id="7" w:name="_Toc_3_3_0000000019"/>
      <w:r>
        <w:rPr>
          <w:rFonts w:hint="eastAsia" w:ascii="黑体" w:hAnsi="黑体" w:eastAsia="黑体" w:cs="黑体"/>
          <w:color w:val="000000"/>
          <w:sz w:val="32"/>
          <w:lang w:val="en-US" w:eastAsia="zh-CN"/>
        </w:rPr>
        <w:t>七</w:t>
      </w:r>
      <w:r>
        <w:rPr>
          <w:rFonts w:ascii="黑体" w:hAnsi="黑体" w:eastAsia="黑体" w:cs="黑体"/>
          <w:color w:val="000000"/>
          <w:sz w:val="32"/>
        </w:rPr>
        <w:t>、名词解释</w:t>
      </w:r>
      <w:bookmarkEnd w:id="7"/>
    </w:p>
    <w:p w14:paraId="49E8780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A628DF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9B22B9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7E77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498EED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3BCA3F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8A278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FB934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FF99A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A93E8F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670334">
      <w:pPr>
        <w:spacing w:before="10" w:after="10"/>
        <w:ind w:firstLine="640"/>
        <w:outlineLvl w:val="2"/>
      </w:pPr>
      <w:bookmarkStart w:id="8" w:name="_Toc_3_3_0000000020"/>
      <w:r>
        <w:rPr>
          <w:rFonts w:hint="eastAsia" w:ascii="黑体" w:hAnsi="黑体" w:eastAsia="黑体" w:cs="黑体"/>
          <w:color w:val="000000"/>
          <w:sz w:val="32"/>
          <w:lang w:val="en-US" w:eastAsia="zh-CN"/>
        </w:rPr>
        <w:t>八</w:t>
      </w:r>
      <w:r>
        <w:rPr>
          <w:rFonts w:ascii="黑体" w:hAnsi="黑体" w:eastAsia="黑体" w:cs="黑体"/>
          <w:color w:val="000000"/>
          <w:sz w:val="32"/>
        </w:rPr>
        <w:t>、其他需要说明的事项</w:t>
      </w:r>
      <w:bookmarkEnd w:id="8"/>
    </w:p>
    <w:p w14:paraId="35F33DBE">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AB7E6">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B72F">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3EE671A"/>
    <w:rsid w:val="075B5209"/>
    <w:rsid w:val="130B74DC"/>
    <w:rsid w:val="18D30F86"/>
    <w:rsid w:val="2BDA1BAA"/>
    <w:rsid w:val="2CBD2A02"/>
    <w:rsid w:val="2F4200F7"/>
    <w:rsid w:val="3478581C"/>
    <w:rsid w:val="3C3739C2"/>
    <w:rsid w:val="3E3F5307"/>
    <w:rsid w:val="3ED302DB"/>
    <w:rsid w:val="487C00EE"/>
    <w:rsid w:val="4CC0468B"/>
    <w:rsid w:val="526F0993"/>
    <w:rsid w:val="59FA364F"/>
    <w:rsid w:val="5A275FB1"/>
    <w:rsid w:val="5B3432C7"/>
    <w:rsid w:val="60934D78"/>
    <w:rsid w:val="6ABB6A0D"/>
    <w:rsid w:val="79B0074F"/>
    <w:rsid w:val="7EC3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2669</Words>
  <Characters>2802</Characters>
  <Lines>41</Lines>
  <Paragraphs>11</Paragraphs>
  <TotalTime>4</TotalTime>
  <ScaleCrop>false</ScaleCrop>
  <LinksUpToDate>false</LinksUpToDate>
  <CharactersWithSpaces>2828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WPS_1497251041</cp:lastModifiedBy>
  <dcterms:modified xsi:type="dcterms:W3CDTF">2024-11-19T07:32:53Z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BCDD9443FCD94EA9A3AE7702E4EB3DF7_12</vt:lpwstr>
  </property>
</Properties>
</file>