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13</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27</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27</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27</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28</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hAnsi="方正小标宋_GBK"/>
          <w:color w:val="000000"/>
          <w:sz w:val="72"/>
        </w:rPr>
      </w:pPr>
      <w:bookmarkStart w:id="0" w:name="_Toc_2_2_0000000001"/>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center"/>
        <w:outlineLvl w:val="1"/>
        <w:rPr>
          <w:rFonts w:ascii="方正小标宋_GBK" w:eastAsia="方正小标宋_GBK" w:cs="方正小标宋_GBK" w:hAnsi="方正小标宋_GBK"/>
          <w:color w:val="000000"/>
          <w:sz w:val="72"/>
        </w:rPr>
      </w:pPr>
    </w:p>
    <w:p>
      <w:pPr>
        <w:spacing w:before="0" w:after="0" w:line="240" w:lineRule="auto"/>
        <w:ind w:firstLine="0"/>
        <w:jc w:val="both"/>
        <w:outlineLvl w:val="1"/>
        <w:rPr>
          <w:rFonts w:ascii="方正小标宋_GBK" w:eastAsia="方正小标宋_GBK" w:cs="方正小标宋_GBK" w:hAnsi="方正小标宋_GBK"/>
          <w:color w:val="000000"/>
          <w:sz w:val="72"/>
        </w:rPr>
      </w:pPr>
    </w:p>
    <w:p>
      <w:pPr>
        <w:spacing w:before="0" w:after="0" w:line="240" w:lineRule="auto"/>
        <w:ind w:firstLine="0"/>
        <w:jc w:val="both"/>
        <w:outlineLvl w:val="1"/>
      </w:pPr>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325唐山市丰南区妇女联合会</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212.59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178.53</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19.50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8.31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6.25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212.59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212.59</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212.59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212.59</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212.59</w:t>
            </w:r>
          </w:p>
        </w:tc>
        <w:tc>
          <w:tcPr>
            <w:tcW w:w="1134" w:type="dxa"/>
            <w:tcBorders>
              <w:left w:val="single" w:sz="6" w:space="0" w:color="000000"/>
              <w:right w:val="single" w:sz="6" w:space="0" w:color="000000"/>
            </w:tcBorders>
            <w:vAlign w:val="center"/>
          </w:tcPr>
          <w:p>
            <w:pPr>
              <w:pStyle w:val="23"/>
            </w:pPr>
            <w:r>
              <w:t>212.59</w:t>
            </w:r>
          </w:p>
        </w:tc>
        <w:tc>
          <w:tcPr>
            <w:tcW w:w="1134" w:type="dxa"/>
            <w:tcBorders>
              <w:left w:val="single" w:sz="6" w:space="0" w:color="000000"/>
              <w:right w:val="single" w:sz="6" w:space="0" w:color="000000"/>
            </w:tcBorders>
            <w:vAlign w:val="center"/>
          </w:tcPr>
          <w:p>
            <w:pPr>
              <w:pStyle w:val="23"/>
            </w:pPr>
            <w:r>
              <w:t>212.59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1559" w:type="dxa"/>
            <w:tcBorders>
              <w:left w:val="single" w:sz="6" w:space="0" w:color="000000"/>
              <w:right w:val="single" w:sz="6" w:space="0" w:color="000000"/>
            </w:tcBorders>
            <w:vAlign w:val="center"/>
          </w:tcPr>
          <w:p>
            <w:pPr>
              <w:pStyle w:val="20"/>
            </w:pPr>
            <w:r>
              <w:t>群众团体事务</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r>
              <w:t>178.53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78.38</w:t>
            </w:r>
          </w:p>
        </w:tc>
        <w:tc>
          <w:tcPr>
            <w:tcW w:w="1134" w:type="dxa"/>
            <w:tcBorders>
              <w:left w:val="single" w:sz="6" w:space="0" w:color="000000"/>
              <w:right w:val="single" w:sz="6" w:space="0" w:color="000000"/>
            </w:tcBorders>
            <w:vAlign w:val="center"/>
          </w:tcPr>
          <w:p>
            <w:pPr>
              <w:pStyle w:val="19"/>
            </w:pPr>
            <w:r>
              <w:t>78.38</w:t>
            </w:r>
          </w:p>
        </w:tc>
        <w:tc>
          <w:tcPr>
            <w:tcW w:w="1134" w:type="dxa"/>
            <w:tcBorders>
              <w:left w:val="single" w:sz="6" w:space="0" w:color="000000"/>
              <w:right w:val="single" w:sz="6" w:space="0" w:color="000000"/>
            </w:tcBorders>
            <w:vAlign w:val="center"/>
          </w:tcPr>
          <w:p>
            <w:pPr>
              <w:pStyle w:val="19"/>
            </w:pPr>
            <w:r>
              <w:t>78.38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83.15</w:t>
            </w:r>
          </w:p>
        </w:tc>
        <w:tc>
          <w:tcPr>
            <w:tcW w:w="1134" w:type="dxa"/>
            <w:tcBorders>
              <w:left w:val="single" w:sz="6" w:space="0" w:color="000000"/>
              <w:right w:val="single" w:sz="6" w:space="0" w:color="000000"/>
            </w:tcBorders>
            <w:vAlign w:val="center"/>
          </w:tcPr>
          <w:p>
            <w:pPr>
              <w:pStyle w:val="19"/>
            </w:pPr>
            <w:r>
              <w:t>83.15</w:t>
            </w:r>
          </w:p>
        </w:tc>
        <w:tc>
          <w:tcPr>
            <w:tcW w:w="1134" w:type="dxa"/>
            <w:tcBorders>
              <w:left w:val="single" w:sz="6" w:space="0" w:color="000000"/>
              <w:right w:val="single" w:sz="6" w:space="0" w:color="000000"/>
            </w:tcBorders>
            <w:vAlign w:val="center"/>
          </w:tcPr>
          <w:p>
            <w:pPr>
              <w:pStyle w:val="19"/>
            </w:pPr>
            <w:r>
              <w:t>83.15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1559" w:type="dxa"/>
            <w:tcBorders>
              <w:left w:val="single" w:sz="6" w:space="0" w:color="000000"/>
              <w:right w:val="single" w:sz="6" w:space="0" w:color="000000"/>
            </w:tcBorders>
            <w:vAlign w:val="center"/>
          </w:tcPr>
          <w:p>
            <w:pPr>
              <w:pStyle w:val="20"/>
            </w:pPr>
            <w:r>
              <w:t>其他群众团体事务支出</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19.50</w:t>
            </w:r>
          </w:p>
        </w:tc>
        <w:tc>
          <w:tcPr>
            <w:tcW w:w="1134" w:type="dxa"/>
            <w:tcBorders>
              <w:left w:val="single" w:sz="6" w:space="0" w:color="000000"/>
              <w:right w:val="single" w:sz="6" w:space="0" w:color="000000"/>
            </w:tcBorders>
            <w:vAlign w:val="center"/>
          </w:tcPr>
          <w:p>
            <w:pPr>
              <w:pStyle w:val="19"/>
            </w:pPr>
            <w:r>
              <w:t>19.50</w:t>
            </w:r>
          </w:p>
        </w:tc>
        <w:tc>
          <w:tcPr>
            <w:tcW w:w="1134" w:type="dxa"/>
            <w:tcBorders>
              <w:left w:val="single" w:sz="6" w:space="0" w:color="000000"/>
              <w:right w:val="single" w:sz="6" w:space="0" w:color="000000"/>
            </w:tcBorders>
            <w:vAlign w:val="center"/>
          </w:tcPr>
          <w:p>
            <w:pPr>
              <w:pStyle w:val="19"/>
            </w:pPr>
            <w:r>
              <w:t>19.50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18.17</w:t>
            </w:r>
          </w:p>
        </w:tc>
        <w:tc>
          <w:tcPr>
            <w:tcW w:w="1134" w:type="dxa"/>
            <w:tcBorders>
              <w:left w:val="single" w:sz="6" w:space="0" w:color="000000"/>
              <w:right w:val="single" w:sz="6" w:space="0" w:color="000000"/>
            </w:tcBorders>
            <w:vAlign w:val="center"/>
          </w:tcPr>
          <w:p>
            <w:pPr>
              <w:pStyle w:val="19"/>
            </w:pPr>
            <w:r>
              <w:t>18.17</w:t>
            </w:r>
          </w:p>
        </w:tc>
        <w:tc>
          <w:tcPr>
            <w:tcW w:w="1134" w:type="dxa"/>
            <w:tcBorders>
              <w:left w:val="single" w:sz="6" w:space="0" w:color="000000"/>
              <w:right w:val="single" w:sz="6" w:space="0" w:color="000000"/>
            </w:tcBorders>
            <w:vAlign w:val="center"/>
          </w:tcPr>
          <w:p>
            <w:pPr>
              <w:pStyle w:val="19"/>
            </w:pPr>
            <w:r>
              <w:t>18.17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10.51</w:t>
            </w:r>
          </w:p>
        </w:tc>
        <w:tc>
          <w:tcPr>
            <w:tcW w:w="1134" w:type="dxa"/>
            <w:tcBorders>
              <w:left w:val="single" w:sz="6" w:space="0" w:color="000000"/>
              <w:right w:val="single" w:sz="6" w:space="0" w:color="000000"/>
            </w:tcBorders>
            <w:vAlign w:val="center"/>
          </w:tcPr>
          <w:p>
            <w:pPr>
              <w:pStyle w:val="19"/>
            </w:pPr>
            <w:r>
              <w:t>10.51</w:t>
            </w:r>
          </w:p>
        </w:tc>
        <w:tc>
          <w:tcPr>
            <w:tcW w:w="1134" w:type="dxa"/>
            <w:tcBorders>
              <w:left w:val="single" w:sz="6" w:space="0" w:color="000000"/>
              <w:right w:val="single" w:sz="6" w:space="0" w:color="000000"/>
            </w:tcBorders>
            <w:vAlign w:val="center"/>
          </w:tcPr>
          <w:p>
            <w:pPr>
              <w:pStyle w:val="19"/>
            </w:pPr>
            <w:r>
              <w:t>10.51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r>
              <w:t>1.33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r>
              <w:t>8.31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2.94</w:t>
            </w:r>
          </w:p>
        </w:tc>
        <w:tc>
          <w:tcPr>
            <w:tcW w:w="1134" w:type="dxa"/>
            <w:tcBorders>
              <w:left w:val="single" w:sz="6" w:space="0" w:color="000000"/>
              <w:right w:val="single" w:sz="6" w:space="0" w:color="000000"/>
            </w:tcBorders>
            <w:vAlign w:val="center"/>
          </w:tcPr>
          <w:p>
            <w:pPr>
              <w:pStyle w:val="19"/>
            </w:pPr>
            <w:r>
              <w:t>2.94</w:t>
            </w:r>
          </w:p>
        </w:tc>
        <w:tc>
          <w:tcPr>
            <w:tcW w:w="1134" w:type="dxa"/>
            <w:tcBorders>
              <w:left w:val="single" w:sz="6" w:space="0" w:color="000000"/>
              <w:right w:val="single" w:sz="6" w:space="0" w:color="000000"/>
            </w:tcBorders>
            <w:vAlign w:val="center"/>
          </w:tcPr>
          <w:p>
            <w:pPr>
              <w:pStyle w:val="19"/>
            </w:pPr>
            <w:r>
              <w:t>2.94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5.37</w:t>
            </w:r>
          </w:p>
        </w:tc>
        <w:tc>
          <w:tcPr>
            <w:tcW w:w="1134" w:type="dxa"/>
            <w:tcBorders>
              <w:left w:val="single" w:sz="6" w:space="0" w:color="000000"/>
              <w:right w:val="single" w:sz="6" w:space="0" w:color="000000"/>
            </w:tcBorders>
            <w:vAlign w:val="center"/>
          </w:tcPr>
          <w:p>
            <w:pPr>
              <w:pStyle w:val="19"/>
            </w:pPr>
            <w:r>
              <w:t>5.37</w:t>
            </w:r>
          </w:p>
        </w:tc>
        <w:tc>
          <w:tcPr>
            <w:tcW w:w="1134" w:type="dxa"/>
            <w:tcBorders>
              <w:left w:val="single" w:sz="6" w:space="0" w:color="000000"/>
              <w:right w:val="single" w:sz="6" w:space="0" w:color="000000"/>
            </w:tcBorders>
            <w:vAlign w:val="center"/>
          </w:tcPr>
          <w:p>
            <w:pPr>
              <w:pStyle w:val="19"/>
            </w:pPr>
            <w:r>
              <w:t>5.37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r>
              <w:t>6.25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212.59</w:t>
            </w:r>
          </w:p>
        </w:tc>
        <w:tc>
          <w:tcPr>
            <w:tcW w:w="1361" w:type="dxa"/>
            <w:tcBorders>
              <w:left w:val="single" w:sz="6" w:space="0" w:color="000000"/>
              <w:right w:val="single" w:sz="6" w:space="0" w:color="000000"/>
            </w:tcBorders>
            <w:vAlign w:val="center"/>
          </w:tcPr>
          <w:p>
            <w:pPr>
              <w:pStyle w:val="23"/>
            </w:pPr>
            <w:r>
              <w:t>111.11</w:t>
            </w:r>
          </w:p>
        </w:tc>
        <w:tc>
          <w:tcPr>
            <w:tcW w:w="1361" w:type="dxa"/>
            <w:tcBorders>
              <w:left w:val="single" w:sz="6" w:space="0" w:color="000000"/>
              <w:right w:val="single" w:sz="6" w:space="0" w:color="000000"/>
            </w:tcBorders>
            <w:vAlign w:val="center"/>
          </w:tcPr>
          <w:p>
            <w:pPr>
              <w:pStyle w:val="23"/>
            </w:pPr>
            <w:r>
              <w:t>101.48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178.53</w:t>
            </w:r>
          </w:p>
        </w:tc>
        <w:tc>
          <w:tcPr>
            <w:tcW w:w="1361" w:type="dxa"/>
            <w:tcBorders>
              <w:left w:val="single" w:sz="6" w:space="0" w:color="000000"/>
              <w:right w:val="single" w:sz="6" w:space="0" w:color="000000"/>
            </w:tcBorders>
            <w:vAlign w:val="center"/>
          </w:tcPr>
          <w:p>
            <w:pPr>
              <w:pStyle w:val="19"/>
            </w:pPr>
            <w:r>
              <w:t>78.38</w:t>
            </w:r>
          </w:p>
        </w:tc>
        <w:tc>
          <w:tcPr>
            <w:tcW w:w="1361" w:type="dxa"/>
            <w:tcBorders>
              <w:left w:val="single" w:sz="6" w:space="0" w:color="000000"/>
              <w:right w:val="single" w:sz="6" w:space="0" w:color="000000"/>
            </w:tcBorders>
            <w:vAlign w:val="center"/>
          </w:tcPr>
          <w:p>
            <w:pPr>
              <w:pStyle w:val="19"/>
            </w:pPr>
            <w:r>
              <w:t>100.15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1361" w:type="dxa"/>
            <w:tcBorders>
              <w:left w:val="single" w:sz="6" w:space="0" w:color="000000"/>
              <w:right w:val="single" w:sz="6" w:space="0" w:color="000000"/>
            </w:tcBorders>
            <w:vAlign w:val="center"/>
          </w:tcPr>
          <w:p>
            <w:pPr>
              <w:pStyle w:val="19"/>
            </w:pPr>
            <w:r>
              <w:t>178.53</w:t>
            </w:r>
          </w:p>
        </w:tc>
        <w:tc>
          <w:tcPr>
            <w:tcW w:w="1361" w:type="dxa"/>
            <w:tcBorders>
              <w:left w:val="single" w:sz="6" w:space="0" w:color="000000"/>
              <w:right w:val="single" w:sz="6" w:space="0" w:color="000000"/>
            </w:tcBorders>
            <w:vAlign w:val="center"/>
          </w:tcPr>
          <w:p>
            <w:pPr>
              <w:pStyle w:val="19"/>
            </w:pPr>
            <w:r>
              <w:t>78.38</w:t>
            </w:r>
          </w:p>
        </w:tc>
        <w:tc>
          <w:tcPr>
            <w:tcW w:w="1361" w:type="dxa"/>
            <w:tcBorders>
              <w:left w:val="single" w:sz="6" w:space="0" w:color="000000"/>
              <w:right w:val="single" w:sz="6" w:space="0" w:color="000000"/>
            </w:tcBorders>
            <w:vAlign w:val="center"/>
          </w:tcPr>
          <w:p>
            <w:pPr>
              <w:pStyle w:val="19"/>
            </w:pPr>
            <w:r>
              <w:t>100.15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78.38</w:t>
            </w:r>
          </w:p>
        </w:tc>
        <w:tc>
          <w:tcPr>
            <w:tcW w:w="1361" w:type="dxa"/>
            <w:tcBorders>
              <w:left w:val="single" w:sz="6" w:space="0" w:color="000000"/>
              <w:right w:val="single" w:sz="6" w:space="0" w:color="000000"/>
            </w:tcBorders>
            <w:vAlign w:val="center"/>
          </w:tcPr>
          <w:p>
            <w:pPr>
              <w:pStyle w:val="19"/>
            </w:pPr>
            <w:r>
              <w:t>78.38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83.15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83.15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19.50</w:t>
            </w:r>
          </w:p>
        </w:tc>
        <w:tc>
          <w:tcPr>
            <w:tcW w:w="1361" w:type="dxa"/>
            <w:tcBorders>
              <w:left w:val="single" w:sz="6" w:space="0" w:color="000000"/>
              <w:right w:val="single" w:sz="6" w:space="0" w:color="000000"/>
            </w:tcBorders>
            <w:vAlign w:val="center"/>
          </w:tcPr>
          <w:p>
            <w:pPr>
              <w:pStyle w:val="19"/>
            </w:pPr>
            <w:r>
              <w:t>18.17</w:t>
            </w:r>
          </w:p>
        </w:tc>
        <w:tc>
          <w:tcPr>
            <w:tcW w:w="1361" w:type="dxa"/>
            <w:tcBorders>
              <w:left w:val="single" w:sz="6" w:space="0" w:color="000000"/>
              <w:right w:val="single" w:sz="6" w:space="0" w:color="000000"/>
            </w:tcBorders>
            <w:vAlign w:val="center"/>
          </w:tcPr>
          <w:p>
            <w:pPr>
              <w:pStyle w:val="19"/>
            </w:pPr>
            <w:r>
              <w:t>1.33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18.17</w:t>
            </w:r>
          </w:p>
        </w:tc>
        <w:tc>
          <w:tcPr>
            <w:tcW w:w="1361" w:type="dxa"/>
            <w:tcBorders>
              <w:left w:val="single" w:sz="6" w:space="0" w:color="000000"/>
              <w:right w:val="single" w:sz="6" w:space="0" w:color="000000"/>
            </w:tcBorders>
            <w:vAlign w:val="center"/>
          </w:tcPr>
          <w:p>
            <w:pPr>
              <w:pStyle w:val="19"/>
            </w:pPr>
            <w:r>
              <w:t>18.17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10.51</w:t>
            </w:r>
          </w:p>
        </w:tc>
        <w:tc>
          <w:tcPr>
            <w:tcW w:w="1361" w:type="dxa"/>
            <w:tcBorders>
              <w:left w:val="single" w:sz="6" w:space="0" w:color="000000"/>
              <w:right w:val="single" w:sz="6" w:space="0" w:color="000000"/>
            </w:tcBorders>
            <w:vAlign w:val="center"/>
          </w:tcPr>
          <w:p>
            <w:pPr>
              <w:pStyle w:val="19"/>
            </w:pPr>
            <w:r>
              <w:t>10.51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7.66</w:t>
            </w:r>
          </w:p>
        </w:tc>
        <w:tc>
          <w:tcPr>
            <w:tcW w:w="1361" w:type="dxa"/>
            <w:tcBorders>
              <w:left w:val="single" w:sz="6" w:space="0" w:color="000000"/>
              <w:right w:val="single" w:sz="6" w:space="0" w:color="000000"/>
            </w:tcBorders>
            <w:vAlign w:val="center"/>
          </w:tcPr>
          <w:p>
            <w:pPr>
              <w:pStyle w:val="19"/>
            </w:pPr>
            <w:r>
              <w:t>7.66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1.33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1.33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8.31</w:t>
            </w:r>
          </w:p>
        </w:tc>
        <w:tc>
          <w:tcPr>
            <w:tcW w:w="1361" w:type="dxa"/>
            <w:tcBorders>
              <w:left w:val="single" w:sz="6" w:space="0" w:color="000000"/>
              <w:right w:val="single" w:sz="6" w:space="0" w:color="000000"/>
            </w:tcBorders>
            <w:vAlign w:val="center"/>
          </w:tcPr>
          <w:p>
            <w:pPr>
              <w:pStyle w:val="19"/>
            </w:pPr>
            <w:r>
              <w:t>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8.31</w:t>
            </w:r>
          </w:p>
        </w:tc>
        <w:tc>
          <w:tcPr>
            <w:tcW w:w="1361" w:type="dxa"/>
            <w:tcBorders>
              <w:left w:val="single" w:sz="6" w:space="0" w:color="000000"/>
              <w:right w:val="single" w:sz="6" w:space="0" w:color="000000"/>
            </w:tcBorders>
            <w:vAlign w:val="center"/>
          </w:tcPr>
          <w:p>
            <w:pPr>
              <w:pStyle w:val="19"/>
            </w:pPr>
            <w:r>
              <w:t>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2.94</w:t>
            </w:r>
          </w:p>
        </w:tc>
        <w:tc>
          <w:tcPr>
            <w:tcW w:w="1361" w:type="dxa"/>
            <w:tcBorders>
              <w:left w:val="single" w:sz="6" w:space="0" w:color="000000"/>
              <w:right w:val="single" w:sz="6" w:space="0" w:color="000000"/>
            </w:tcBorders>
            <w:vAlign w:val="center"/>
          </w:tcPr>
          <w:p>
            <w:pPr>
              <w:pStyle w:val="19"/>
            </w:pPr>
            <w:r>
              <w:t>2.94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5.37</w:t>
            </w:r>
          </w:p>
        </w:tc>
        <w:tc>
          <w:tcPr>
            <w:tcW w:w="1361" w:type="dxa"/>
            <w:tcBorders>
              <w:left w:val="single" w:sz="6" w:space="0" w:color="000000"/>
              <w:right w:val="single" w:sz="6" w:space="0" w:color="000000"/>
            </w:tcBorders>
            <w:vAlign w:val="center"/>
          </w:tcPr>
          <w:p>
            <w:pPr>
              <w:pStyle w:val="19"/>
            </w:pPr>
            <w:r>
              <w:t>5.37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r>
              <w:t>6.25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212.59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178.53</w:t>
            </w:r>
          </w:p>
        </w:tc>
        <w:tc>
          <w:tcPr>
            <w:tcW w:w="1474" w:type="dxa"/>
            <w:tcBorders>
              <w:left w:val="single" w:sz="6" w:space="0" w:color="000000"/>
              <w:right w:val="single" w:sz="6" w:space="0" w:color="000000"/>
            </w:tcBorders>
            <w:vAlign w:val="center"/>
          </w:tcPr>
          <w:p>
            <w:pPr>
              <w:pStyle w:val="19"/>
            </w:pPr>
            <w:r>
              <w:t>178.53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19.50</w:t>
            </w:r>
          </w:p>
        </w:tc>
        <w:tc>
          <w:tcPr>
            <w:tcW w:w="1474" w:type="dxa"/>
            <w:tcBorders>
              <w:left w:val="single" w:sz="6" w:space="0" w:color="000000"/>
              <w:right w:val="single" w:sz="6" w:space="0" w:color="000000"/>
            </w:tcBorders>
            <w:vAlign w:val="center"/>
          </w:tcPr>
          <w:p>
            <w:pPr>
              <w:pStyle w:val="19"/>
            </w:pPr>
            <w:r>
              <w:t>19.50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8.31</w:t>
            </w:r>
          </w:p>
        </w:tc>
        <w:tc>
          <w:tcPr>
            <w:tcW w:w="1474" w:type="dxa"/>
            <w:tcBorders>
              <w:left w:val="single" w:sz="6" w:space="0" w:color="000000"/>
              <w:right w:val="single" w:sz="6" w:space="0" w:color="000000"/>
            </w:tcBorders>
            <w:vAlign w:val="center"/>
          </w:tcPr>
          <w:p>
            <w:pPr>
              <w:pStyle w:val="19"/>
            </w:pPr>
            <w:r>
              <w:t>8.31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6.25</w:t>
            </w:r>
          </w:p>
        </w:tc>
        <w:tc>
          <w:tcPr>
            <w:tcW w:w="1474" w:type="dxa"/>
            <w:tcBorders>
              <w:left w:val="single" w:sz="6" w:space="0" w:color="000000"/>
              <w:right w:val="single" w:sz="6" w:space="0" w:color="000000"/>
            </w:tcBorders>
            <w:vAlign w:val="center"/>
          </w:tcPr>
          <w:p>
            <w:pPr>
              <w:pStyle w:val="19"/>
            </w:pPr>
            <w:r>
              <w:t>6.25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212.59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212.59</w:t>
            </w:r>
          </w:p>
        </w:tc>
        <w:tc>
          <w:tcPr>
            <w:tcW w:w="1474" w:type="dxa"/>
            <w:tcBorders>
              <w:left w:val="single" w:sz="6" w:space="0" w:color="000000"/>
              <w:right w:val="single" w:sz="6" w:space="0" w:color="000000"/>
            </w:tcBorders>
            <w:vAlign w:val="center"/>
          </w:tcPr>
          <w:p>
            <w:pPr>
              <w:pStyle w:val="23"/>
            </w:pPr>
            <w:r>
              <w:t>212.59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212.59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212.59</w:t>
            </w:r>
          </w:p>
        </w:tc>
        <w:tc>
          <w:tcPr>
            <w:tcW w:w="1474" w:type="dxa"/>
            <w:tcBorders>
              <w:left w:val="single" w:sz="6" w:space="0" w:color="000000"/>
              <w:right w:val="single" w:sz="6" w:space="0" w:color="000000"/>
            </w:tcBorders>
            <w:vAlign w:val="center"/>
          </w:tcPr>
          <w:p>
            <w:pPr>
              <w:pStyle w:val="23"/>
            </w:pPr>
            <w:r>
              <w:t>212.59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212.59</w:t>
            </w:r>
          </w:p>
        </w:tc>
        <w:tc>
          <w:tcPr>
            <w:tcW w:w="2551" w:type="dxa"/>
            <w:tcBorders>
              <w:left w:val="single" w:sz="6" w:space="0" w:color="000000"/>
              <w:right w:val="single" w:sz="6" w:space="0" w:color="000000"/>
            </w:tcBorders>
            <w:vAlign w:val="center"/>
          </w:tcPr>
          <w:p>
            <w:pPr>
              <w:pStyle w:val="23"/>
            </w:pPr>
            <w:r>
              <w:t>111.11</w:t>
            </w:r>
          </w:p>
        </w:tc>
        <w:tc>
          <w:tcPr>
            <w:tcW w:w="2551" w:type="dxa"/>
            <w:vAlign w:val="center"/>
          </w:tcPr>
          <w:p>
            <w:pPr>
              <w:pStyle w:val="23"/>
            </w:pPr>
            <w:r>
              <w:t>101.48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178.53</w:t>
            </w:r>
          </w:p>
        </w:tc>
        <w:tc>
          <w:tcPr>
            <w:tcW w:w="2551" w:type="dxa"/>
            <w:tcBorders>
              <w:left w:val="single" w:sz="6" w:space="0" w:color="000000"/>
              <w:right w:val="single" w:sz="6" w:space="0" w:color="000000"/>
            </w:tcBorders>
            <w:vAlign w:val="center"/>
          </w:tcPr>
          <w:p>
            <w:pPr>
              <w:pStyle w:val="19"/>
            </w:pPr>
            <w:r>
              <w:t>78.38</w:t>
            </w:r>
          </w:p>
        </w:tc>
        <w:tc>
          <w:tcPr>
            <w:tcW w:w="2551" w:type="dxa"/>
            <w:vAlign w:val="center"/>
          </w:tcPr>
          <w:p>
            <w:pPr>
              <w:pStyle w:val="19"/>
            </w:pPr>
            <w:r>
              <w:t>100.15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2551" w:type="dxa"/>
            <w:tcBorders>
              <w:left w:val="single" w:sz="6" w:space="0" w:color="000000"/>
              <w:right w:val="single" w:sz="6" w:space="0" w:color="000000"/>
            </w:tcBorders>
            <w:vAlign w:val="center"/>
          </w:tcPr>
          <w:p>
            <w:pPr>
              <w:pStyle w:val="19"/>
            </w:pPr>
            <w:r>
              <w:t>178.53</w:t>
            </w:r>
          </w:p>
        </w:tc>
        <w:tc>
          <w:tcPr>
            <w:tcW w:w="2551" w:type="dxa"/>
            <w:tcBorders>
              <w:left w:val="single" w:sz="6" w:space="0" w:color="000000"/>
              <w:right w:val="single" w:sz="6" w:space="0" w:color="000000"/>
            </w:tcBorders>
            <w:vAlign w:val="center"/>
          </w:tcPr>
          <w:p>
            <w:pPr>
              <w:pStyle w:val="19"/>
            </w:pPr>
            <w:r>
              <w:t>78.38</w:t>
            </w:r>
          </w:p>
        </w:tc>
        <w:tc>
          <w:tcPr>
            <w:tcW w:w="2551" w:type="dxa"/>
            <w:vAlign w:val="center"/>
          </w:tcPr>
          <w:p>
            <w:pPr>
              <w:pStyle w:val="19"/>
            </w:pPr>
            <w:r>
              <w:t>100.15</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78.38</w:t>
            </w:r>
          </w:p>
        </w:tc>
        <w:tc>
          <w:tcPr>
            <w:tcW w:w="2551" w:type="dxa"/>
            <w:tcBorders>
              <w:left w:val="single" w:sz="6" w:space="0" w:color="000000"/>
              <w:right w:val="single" w:sz="6" w:space="0" w:color="000000"/>
            </w:tcBorders>
            <w:vAlign w:val="center"/>
          </w:tcPr>
          <w:p>
            <w:pPr>
              <w:pStyle w:val="19"/>
            </w:pPr>
            <w:r>
              <w:t>78.38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83.15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83.15</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2551" w:type="dxa"/>
            <w:tcBorders>
              <w:left w:val="single" w:sz="6" w:space="0" w:color="000000"/>
              <w:right w:val="single" w:sz="6" w:space="0" w:color="000000"/>
            </w:tcBorders>
            <w:vAlign w:val="center"/>
          </w:tcPr>
          <w:p>
            <w:pPr>
              <w:pStyle w:val="19"/>
            </w:pPr>
            <w:r>
              <w:t>17.00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19.50</w:t>
            </w:r>
          </w:p>
        </w:tc>
        <w:tc>
          <w:tcPr>
            <w:tcW w:w="2551" w:type="dxa"/>
            <w:tcBorders>
              <w:left w:val="single" w:sz="6" w:space="0" w:color="000000"/>
              <w:right w:val="single" w:sz="6" w:space="0" w:color="000000"/>
            </w:tcBorders>
            <w:vAlign w:val="center"/>
          </w:tcPr>
          <w:p>
            <w:pPr>
              <w:pStyle w:val="19"/>
            </w:pPr>
            <w:r>
              <w:t>18.17</w:t>
            </w:r>
          </w:p>
        </w:tc>
        <w:tc>
          <w:tcPr>
            <w:tcW w:w="2551" w:type="dxa"/>
            <w:vAlign w:val="center"/>
          </w:tcPr>
          <w:p>
            <w:pPr>
              <w:pStyle w:val="19"/>
            </w:pPr>
            <w:r>
              <w:t>1.33</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18.17</w:t>
            </w:r>
          </w:p>
        </w:tc>
        <w:tc>
          <w:tcPr>
            <w:tcW w:w="2551" w:type="dxa"/>
            <w:tcBorders>
              <w:left w:val="single" w:sz="6" w:space="0" w:color="000000"/>
              <w:right w:val="single" w:sz="6" w:space="0" w:color="000000"/>
            </w:tcBorders>
            <w:vAlign w:val="center"/>
          </w:tcPr>
          <w:p>
            <w:pPr>
              <w:pStyle w:val="19"/>
            </w:pPr>
            <w:r>
              <w:t>18.17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10.51</w:t>
            </w:r>
          </w:p>
        </w:tc>
        <w:tc>
          <w:tcPr>
            <w:tcW w:w="2551" w:type="dxa"/>
            <w:tcBorders>
              <w:left w:val="single" w:sz="6" w:space="0" w:color="000000"/>
              <w:right w:val="single" w:sz="6" w:space="0" w:color="000000"/>
            </w:tcBorders>
            <w:vAlign w:val="center"/>
          </w:tcPr>
          <w:p>
            <w:pPr>
              <w:pStyle w:val="19"/>
            </w:pPr>
            <w:r>
              <w:t>10.51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7.66</w:t>
            </w:r>
          </w:p>
        </w:tc>
        <w:tc>
          <w:tcPr>
            <w:tcW w:w="2551" w:type="dxa"/>
            <w:tcBorders>
              <w:left w:val="single" w:sz="6" w:space="0" w:color="000000"/>
              <w:right w:val="single" w:sz="6" w:space="0" w:color="000000"/>
            </w:tcBorders>
            <w:vAlign w:val="center"/>
          </w:tcPr>
          <w:p>
            <w:pPr>
              <w:pStyle w:val="19"/>
            </w:pPr>
            <w:r>
              <w:t>7.66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1.33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1.33</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1.33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1.33</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8.31</w:t>
            </w:r>
          </w:p>
        </w:tc>
        <w:tc>
          <w:tcPr>
            <w:tcW w:w="2551" w:type="dxa"/>
            <w:tcBorders>
              <w:left w:val="single" w:sz="6" w:space="0" w:color="000000"/>
              <w:right w:val="single" w:sz="6" w:space="0" w:color="000000"/>
            </w:tcBorders>
            <w:vAlign w:val="center"/>
          </w:tcPr>
          <w:p>
            <w:pPr>
              <w:pStyle w:val="19"/>
            </w:pPr>
            <w:r>
              <w:t>8.31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8.31</w:t>
            </w:r>
          </w:p>
        </w:tc>
        <w:tc>
          <w:tcPr>
            <w:tcW w:w="2551" w:type="dxa"/>
            <w:tcBorders>
              <w:left w:val="single" w:sz="6" w:space="0" w:color="000000"/>
              <w:right w:val="single" w:sz="6" w:space="0" w:color="000000"/>
            </w:tcBorders>
            <w:vAlign w:val="center"/>
          </w:tcPr>
          <w:p>
            <w:pPr>
              <w:pStyle w:val="19"/>
            </w:pPr>
            <w:r>
              <w:t>8.31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2.94</w:t>
            </w:r>
          </w:p>
        </w:tc>
        <w:tc>
          <w:tcPr>
            <w:tcW w:w="2551" w:type="dxa"/>
            <w:tcBorders>
              <w:left w:val="single" w:sz="6" w:space="0" w:color="000000"/>
              <w:right w:val="single" w:sz="6" w:space="0" w:color="000000"/>
            </w:tcBorders>
            <w:vAlign w:val="center"/>
          </w:tcPr>
          <w:p>
            <w:pPr>
              <w:pStyle w:val="19"/>
            </w:pPr>
            <w:r>
              <w:t>2.94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5.37</w:t>
            </w:r>
          </w:p>
        </w:tc>
        <w:tc>
          <w:tcPr>
            <w:tcW w:w="2551" w:type="dxa"/>
            <w:tcBorders>
              <w:left w:val="single" w:sz="6" w:space="0" w:color="000000"/>
              <w:right w:val="single" w:sz="6" w:space="0" w:color="000000"/>
            </w:tcBorders>
            <w:vAlign w:val="center"/>
          </w:tcPr>
          <w:p>
            <w:pPr>
              <w:pStyle w:val="19"/>
            </w:pPr>
            <w:r>
              <w:t>5.37</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6.25</w:t>
            </w:r>
          </w:p>
        </w:tc>
        <w:tc>
          <w:tcPr>
            <w:tcW w:w="2551" w:type="dxa"/>
            <w:tcBorders>
              <w:left w:val="single" w:sz="6" w:space="0" w:color="000000"/>
              <w:right w:val="single" w:sz="6" w:space="0" w:color="000000"/>
            </w:tcBorders>
            <w:vAlign w:val="center"/>
          </w:tcPr>
          <w:p>
            <w:pPr>
              <w:pStyle w:val="19"/>
            </w:pPr>
            <w:r>
              <w:t>6.25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6.25</w:t>
            </w:r>
          </w:p>
        </w:tc>
        <w:tc>
          <w:tcPr>
            <w:tcW w:w="2551" w:type="dxa"/>
            <w:tcBorders>
              <w:left w:val="single" w:sz="6" w:space="0" w:color="000000"/>
              <w:right w:val="single" w:sz="6" w:space="0" w:color="000000"/>
            </w:tcBorders>
            <w:vAlign w:val="center"/>
          </w:tcPr>
          <w:p>
            <w:pPr>
              <w:pStyle w:val="19"/>
            </w:pPr>
            <w:r>
              <w:t>6.25</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6.25</w:t>
            </w:r>
          </w:p>
        </w:tc>
        <w:tc>
          <w:tcPr>
            <w:tcW w:w="2551" w:type="dxa"/>
            <w:tcBorders>
              <w:left w:val="single" w:sz="6" w:space="0" w:color="000000"/>
              <w:right w:val="single" w:sz="6" w:space="0" w:color="000000"/>
            </w:tcBorders>
            <w:vAlign w:val="center"/>
          </w:tcPr>
          <w:p>
            <w:pPr>
              <w:pStyle w:val="19"/>
            </w:pPr>
            <w:r>
              <w:t>6.25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111.11</w:t>
            </w:r>
          </w:p>
        </w:tc>
        <w:tc>
          <w:tcPr>
            <w:tcW w:w="2551" w:type="dxa"/>
            <w:tcBorders>
              <w:left w:val="single" w:sz="6" w:space="0" w:color="000000"/>
              <w:right w:val="single" w:sz="6" w:space="0" w:color="000000"/>
            </w:tcBorders>
            <w:vAlign w:val="center"/>
          </w:tcPr>
          <w:p>
            <w:pPr>
              <w:pStyle w:val="23"/>
            </w:pPr>
            <w:r>
              <w:t>97.67</w:t>
            </w:r>
          </w:p>
        </w:tc>
        <w:tc>
          <w:tcPr>
            <w:tcW w:w="2551" w:type="dxa"/>
            <w:vAlign w:val="center"/>
          </w:tcPr>
          <w:p>
            <w:pPr>
              <w:pStyle w:val="23"/>
            </w:pPr>
            <w:r>
              <w:t>13.44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87.16</w:t>
            </w:r>
          </w:p>
        </w:tc>
        <w:tc>
          <w:tcPr>
            <w:tcW w:w="2551" w:type="dxa"/>
            <w:tcBorders>
              <w:left w:val="single" w:sz="6" w:space="0" w:color="000000"/>
              <w:right w:val="single" w:sz="6" w:space="0" w:color="000000"/>
            </w:tcBorders>
            <w:vAlign w:val="center"/>
          </w:tcPr>
          <w:p>
            <w:pPr>
              <w:pStyle w:val="19"/>
            </w:pPr>
            <w:r>
              <w:t>87.16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21.22</w:t>
            </w:r>
          </w:p>
        </w:tc>
        <w:tc>
          <w:tcPr>
            <w:tcW w:w="2551" w:type="dxa"/>
            <w:tcBorders>
              <w:left w:val="single" w:sz="6" w:space="0" w:color="000000"/>
              <w:right w:val="single" w:sz="6" w:space="0" w:color="000000"/>
            </w:tcBorders>
            <w:vAlign w:val="center"/>
          </w:tcPr>
          <w:p>
            <w:pPr>
              <w:pStyle w:val="19"/>
            </w:pPr>
            <w:r>
              <w:t>21.22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20.75</w:t>
            </w:r>
          </w:p>
        </w:tc>
        <w:tc>
          <w:tcPr>
            <w:tcW w:w="2551" w:type="dxa"/>
            <w:tcBorders>
              <w:left w:val="single" w:sz="6" w:space="0" w:color="000000"/>
              <w:right w:val="single" w:sz="6" w:space="0" w:color="000000"/>
            </w:tcBorders>
            <w:vAlign w:val="center"/>
          </w:tcPr>
          <w:p>
            <w:pPr>
              <w:pStyle w:val="19"/>
            </w:pPr>
            <w:r>
              <w:t>20.75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10.09</w:t>
            </w:r>
          </w:p>
        </w:tc>
        <w:tc>
          <w:tcPr>
            <w:tcW w:w="2551" w:type="dxa"/>
            <w:tcBorders>
              <w:left w:val="single" w:sz="6" w:space="0" w:color="000000"/>
              <w:right w:val="single" w:sz="6" w:space="0" w:color="000000"/>
            </w:tcBorders>
            <w:vAlign w:val="center"/>
          </w:tcPr>
          <w:p>
            <w:pPr>
              <w:pStyle w:val="19"/>
            </w:pPr>
            <w:r>
              <w:t>10.09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7.66</w:t>
            </w:r>
          </w:p>
        </w:tc>
        <w:tc>
          <w:tcPr>
            <w:tcW w:w="2551" w:type="dxa"/>
            <w:tcBorders>
              <w:left w:val="single" w:sz="6" w:space="0" w:color="000000"/>
              <w:right w:val="single" w:sz="6" w:space="0" w:color="000000"/>
            </w:tcBorders>
            <w:vAlign w:val="center"/>
          </w:tcPr>
          <w:p>
            <w:pPr>
              <w:pStyle w:val="19"/>
            </w:pPr>
            <w:r>
              <w:t>7.66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2.94</w:t>
            </w:r>
          </w:p>
        </w:tc>
        <w:tc>
          <w:tcPr>
            <w:tcW w:w="2551" w:type="dxa"/>
            <w:tcBorders>
              <w:left w:val="single" w:sz="6" w:space="0" w:color="000000"/>
              <w:right w:val="single" w:sz="6" w:space="0" w:color="000000"/>
            </w:tcBorders>
            <w:vAlign w:val="center"/>
          </w:tcPr>
          <w:p>
            <w:pPr>
              <w:pStyle w:val="19"/>
            </w:pPr>
            <w:r>
              <w:t>2.94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5.37</w:t>
            </w:r>
          </w:p>
        </w:tc>
        <w:tc>
          <w:tcPr>
            <w:tcW w:w="2551" w:type="dxa"/>
            <w:tcBorders>
              <w:left w:val="single" w:sz="6" w:space="0" w:color="000000"/>
              <w:right w:val="single" w:sz="6" w:space="0" w:color="000000"/>
            </w:tcBorders>
            <w:vAlign w:val="center"/>
          </w:tcPr>
          <w:p>
            <w:pPr>
              <w:pStyle w:val="19"/>
            </w:pPr>
            <w:r>
              <w:t>5.37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0.48</w:t>
            </w:r>
          </w:p>
        </w:tc>
        <w:tc>
          <w:tcPr>
            <w:tcW w:w="2551" w:type="dxa"/>
            <w:tcBorders>
              <w:left w:val="single" w:sz="6" w:space="0" w:color="000000"/>
              <w:right w:val="single" w:sz="6" w:space="0" w:color="000000"/>
            </w:tcBorders>
            <w:vAlign w:val="center"/>
          </w:tcPr>
          <w:p>
            <w:pPr>
              <w:pStyle w:val="19"/>
            </w:pPr>
            <w:r>
              <w:t>0.48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6.25</w:t>
            </w:r>
          </w:p>
        </w:tc>
        <w:tc>
          <w:tcPr>
            <w:tcW w:w="2551" w:type="dxa"/>
            <w:tcBorders>
              <w:left w:val="single" w:sz="6" w:space="0" w:color="000000"/>
              <w:right w:val="single" w:sz="6" w:space="0" w:color="000000"/>
            </w:tcBorders>
            <w:vAlign w:val="center"/>
          </w:tcPr>
          <w:p>
            <w:pPr>
              <w:pStyle w:val="19"/>
            </w:pPr>
            <w:r>
              <w:t>6.25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12.40</w:t>
            </w:r>
          </w:p>
        </w:tc>
        <w:tc>
          <w:tcPr>
            <w:tcW w:w="2551" w:type="dxa"/>
            <w:tcBorders>
              <w:left w:val="single" w:sz="6" w:space="0" w:color="000000"/>
              <w:right w:val="single" w:sz="6" w:space="0" w:color="000000"/>
            </w:tcBorders>
            <w:vAlign w:val="center"/>
          </w:tcPr>
          <w:p>
            <w:pPr>
              <w:pStyle w:val="19"/>
            </w:pPr>
            <w:r>
              <w:t>12.40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13.44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13.44</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0.95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0.95</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0.28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0.28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1.25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0.59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0.59</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0.42</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10.51</w:t>
            </w:r>
          </w:p>
        </w:tc>
        <w:tc>
          <w:tcPr>
            <w:tcW w:w="2551" w:type="dxa"/>
            <w:tcBorders>
              <w:left w:val="single" w:sz="6" w:space="0" w:color="000000"/>
              <w:right w:val="single" w:sz="6" w:space="0" w:color="000000"/>
            </w:tcBorders>
            <w:vAlign w:val="center"/>
          </w:tcPr>
          <w:p>
            <w:pPr>
              <w:pStyle w:val="19"/>
            </w:pPr>
            <w:r>
              <w:t>10.51</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10.51</w:t>
            </w:r>
          </w:p>
        </w:tc>
        <w:tc>
          <w:tcPr>
            <w:tcW w:w="2551" w:type="dxa"/>
            <w:tcBorders>
              <w:left w:val="single" w:sz="6" w:space="0" w:color="000000"/>
              <w:right w:val="single" w:sz="6" w:space="0" w:color="000000"/>
            </w:tcBorders>
            <w:vAlign w:val="center"/>
          </w:tcPr>
          <w:p>
            <w:pPr>
              <w:pStyle w:val="19"/>
            </w:pPr>
            <w:r>
              <w:t>10.51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1.50</w:t>
            </w:r>
          </w:p>
        </w:tc>
        <w:tc>
          <w:tcPr>
            <w:tcW w:w="2381" w:type="dxa"/>
            <w:tcBorders>
              <w:left w:val="single" w:sz="6" w:space="0" w:color="000000"/>
              <w:right w:val="single" w:sz="6" w:space="0" w:color="000000"/>
            </w:tcBorders>
            <w:vAlign w:val="center"/>
          </w:tcPr>
          <w:p>
            <w:pPr>
              <w:pStyle w:val="19"/>
            </w:pPr>
            <w:r>
              <w:t>1.50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唐山市丰南区妇女联合会2023年部门预算信息公开情况说明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唐山市丰南区妇女联合会2023年部门预算信息公开情况说明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按照《预算法》、《地方预决算公开操作规程》和《关于进一步推进预算公开工作的实施意见》规定，现将唐山市丰南区妇女联合会2023年部门预算公开如下：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一、引导全区妇女跟党走，积极投身改革开放和社会主义经济、政治、文化建设，提高妇女素质，为建设经济强区作贡献。</w:t>
      </w:r>
    </w:p>
    <w:p>
      <w:pPr>
        <w:pStyle w:val="25"/>
      </w:pPr>
      <w:r>
        <w:t>二、关注涉及妇女切身利益，强化维权工作，帮扶困境群体。积极开展对妇女的科技及生产劳动技能等教育培训。</w:t>
      </w:r>
    </w:p>
    <w:p>
      <w:pPr>
        <w:pStyle w:val="25"/>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唐山市丰南区妇女联合会本级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按照预算管理有关规定，目前我省部门预算的编制实行综合预算管理，即全部收入和支出都反映在预算中。唐山市丰南区妇女联合会机关及所属事业单位的收支包含在部门预算中。</w:t>
      </w:r>
    </w:p>
    <w:p>
      <w:pPr>
        <w:pStyle w:val="26"/>
      </w:pPr>
      <w:r>
        <w:t>（一）收入说明</w:t>
      </w:r>
    </w:p>
    <w:p>
      <w:pPr>
        <w:pStyle w:val="26"/>
      </w:pPr>
      <w:r>
        <w:t>2023年部门预算收入212.59万元，其中：一般公共预算拨款212.59万元，政府性基金预算拨款0万元，国有资本经营预算拨款0万元，财政专户拨款0万元，单位资金0万元。</w:t>
      </w:r>
    </w:p>
    <w:p>
      <w:pPr>
        <w:pStyle w:val="26"/>
      </w:pPr>
      <w:r>
        <w:t>（二）支出说明</w:t>
      </w:r>
    </w:p>
    <w:p>
      <w:pPr>
        <w:pStyle w:val="26"/>
      </w:pPr>
      <w:r>
        <w:t>2023年部门预算支出212.59万元，其中：人员经费97.67万元，日常公用经费13.44万元，项目支出101.48万元。</w:t>
      </w:r>
    </w:p>
    <w:p>
      <w:pPr>
        <w:pStyle w:val="26"/>
      </w:pPr>
      <w:r>
        <w:t>（三）比上年增减情况</w:t>
      </w:r>
    </w:p>
    <w:p>
      <w:pPr>
        <w:pStyle w:val="26"/>
      </w:pPr>
      <w:r>
        <w:t>2023年部门预算较2022年增加27.39万元，其中：人员经费21.7万元，日常公用经费增加2.08万元，项目经费增加3.61万元。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2023年机关运行经费共计安排13.44万元，主要包括用于保证机关正常运转的办公及印刷费、邮电费、差旅费、公务用车运行维护费、工会费、福利费、公务移动通讯补贴、公务交通补贴、离退休干部报刊费等支出。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2023年部门“三公”经费预算安排2.5万元，比2022年减少0.3万元，具体增减情况为:</w:t>
      </w:r>
    </w:p>
    <w:p>
      <w:pPr>
        <w:pStyle w:val="28"/>
      </w:pPr>
      <w:r>
        <w:t>(一）公务用车购置及运行费2.5万元，比2022年无变化。</w:t>
      </w:r>
    </w:p>
    <w:p>
      <w:pPr>
        <w:pStyle w:val="28"/>
      </w:pPr>
      <w:r>
        <w:t>（二）公务接待费0万元，比2022年减少0.3万元，原因是节约开支。</w:t>
      </w:r>
    </w:p>
    <w:p>
      <w:pPr>
        <w:pStyle w:val="28"/>
      </w:pPr>
      <w:r>
        <w:t>（三）因公出国（境）费0万元，比2022年增减无变化。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2023年，丰南区妇联继续坚持党建引领，深化改革和建设，有效发挥桥梁和纽带作用，努力在妇女思想政治引领、服务高质量发展、深化家庭家风建设、助力社会治理、妇联改革创新五项重点工作上取得新突破。一是努力在加强妇女思想政治引领上取得新突破，深化巾帼大宣讲活动；二是努力在服务高质量发展上取得新突破，扎实推进家政服务业提质扩容；三是努力在深化家庭家风建设、助力乡村振兴上取得新突破，以传承家教家风为重点；四是努力在助力社会治理上取得新突破，充分发挥妇女议事会、“和风木兰”家事驿站、婚调室作用，深化婚姻家庭矛盾纠纷化解，加强源头化维权；五是努力在深化妇联改革“破难行动”上取得新突破，全力推进省示范妇女之家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一、围绕中心，服务大局，完成区委区政府交办的工作任务，全区妇女精神面貌有较大改观，创业就业能力逐步增强，素质得到有效提升。</w:t>
      </w:r>
    </w:p>
    <w:p>
      <w:pPr>
        <w:pStyle w:val="30"/>
      </w:pPr>
      <w:r>
        <w:t>绩效目标：妇女积极参与妇联组织围绕区委区政府中心工作开展的各项活动，精神面貌有较大改观，创业就业能力逐步增强，素质得到有效提升。</w:t>
      </w:r>
    </w:p>
    <w:p>
      <w:pPr>
        <w:pStyle w:val="30"/>
      </w:pPr>
      <w:r>
        <w:t>绩效指标：宣传培训教育妇女人数大于2万人次、项目预算资金预算产出和效果达100%、帮扶妇女就业人数达40余人次、项目的宣传效果满意值达100%、帮扶妇女创业人数达50余人次。</w:t>
      </w:r>
    </w:p>
    <w:p>
      <w:pPr>
        <w:pStyle w:val="30"/>
      </w:pPr>
      <w:r>
        <w:t>二、妇女综合素质和发展能力有较大提升。妇女儿童合法权益得到有效维护，男女平等基本国策宣传进一步深入人心。</w:t>
      </w:r>
    </w:p>
    <w:p>
      <w:pPr>
        <w:pStyle w:val="30"/>
      </w:pPr>
      <w:r>
        <w:t>绩效目标：关注和研究涉及妇女切身利益的热点难点问题，向区委区政府提出对策建议；参与有关妇女儿童政策和法律、法规草案的拟定，教育引导妇女依法维权，对权益受到侵害的妇女儿童和困境妇女儿童提供帮助。开展对妇女的科技文化、生产劳动技能和家庭、家教、家风教育。</w:t>
      </w:r>
    </w:p>
    <w:p>
      <w:pPr>
        <w:pStyle w:val="30"/>
      </w:pPr>
      <w:r>
        <w:t>绩效指标：1、法律援助妇女侵权案件率达90%、妇女信访代理工作覆盖率90%、开展妇女维权宣传活动达到40场次。2、培养妇女致富带头人人数20人、培训达标率达到80%、项目的宣传效果满意值达到100%。</w:t>
      </w:r>
    </w:p>
    <w:p>
      <w:pPr>
        <w:pStyle w:val="30"/>
      </w:pPr>
      <w:r>
        <w:t>三、不断加强妇联组织自身建设，提升妇联干部服务妇女的能力和水平，保障妇女维权、妇女发展工作正常有序开展。</w:t>
      </w:r>
    </w:p>
    <w:p>
      <w:pPr>
        <w:pStyle w:val="30"/>
      </w:pPr>
      <w:r>
        <w:t>绩效目标：妇联基层组织的组织、阵地、队伍建设等得到加强，妇联干部工作能力和服务水平提高。</w:t>
      </w:r>
    </w:p>
    <w:p>
      <w:pPr>
        <w:pStyle w:val="30"/>
      </w:pPr>
      <w:r>
        <w:t>绩效指标：创建区级示范妇女之家数量为10个、各类组织建设规范化程度达到80%、建设区级示范儿童之家数量为10个、创建示范基层组织率达到90%。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完善制度建设，引导全区妇女跟党走,积极投身改革开放和社会主义经济、政治、文化建设，提高妇女素质，为建设经济强区作贡献。关注涉及妇女切身利益，强化维权工作，帮扶困境群体。积极开展对妇女的科技及生产劳动技能等教育培训。加强妇联组织建设和机关党建，做好区政府妇儿工委工作，指导所属事业单位为妇女儿童事业发展提供保障。加强支出管理，并加强落实绩效运行监控，同时做好绩效自评，完善财务管理制度，严格按照要求规范财务资产管理，加强内部的监督，并加强积极宣传培训调研等。</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1.1.发挥劳务派遣人员在机关工作中的力量。</w:t>
            </w:r>
          </w:p>
          <w:p>
            <w:pPr>
              <w:pStyle w:val="20"/>
            </w:pPr>
            <w:r>
              <w:t>2.发放劳动报酬。</w:t>
            </w:r>
          </w:p>
          <w:p>
            <w:pPr>
              <w:pStyle w:val="20"/>
            </w:pPr>
            <w:r>
              <w:t>3.付劳务派遣工资。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2835" w:type="dxa"/>
            <w:tcBorders>
              <w:left w:val="single" w:sz="6" w:space="0" w:color="000000"/>
              <w:right w:val="single" w:sz="6" w:space="0" w:color="000000"/>
            </w:tcBorders>
            <w:vAlign w:val="center"/>
          </w:tcPr>
          <w:p>
            <w:pPr>
              <w:pStyle w:val="20"/>
            </w:pPr>
            <w:r>
              <w:t>劳务派遣人员工资人数</w:t>
            </w:r>
          </w:p>
        </w:tc>
        <w:tc>
          <w:tcPr>
            <w:tcW w:w="2551" w:type="dxa"/>
            <w:tcBorders>
              <w:left w:val="single" w:sz="6" w:space="0" w:color="000000"/>
              <w:right w:val="single" w:sz="6" w:space="0" w:color="000000"/>
            </w:tcBorders>
            <w:vAlign w:val="center"/>
          </w:tcPr>
          <w:p>
            <w:pPr>
              <w:pStyle w:val="20"/>
            </w:pPr>
            <w:r>
              <w:t>7人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2835" w:type="dxa"/>
            <w:tcBorders>
              <w:left w:val="single" w:sz="6" w:space="0" w:color="000000"/>
              <w:right w:val="single" w:sz="6" w:space="0" w:color="000000"/>
            </w:tcBorders>
            <w:vAlign w:val="center"/>
          </w:tcPr>
          <w:p>
            <w:pPr>
              <w:pStyle w:val="20"/>
            </w:pPr>
            <w:r>
              <w:t>支付及时率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总成本</w:t>
            </w:r>
          </w:p>
        </w:tc>
        <w:tc>
          <w:tcPr>
            <w:tcW w:w="2835" w:type="dxa"/>
            <w:tcBorders>
              <w:left w:val="single" w:sz="6" w:space="0" w:color="000000"/>
              <w:right w:val="single" w:sz="6" w:space="0" w:color="000000"/>
            </w:tcBorders>
            <w:vAlign w:val="center"/>
          </w:tcPr>
          <w:p>
            <w:pPr>
              <w:pStyle w:val="20"/>
            </w:pPr>
            <w:r>
              <w:t>总成本</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2835" w:type="dxa"/>
            <w:tcBorders>
              <w:left w:val="single" w:sz="6" w:space="0" w:color="000000"/>
              <w:right w:val="single" w:sz="6" w:space="0" w:color="000000"/>
            </w:tcBorders>
            <w:vAlign w:val="center"/>
          </w:tcPr>
          <w:p>
            <w:pPr>
              <w:pStyle w:val="20"/>
            </w:pPr>
            <w:r>
              <w:t>资金支付合规率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国家规定标准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实际消费水平</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工资足额发放率</w:t>
            </w:r>
          </w:p>
        </w:tc>
        <w:tc>
          <w:tcPr>
            <w:tcW w:w="2835" w:type="dxa"/>
            <w:tcBorders>
              <w:left w:val="single" w:sz="6" w:space="0" w:color="000000"/>
              <w:right w:val="single" w:sz="6" w:space="0" w:color="000000"/>
            </w:tcBorders>
            <w:vAlign w:val="center"/>
          </w:tcPr>
          <w:p>
            <w:pPr>
              <w:pStyle w:val="20"/>
            </w:pPr>
            <w:r>
              <w:t>工资足额发放，保持职工稳定</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年度计划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各项工作正常开展</w:t>
            </w:r>
          </w:p>
        </w:tc>
        <w:tc>
          <w:tcPr>
            <w:tcW w:w="2835" w:type="dxa"/>
            <w:tcBorders>
              <w:left w:val="single" w:sz="6" w:space="0" w:color="000000"/>
              <w:right w:val="single" w:sz="6" w:space="0" w:color="000000"/>
            </w:tcBorders>
            <w:vAlign w:val="center"/>
          </w:tcPr>
          <w:p>
            <w:pPr>
              <w:pStyle w:val="20"/>
            </w:pPr>
            <w:r>
              <w:t>保证各项工作正常开展</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劳务派遣人员对工资发放的满意度</w:t>
            </w:r>
          </w:p>
        </w:tc>
        <w:tc>
          <w:tcPr>
            <w:tcW w:w="2835" w:type="dxa"/>
            <w:tcBorders>
              <w:left w:val="single" w:sz="6" w:space="0" w:color="000000"/>
              <w:right w:val="single" w:sz="6" w:space="0" w:color="000000"/>
            </w:tcBorders>
            <w:vAlign w:val="center"/>
          </w:tcPr>
          <w:p>
            <w:pPr>
              <w:pStyle w:val="20"/>
            </w:pPr>
            <w:r>
              <w:t>劳务派遣人员对工资发放的满意度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1.支付见习生人员工资。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2835" w:type="dxa"/>
            <w:tcBorders>
              <w:left w:val="single" w:sz="6" w:space="0" w:color="000000"/>
              <w:right w:val="single" w:sz="6" w:space="0" w:color="000000"/>
            </w:tcBorders>
            <w:vAlign w:val="center"/>
          </w:tcPr>
          <w:p>
            <w:pPr>
              <w:pStyle w:val="20"/>
            </w:pPr>
            <w:r>
              <w:t>就业见习人员工资人数</w:t>
            </w:r>
          </w:p>
        </w:tc>
        <w:tc>
          <w:tcPr>
            <w:tcW w:w="2551" w:type="dxa"/>
            <w:tcBorders>
              <w:left w:val="single" w:sz="6" w:space="0" w:color="000000"/>
              <w:right w:val="single" w:sz="6" w:space="0" w:color="000000"/>
            </w:tcBorders>
            <w:vAlign w:val="center"/>
          </w:tcPr>
          <w:p>
            <w:pPr>
              <w:pStyle w:val="20"/>
            </w:pPr>
            <w:r>
              <w:t>5人</w:t>
            </w:r>
          </w:p>
        </w:tc>
        <w:tc>
          <w:tcPr>
            <w:tcW w:w="2268" w:type="dxa"/>
            <w:vAlign w:val="center"/>
          </w:tcPr>
          <w:p>
            <w:pPr>
              <w:pStyle w:val="20"/>
            </w:pPr>
            <w:r>
              <w:t>就业见习协议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2835" w:type="dxa"/>
            <w:tcBorders>
              <w:left w:val="single" w:sz="6" w:space="0" w:color="000000"/>
              <w:right w:val="single" w:sz="6" w:space="0" w:color="000000"/>
            </w:tcBorders>
            <w:vAlign w:val="center"/>
          </w:tcPr>
          <w:p>
            <w:pPr>
              <w:pStyle w:val="20"/>
            </w:pPr>
            <w:r>
              <w:t>资金支付合规率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国家规定标准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2835" w:type="dxa"/>
            <w:tcBorders>
              <w:left w:val="single" w:sz="6" w:space="0" w:color="000000"/>
              <w:right w:val="single" w:sz="6" w:space="0" w:color="000000"/>
            </w:tcBorders>
            <w:vAlign w:val="center"/>
          </w:tcPr>
          <w:p>
            <w:pPr>
              <w:pStyle w:val="20"/>
            </w:pPr>
            <w:r>
              <w:t>支付及时率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1.1、</w:t>
              <w:tab/>
              <w:t>及时计算工资数据</w:t>
            </w:r>
          </w:p>
          <w:p>
            <w:pPr>
              <w:pStyle w:val="20"/>
            </w:pPr>
            <w:r>
              <w:t>2、</w:t>
              <w:tab/>
              <w:t>及时发放工资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2835" w:type="dxa"/>
            <w:tcBorders>
              <w:left w:val="single" w:sz="6" w:space="0" w:color="000000"/>
              <w:right w:val="single" w:sz="6" w:space="0" w:color="000000"/>
            </w:tcBorders>
            <w:vAlign w:val="center"/>
          </w:tcPr>
          <w:p>
            <w:pPr>
              <w:pStyle w:val="20"/>
            </w:pPr>
            <w:r>
              <w:t>就业见习人员工资人数</w:t>
            </w:r>
          </w:p>
        </w:tc>
        <w:tc>
          <w:tcPr>
            <w:tcW w:w="2551" w:type="dxa"/>
            <w:tcBorders>
              <w:left w:val="single" w:sz="6" w:space="0" w:color="000000"/>
              <w:right w:val="single" w:sz="6" w:space="0" w:color="000000"/>
            </w:tcBorders>
            <w:vAlign w:val="center"/>
          </w:tcPr>
          <w:p>
            <w:pPr>
              <w:pStyle w:val="20"/>
            </w:pPr>
            <w:r>
              <w:t>5人</w:t>
            </w:r>
          </w:p>
        </w:tc>
        <w:tc>
          <w:tcPr>
            <w:tcW w:w="2268" w:type="dxa"/>
            <w:vAlign w:val="center"/>
          </w:tcPr>
          <w:p>
            <w:pPr>
              <w:pStyle w:val="20"/>
            </w:pPr>
            <w:r>
              <w:t>就业见习协议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2835" w:type="dxa"/>
            <w:tcBorders>
              <w:left w:val="single" w:sz="6" w:space="0" w:color="000000"/>
              <w:right w:val="single" w:sz="6" w:space="0" w:color="000000"/>
            </w:tcBorders>
            <w:vAlign w:val="center"/>
          </w:tcPr>
          <w:p>
            <w:pPr>
              <w:pStyle w:val="20"/>
            </w:pPr>
            <w:r>
              <w:t>资金支付合规率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国家规定标准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2835" w:type="dxa"/>
            <w:tcBorders>
              <w:left w:val="single" w:sz="6" w:space="0" w:color="000000"/>
              <w:right w:val="single" w:sz="6" w:space="0" w:color="000000"/>
            </w:tcBorders>
            <w:vAlign w:val="center"/>
          </w:tcPr>
          <w:p>
            <w:pPr>
              <w:pStyle w:val="20"/>
            </w:pPr>
            <w:r>
              <w:t>支付及时率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相关规定</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4、提前下达2023年省级妇女之家建设专项资金  唐财行【2022】21号绩效目标表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1.提高妇女素质，丰富妇女生活。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2835" w:type="dxa"/>
            <w:tcBorders>
              <w:left w:val="single" w:sz="6" w:space="0" w:color="000000"/>
              <w:right w:val="single" w:sz="6" w:space="0" w:color="000000"/>
            </w:tcBorders>
            <w:vAlign w:val="center"/>
          </w:tcPr>
          <w:p>
            <w:pPr>
              <w:pStyle w:val="20"/>
            </w:pPr>
            <w:r>
              <w:t>组织宣传活动次数</w:t>
            </w:r>
          </w:p>
        </w:tc>
        <w:tc>
          <w:tcPr>
            <w:tcW w:w="2551" w:type="dxa"/>
            <w:tcBorders>
              <w:left w:val="single" w:sz="6" w:space="0" w:color="000000"/>
              <w:right w:val="single" w:sz="6" w:space="0" w:color="000000"/>
            </w:tcBorders>
            <w:vAlign w:val="center"/>
          </w:tcPr>
          <w:p>
            <w:pPr>
              <w:pStyle w:val="20"/>
            </w:pPr>
            <w:r>
              <w:t>≥10次</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阵地建设覆盖率</w:t>
            </w:r>
          </w:p>
        </w:tc>
        <w:tc>
          <w:tcPr>
            <w:tcW w:w="2835" w:type="dxa"/>
            <w:tcBorders>
              <w:left w:val="single" w:sz="6" w:space="0" w:color="000000"/>
              <w:right w:val="single" w:sz="6" w:space="0" w:color="000000"/>
            </w:tcBorders>
            <w:vAlign w:val="center"/>
          </w:tcPr>
          <w:p>
            <w:pPr>
              <w:pStyle w:val="20"/>
            </w:pPr>
            <w:r>
              <w:t>阵地建设占妇女之家建设标准的比率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预算资金使用情况</w:t>
            </w:r>
          </w:p>
        </w:tc>
        <w:tc>
          <w:tcPr>
            <w:tcW w:w="2835" w:type="dxa"/>
            <w:tcBorders>
              <w:left w:val="single" w:sz="6" w:space="0" w:color="000000"/>
              <w:right w:val="single" w:sz="6" w:space="0" w:color="000000"/>
            </w:tcBorders>
            <w:vAlign w:val="center"/>
          </w:tcPr>
          <w:p>
            <w:pPr>
              <w:pStyle w:val="20"/>
            </w:pPr>
            <w:r>
              <w:t>支出预算占项目资金的比率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预算资金使用情况</w:t>
            </w:r>
          </w:p>
        </w:tc>
        <w:tc>
          <w:tcPr>
            <w:tcW w:w="2835" w:type="dxa"/>
            <w:tcBorders>
              <w:left w:val="single" w:sz="6" w:space="0" w:color="000000"/>
              <w:right w:val="single" w:sz="6" w:space="0" w:color="000000"/>
            </w:tcBorders>
            <w:vAlign w:val="center"/>
          </w:tcPr>
          <w:p>
            <w:pPr>
              <w:pStyle w:val="20"/>
            </w:pPr>
            <w:r>
              <w:t>预算资金使用情况</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妇女之家建设标准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公共服务水平提升情况</w:t>
            </w:r>
          </w:p>
        </w:tc>
        <w:tc>
          <w:tcPr>
            <w:tcW w:w="2835" w:type="dxa"/>
            <w:tcBorders>
              <w:left w:val="single" w:sz="6" w:space="0" w:color="000000"/>
              <w:right w:val="single" w:sz="6" w:space="0" w:color="000000"/>
            </w:tcBorders>
            <w:vAlign w:val="center"/>
          </w:tcPr>
          <w:p>
            <w:pPr>
              <w:pStyle w:val="20"/>
            </w:pPr>
            <w:r>
              <w:t>基层妇女组织活动规范程度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在全区或全市产生的重要影响，得到广大受众的充分认可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妇女之家建设标准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2835" w:type="dxa"/>
            <w:tcBorders>
              <w:left w:val="single" w:sz="6" w:space="0" w:color="000000"/>
              <w:right w:val="single" w:sz="6" w:space="0" w:color="000000"/>
            </w:tcBorders>
            <w:vAlign w:val="center"/>
          </w:tcPr>
          <w:p>
            <w:pPr>
              <w:pStyle w:val="20"/>
            </w:pPr>
            <w:r>
              <w:t>能够长期较好的开活动，发挥阵地作用</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妇女之家建设标准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群众对业务开展情况的满意度情况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妇女之家建设标准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1.打造乡村振兴示范区美丽庭院，100%的庭院达到精品庭院标准，60%的庭院达到美丽庭院标准，20%的庭院达到精品美丽庭院标准。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培训参加人次</w:t>
            </w:r>
          </w:p>
        </w:tc>
        <w:tc>
          <w:tcPr>
            <w:tcW w:w="2835" w:type="dxa"/>
            <w:tcBorders>
              <w:left w:val="single" w:sz="6" w:space="0" w:color="000000"/>
              <w:right w:val="single" w:sz="6" w:space="0" w:color="000000"/>
            </w:tcBorders>
            <w:vAlign w:val="center"/>
          </w:tcPr>
          <w:p>
            <w:pPr>
              <w:pStyle w:val="20"/>
            </w:pPr>
            <w:r>
              <w:t>培训参加人次</w:t>
            </w:r>
          </w:p>
        </w:tc>
        <w:tc>
          <w:tcPr>
            <w:tcW w:w="2551" w:type="dxa"/>
            <w:tcBorders>
              <w:left w:val="single" w:sz="6" w:space="0" w:color="000000"/>
              <w:right w:val="single" w:sz="6" w:space="0" w:color="000000"/>
            </w:tcBorders>
            <w:vAlign w:val="center"/>
          </w:tcPr>
          <w:p>
            <w:pPr>
              <w:pStyle w:val="20"/>
            </w:pPr>
            <w:r>
              <w:t>≥200人</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预算资金使用率</w:t>
            </w:r>
          </w:p>
        </w:tc>
        <w:tc>
          <w:tcPr>
            <w:tcW w:w="2835" w:type="dxa"/>
            <w:tcBorders>
              <w:left w:val="single" w:sz="6" w:space="0" w:color="000000"/>
              <w:right w:val="single" w:sz="6" w:space="0" w:color="000000"/>
            </w:tcBorders>
            <w:vAlign w:val="center"/>
          </w:tcPr>
          <w:p>
            <w:pPr>
              <w:pStyle w:val="20"/>
            </w:pPr>
            <w:r>
              <w:t>预算资金使用率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按期完成的计划占总计划的比率</w:t>
            </w:r>
          </w:p>
        </w:tc>
        <w:tc>
          <w:tcPr>
            <w:tcW w:w="2835" w:type="dxa"/>
            <w:tcBorders>
              <w:left w:val="single" w:sz="6" w:space="0" w:color="000000"/>
              <w:right w:val="single" w:sz="6" w:space="0" w:color="000000"/>
            </w:tcBorders>
            <w:vAlign w:val="center"/>
          </w:tcPr>
          <w:p>
            <w:pPr>
              <w:pStyle w:val="20"/>
            </w:pPr>
            <w:r>
              <w:t>按期完成的计划占总计划的比率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全国、省、市妇联系统工作要求及妇联工作职能</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2835" w:type="dxa"/>
            <w:tcBorders>
              <w:left w:val="single" w:sz="6" w:space="0" w:color="000000"/>
              <w:right w:val="single" w:sz="6" w:space="0" w:color="000000"/>
            </w:tcBorders>
            <w:vAlign w:val="center"/>
          </w:tcPr>
          <w:p>
            <w:pPr>
              <w:pStyle w:val="20"/>
            </w:pPr>
            <w:r>
              <w:t>完成项目的成本控制在预算水平</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全国、省、市妇联系统工作要求及妇联工作职能</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在媒体播发宣传妇联稿件篇数</w:t>
            </w:r>
          </w:p>
        </w:tc>
        <w:tc>
          <w:tcPr>
            <w:tcW w:w="2835" w:type="dxa"/>
            <w:tcBorders>
              <w:left w:val="single" w:sz="6" w:space="0" w:color="000000"/>
              <w:right w:val="single" w:sz="6" w:space="0" w:color="000000"/>
            </w:tcBorders>
            <w:vAlign w:val="center"/>
          </w:tcPr>
          <w:p>
            <w:pPr>
              <w:pStyle w:val="20"/>
            </w:pPr>
            <w:r>
              <w:t>在媒体播发宣传妇联稿件的篇数（篇）</w:t>
            </w:r>
          </w:p>
        </w:tc>
        <w:tc>
          <w:tcPr>
            <w:tcW w:w="2551" w:type="dxa"/>
            <w:tcBorders>
              <w:left w:val="single" w:sz="6" w:space="0" w:color="000000"/>
              <w:right w:val="single" w:sz="6" w:space="0" w:color="000000"/>
            </w:tcBorders>
            <w:vAlign w:val="center"/>
          </w:tcPr>
          <w:p>
            <w:pPr>
              <w:pStyle w:val="20"/>
            </w:pPr>
            <w:r>
              <w:t>≥5篇</w:t>
            </w:r>
          </w:p>
        </w:tc>
        <w:tc>
          <w:tcPr>
            <w:tcW w:w="2268" w:type="dxa"/>
            <w:vAlign w:val="center"/>
          </w:tcPr>
          <w:p>
            <w:pPr>
              <w:pStyle w:val="20"/>
            </w:pPr>
            <w:r>
              <w:t>乡村振兴和农村人居环境整治方案及美丽庭院创建方案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受到区领导及广大群众的好评</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乡村振兴和农村人居环境整治方案及美丽庭院创建方案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在全区或全市产生的重要影响，得到广大受众的充分认可。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乡村振兴和农村人居环境整治方案及美丽庭院创建方案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实际调查情况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6、业务活动经费绩效目标表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1.1.不断加强妇联组织自身建设，提升妇联干部服务妇女的能力和水平，保障妇女维权、妇女发展工作正常有序开展。</w:t>
            </w:r>
          </w:p>
          <w:p>
            <w:pPr>
              <w:pStyle w:val="20"/>
            </w:pPr>
            <w:r>
              <w:t>2.围绕中心，服务大局，完成区委区政府交办的工作任务。</w:t>
            </w:r>
          </w:p>
          <w:p>
            <w:pPr>
              <w:pStyle w:val="20"/>
            </w:pPr>
            <w:r>
              <w:t>3.全区妇女精神面貌有较大改观，创业就业能力逐步增强，素质得到有效提升。</w:t>
            </w:r>
          </w:p>
          <w:p>
            <w:pPr>
              <w:pStyle w:val="20"/>
            </w:pPr>
            <w:r>
              <w:t>4.开展家政培训工作，提升妇女的能力和水平。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表彰先进个人人数</w:t>
            </w:r>
          </w:p>
        </w:tc>
        <w:tc>
          <w:tcPr>
            <w:tcW w:w="2835" w:type="dxa"/>
            <w:tcBorders>
              <w:left w:val="single" w:sz="6" w:space="0" w:color="000000"/>
              <w:right w:val="single" w:sz="6" w:space="0" w:color="000000"/>
            </w:tcBorders>
            <w:vAlign w:val="center"/>
          </w:tcPr>
          <w:p>
            <w:pPr>
              <w:pStyle w:val="20"/>
            </w:pPr>
            <w:r>
              <w:t>表彰先进个人人数</w:t>
            </w:r>
          </w:p>
        </w:tc>
        <w:tc>
          <w:tcPr>
            <w:tcW w:w="2551" w:type="dxa"/>
            <w:tcBorders>
              <w:left w:val="single" w:sz="6" w:space="0" w:color="000000"/>
              <w:right w:val="single" w:sz="6" w:space="0" w:color="000000"/>
            </w:tcBorders>
            <w:vAlign w:val="center"/>
          </w:tcPr>
          <w:p>
            <w:pPr>
              <w:pStyle w:val="20"/>
            </w:pPr>
            <w:r>
              <w:t>≥15人</w:t>
            </w:r>
          </w:p>
        </w:tc>
        <w:tc>
          <w:tcPr>
            <w:tcW w:w="2268" w:type="dxa"/>
            <w:vAlign w:val="center"/>
          </w:tcPr>
          <w:p>
            <w:pPr>
              <w:pStyle w:val="20"/>
            </w:pPr>
            <w:r>
              <w:t>全区妇女十二大文件精神</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开展“六一”活动任务完成情况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全区妇女十二大文件精神</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全区妇女十二大文件精神</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覆盖率</w:t>
            </w:r>
          </w:p>
        </w:tc>
        <w:tc>
          <w:tcPr>
            <w:tcW w:w="2835" w:type="dxa"/>
            <w:tcBorders>
              <w:left w:val="single" w:sz="6" w:space="0" w:color="000000"/>
              <w:right w:val="single" w:sz="6" w:space="0" w:color="000000"/>
            </w:tcBorders>
            <w:vAlign w:val="center"/>
          </w:tcPr>
          <w:p>
            <w:pPr>
              <w:pStyle w:val="20"/>
            </w:pPr>
            <w:r>
              <w:t>慰问乡镇数占全区乡镇的百分比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全区妇女十二大文件精神</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参与次活动人数</w:t>
            </w:r>
          </w:p>
        </w:tc>
        <w:tc>
          <w:tcPr>
            <w:tcW w:w="2835" w:type="dxa"/>
            <w:tcBorders>
              <w:left w:val="single" w:sz="6" w:space="0" w:color="000000"/>
              <w:right w:val="single" w:sz="6" w:space="0" w:color="000000"/>
            </w:tcBorders>
            <w:vAlign w:val="center"/>
          </w:tcPr>
          <w:p>
            <w:pPr>
              <w:pStyle w:val="20"/>
            </w:pPr>
            <w:r>
              <w:t>参与次活动人数</w:t>
            </w:r>
          </w:p>
        </w:tc>
        <w:tc>
          <w:tcPr>
            <w:tcW w:w="2551" w:type="dxa"/>
            <w:tcBorders>
              <w:left w:val="single" w:sz="6" w:space="0" w:color="000000"/>
              <w:right w:val="single" w:sz="6" w:space="0" w:color="000000"/>
            </w:tcBorders>
            <w:vAlign w:val="center"/>
          </w:tcPr>
          <w:p>
            <w:pPr>
              <w:pStyle w:val="20"/>
            </w:pPr>
            <w:r>
              <w:t>≥500人</w:t>
            </w:r>
          </w:p>
        </w:tc>
        <w:tc>
          <w:tcPr>
            <w:tcW w:w="2268" w:type="dxa"/>
            <w:vAlign w:val="center"/>
          </w:tcPr>
          <w:p>
            <w:pPr>
              <w:pStyle w:val="20"/>
            </w:pPr>
            <w:r>
              <w:t>全区妇女十二大文件精神</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在全区或全市产生的重要影响，得到广泛影响</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全区妇女十二大文件精神</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受到区领导及广大群众的好评</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全区妇女十二大文件精神</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2023年，唐山市丰南区妇女联合会安排政府采购预算0.00万元。具体内容见下表。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325唐山市丰南区妇女联合会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325唐山市丰南区妇女联合会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w:t>
      </w:r>
      <w:bookmarkStart w:id="17" w:name="_GoBack"/>
      <w:bookmarkEnd w:id="17"/>
      <w:r>
        <w:rPr>
          <w:rFonts w:ascii="Times New Roman" w:eastAsia="方正仿宋_GBK" w:cs="Times New Roman" w:hAnsi="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ind w:firstLine="0"/>
        <w:jc w:val="both"/>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E593243-DEE2-4D05-95DC-46F6462EC52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106</TotalTime>
  <Application>Yozo_Office27021597764231179</Application>
  <Pages>31</Pages>
  <Words>0</Words>
  <Characters>10110</Characters>
  <Lines>0</Lines>
  <Paragraphs>166</Paragraphs>
  <CharactersWithSpaces>13480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001</cp:lastModifiedBy>
  <cp:revision>1</cp:revision>
  <dcterms:created xsi:type="dcterms:W3CDTF">2023-02-02T15:36:02Z</dcterms:created>
  <dcterms:modified xsi:type="dcterms:W3CDTF">2023-08-23T07:26:35Z</dcterms:modified>
</cp:coreProperties>
</file>