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仿宋_GB2312" w:eastAsia="仿宋_GB2312" w:hint="eastAsia"/>
          <w:b/>
          <w:sz w:val="44"/>
          <w:szCs w:val="44"/>
        </w:rPr>
      </w:pPr>
      <w:bookmarkStart w:id="0" w:name="_GoBack"/>
      <w:bookmarkEnd w:id="0"/>
      <w:r>
        <w:rPr>
          <w:rFonts w:ascii="仿宋_GB2312" w:eastAsia="仿宋_GB2312" w:hint="eastAsia"/>
          <w:b/>
          <w:sz w:val="44"/>
          <w:szCs w:val="44"/>
        </w:rPr>
        <w:t>2020年部门预算公开目录</w:t>
      </w:r>
    </w:p>
    <w:p>
      <w:pPr>
        <w:jc w:val="center"/>
        <w:rPr>
          <w:rFonts w:ascii="仿宋_GB2312" w:eastAsia="仿宋_GB2312" w:hAnsi="仿宋" w:hint="eastAsia"/>
          <w:b/>
          <w:sz w:val="32"/>
          <w:szCs w:val="32"/>
        </w:rPr>
      </w:pPr>
    </w:p>
    <w:p>
      <w:pPr>
        <w:ind w:firstLineChars="200" w:firstLine="640"/>
        <w:jc w:val="center"/>
        <w:rPr>
          <w:rFonts w:ascii="仿宋_GB2312" w:eastAsia="仿宋_GB2312" w:hAnsi="仿宋" w:hint="eastAsia"/>
          <w:b/>
          <w:sz w:val="32"/>
          <w:szCs w:val="32"/>
        </w:rPr>
      </w:pPr>
      <w:r>
        <w:rPr>
          <w:rFonts w:ascii="仿宋_GB2312" w:eastAsia="仿宋_GB2312" w:hAnsi="仿宋" w:hint="eastAsia"/>
          <w:b/>
          <w:sz w:val="32"/>
          <w:szCs w:val="32"/>
        </w:rPr>
        <w:t>第一部分 2020年部门预算公开有关事项的说明</w:t>
      </w:r>
    </w:p>
    <w:p>
      <w:pPr>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一、部门职责及机构设置情况</w:t>
      </w:r>
    </w:p>
    <w:p>
      <w:pPr>
        <w:tabs>
          <w:tab w:val="left" w:pos="4820"/>
        </w:tabs>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二、部门预算安排的总体情况</w:t>
      </w:r>
    </w:p>
    <w:p>
      <w:pPr>
        <w:autoSpaceDE w:val="0"/>
        <w:autoSpaceDN w:val="0"/>
        <w:adjustRightInd w:val="0"/>
        <w:ind w:firstLineChars="200" w:firstLine="640"/>
        <w:jc w:val="left"/>
        <w:rPr>
          <w:rFonts w:ascii="仿宋_GB2312" w:eastAsia="仿宋_GB2312" w:hAnsi="黑体" w:hint="eastAsia"/>
          <w:sz w:val="32"/>
          <w:szCs w:val="32"/>
        </w:rPr>
      </w:pPr>
      <w:r>
        <w:rPr>
          <w:rFonts w:ascii="仿宋_GB2312" w:eastAsia="仿宋_GB2312" w:hAnsi="仿宋" w:hint="eastAsia"/>
          <w:sz w:val="32"/>
          <w:szCs w:val="32"/>
        </w:rPr>
        <w:t>三、机关</w:t>
      </w:r>
      <w:r>
        <w:rPr>
          <w:rFonts w:ascii="仿宋_GB2312" w:eastAsia="仿宋_GB2312" w:hAnsi="黑体" w:hint="eastAsia"/>
          <w:sz w:val="32"/>
          <w:szCs w:val="32"/>
        </w:rPr>
        <w:t>运行经费安排情况</w:t>
      </w:r>
    </w:p>
    <w:p>
      <w:pPr>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四、</w:t>
      </w:r>
      <w:r>
        <w:rPr>
          <w:rFonts w:ascii="仿宋_GB2312" w:eastAsia="仿宋_GB2312" w:hAnsi="黑体" w:hint="eastAsia"/>
          <w:sz w:val="32"/>
          <w:szCs w:val="32"/>
        </w:rPr>
        <w:t>财政拨款“三公”经费预算情况及增减变化原因</w:t>
      </w:r>
    </w:p>
    <w:p>
      <w:pPr>
        <w:autoSpaceDE w:val="0"/>
        <w:autoSpaceDN w:val="0"/>
        <w:adjustRightInd w:val="0"/>
        <w:ind w:firstLineChars="196" w:firstLine="627"/>
        <w:jc w:val="left"/>
        <w:rPr>
          <w:rFonts w:ascii="仿宋_GB2312" w:eastAsia="仿宋_GB2312" w:hAnsi="黑体" w:hint="eastAsia"/>
          <w:sz w:val="32"/>
          <w:szCs w:val="32"/>
        </w:rPr>
      </w:pPr>
      <w:r>
        <w:rPr>
          <w:rFonts w:ascii="仿宋_GB2312" w:eastAsia="仿宋_GB2312" w:hAnsi="仿宋" w:hint="eastAsia"/>
          <w:sz w:val="32"/>
          <w:szCs w:val="32"/>
        </w:rPr>
        <w:t>五、</w:t>
      </w:r>
      <w:r>
        <w:rPr>
          <w:rFonts w:ascii="仿宋_GB2312" w:eastAsia="仿宋_GB2312" w:hAnsi="黑体" w:hint="eastAsia"/>
          <w:sz w:val="32"/>
          <w:szCs w:val="32"/>
        </w:rPr>
        <w:t>绩效预算信息</w:t>
      </w:r>
    </w:p>
    <w:p>
      <w:pPr>
        <w:ind w:firstLineChars="200" w:firstLine="640"/>
        <w:jc w:val="left"/>
        <w:rPr>
          <w:rFonts w:ascii="仿宋_GB2312" w:eastAsia="仿宋_GB2312" w:hAnsi="黑体" w:hint="eastAsia"/>
          <w:sz w:val="32"/>
          <w:szCs w:val="32"/>
        </w:rPr>
      </w:pPr>
      <w:r>
        <w:rPr>
          <w:rFonts w:ascii="仿宋_GB2312" w:eastAsia="仿宋_GB2312" w:hAnsi="黑体" w:hint="eastAsia"/>
          <w:sz w:val="32"/>
          <w:szCs w:val="32"/>
        </w:rPr>
        <w:t>六、政府采购预算信息</w:t>
      </w:r>
    </w:p>
    <w:p>
      <w:pPr>
        <w:ind w:firstLineChars="200" w:firstLine="640"/>
        <w:jc w:val="left"/>
        <w:rPr>
          <w:rFonts w:ascii="仿宋_GB2312" w:eastAsia="仿宋_GB2312" w:hAnsi="仿宋" w:hint="eastAsia"/>
          <w:sz w:val="32"/>
          <w:szCs w:val="32"/>
        </w:rPr>
      </w:pPr>
      <w:r>
        <w:rPr>
          <w:rFonts w:ascii="仿宋_GB2312" w:eastAsia="仿宋_GB2312" w:hAnsi="黑体" w:hint="eastAsia"/>
          <w:sz w:val="32"/>
          <w:szCs w:val="32"/>
        </w:rPr>
        <w:t>七、</w:t>
      </w:r>
      <w:r>
        <w:rPr>
          <w:rFonts w:ascii="仿宋_GB2312" w:eastAsia="仿宋_GB2312" w:hAnsi="仿宋" w:hint="eastAsia"/>
          <w:sz w:val="32"/>
          <w:szCs w:val="32"/>
        </w:rPr>
        <w:t>国有资产信息</w:t>
      </w:r>
    </w:p>
    <w:p>
      <w:pPr>
        <w:autoSpaceDE w:val="0"/>
        <w:autoSpaceDN w:val="0"/>
        <w:adjustRightInd w:val="0"/>
        <w:ind w:firstLineChars="196" w:firstLine="627"/>
        <w:jc w:val="left"/>
        <w:rPr>
          <w:rFonts w:ascii="仿宋_GB2312" w:eastAsia="仿宋_GB2312" w:hAnsi="黑体" w:hint="eastAsia"/>
          <w:sz w:val="32"/>
          <w:szCs w:val="32"/>
        </w:rPr>
      </w:pPr>
      <w:r>
        <w:rPr>
          <w:rFonts w:ascii="仿宋_GB2312" w:eastAsia="仿宋_GB2312" w:hAnsi="仿宋" w:hint="eastAsia"/>
          <w:sz w:val="32"/>
          <w:szCs w:val="32"/>
        </w:rPr>
        <w:t>八</w:t>
      </w:r>
      <w:r>
        <w:rPr>
          <w:rFonts w:ascii="仿宋_GB2312" w:eastAsia="仿宋_GB2312" w:hAnsi="黑体" w:hint="eastAsia"/>
          <w:sz w:val="32"/>
          <w:szCs w:val="32"/>
        </w:rPr>
        <w:t>、</w:t>
      </w:r>
      <w:r>
        <w:rPr>
          <w:rFonts w:ascii="仿宋_GB2312" w:eastAsia="仿宋_GB2312" w:hAnsi="仿宋" w:hint="eastAsia"/>
          <w:sz w:val="32"/>
          <w:szCs w:val="32"/>
        </w:rPr>
        <w:t>名词解释</w:t>
      </w:r>
    </w:p>
    <w:p>
      <w:pPr>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九</w:t>
      </w:r>
      <w:r>
        <w:rPr>
          <w:rFonts w:ascii="仿宋_GB2312" w:eastAsia="仿宋_GB2312" w:hAnsi="黑体" w:hint="eastAsia"/>
          <w:sz w:val="32"/>
          <w:szCs w:val="32"/>
        </w:rPr>
        <w:t>、</w:t>
      </w:r>
      <w:r>
        <w:rPr>
          <w:rFonts w:ascii="仿宋_GB2312" w:eastAsia="仿宋_GB2312" w:hAnsi="仿宋" w:hint="eastAsia"/>
          <w:sz w:val="32"/>
          <w:szCs w:val="32"/>
        </w:rPr>
        <w:t>其他需要说明的事项</w:t>
      </w:r>
    </w:p>
    <w:p>
      <w:pPr>
        <w:ind w:firstLineChars="200" w:firstLine="640"/>
        <w:jc w:val="center"/>
        <w:rPr>
          <w:rFonts w:ascii="仿宋_GB2312" w:eastAsia="仿宋_GB2312" w:hAnsi="仿宋" w:hint="eastAsia"/>
          <w:b/>
          <w:sz w:val="32"/>
          <w:szCs w:val="32"/>
        </w:rPr>
      </w:pPr>
      <w:r>
        <w:rPr>
          <w:rFonts w:ascii="仿宋_GB2312" w:eastAsia="仿宋_GB2312" w:hAnsi="仿宋" w:hint="eastAsia"/>
          <w:b/>
          <w:sz w:val="32"/>
          <w:szCs w:val="32"/>
        </w:rPr>
        <w:t>第二部分 2020年部门预算公开报表</w:t>
      </w:r>
    </w:p>
    <w:p>
      <w:pPr>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一、部门预算收支总表</w:t>
      </w:r>
    </w:p>
    <w:p>
      <w:pPr>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二、部门预算收入总表</w:t>
      </w:r>
    </w:p>
    <w:p>
      <w:pPr>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三、部门预算支出总表</w:t>
      </w:r>
    </w:p>
    <w:p>
      <w:pPr>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四、部门预算财政拨款收支总表</w:t>
      </w:r>
    </w:p>
    <w:p>
      <w:pPr>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五、部门预算一般公共预算财政拨款支出表</w:t>
      </w:r>
    </w:p>
    <w:p>
      <w:pPr>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六、部门预算一般公共预算财政拨款基本支出表</w:t>
      </w:r>
    </w:p>
    <w:p>
      <w:pPr>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七、部门预算政府基金预算财政拨款支出表</w:t>
      </w:r>
    </w:p>
    <w:p>
      <w:pPr>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八、部门预算国有资本经营预算财政拨款支出表</w:t>
      </w:r>
    </w:p>
    <w:p>
      <w:pPr>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九、部门预算财政拨款“三公”经费支出表</w:t>
      </w:r>
    </w:p>
    <w:p>
      <w:pPr>
        <w:rPr>
          <w:rFonts w:ascii="仿宋_GB2312" w:eastAsia="仿宋_GB2312" w:hint="eastAsia"/>
          <w:sz w:val="22"/>
        </w:rPr>
      </w:pPr>
    </w:p>
    <w:p>
      <w:pPr>
        <w:spacing w:line="560" w:lineRule="exact"/>
        <w:ind w:leftChars="85" w:left="179" w:firstLineChars="200" w:firstLine="420"/>
        <w:rPr>
          <w:rFonts w:ascii="仿宋_GB2312" w:eastAsia="仿宋_GB2312" w:hAnsi="宋体" w:hint="eastAsia"/>
        </w:rPr>
      </w:pPr>
    </w:p>
    <w:p>
      <w:pPr>
        <w:spacing w:line="560" w:lineRule="exact"/>
        <w:ind w:leftChars="85" w:left="179" w:firstLineChars="200" w:firstLine="420"/>
        <w:rPr>
          <w:rFonts w:ascii="仿宋_GB2312" w:eastAsia="仿宋_GB2312" w:hAnsi="宋体" w:hint="eastAsia"/>
        </w:rPr>
      </w:pPr>
    </w:p>
    <w:p>
      <w:pPr>
        <w:spacing w:line="560" w:lineRule="exact"/>
        <w:ind w:leftChars="85" w:left="179" w:firstLineChars="200" w:firstLine="420"/>
        <w:rPr>
          <w:rFonts w:ascii="仿宋_GB2312" w:eastAsia="仿宋_GB2312" w:hAnsi="宋体" w:hint="eastAsia"/>
        </w:rPr>
      </w:pPr>
    </w:p>
    <w:p>
      <w:pPr>
        <w:spacing w:line="560" w:lineRule="exact"/>
        <w:ind w:leftChars="85" w:left="179" w:firstLineChars="200" w:firstLine="420"/>
        <w:rPr>
          <w:rFonts w:ascii="仿宋_GB2312" w:eastAsia="仿宋_GB2312" w:hAnsi="宋体" w:hint="eastAsia"/>
        </w:rPr>
      </w:pPr>
    </w:p>
    <w:p>
      <w:pPr>
        <w:spacing w:line="560" w:lineRule="exact"/>
        <w:ind w:leftChars="85" w:left="179" w:firstLineChars="200" w:firstLine="420"/>
        <w:rPr>
          <w:rFonts w:ascii="仿宋_GB2312" w:eastAsia="仿宋_GB2312" w:hAnsi="宋体" w:hint="eastAsia"/>
        </w:rPr>
      </w:pPr>
    </w:p>
    <w:p>
      <w:pPr>
        <w:spacing w:line="560" w:lineRule="exact"/>
        <w:ind w:leftChars="85" w:left="179" w:firstLineChars="200" w:firstLine="420"/>
        <w:rPr>
          <w:rFonts w:ascii="仿宋_GB2312" w:eastAsia="仿宋_GB2312" w:hAnsi="宋体" w:hint="eastAsia"/>
        </w:rPr>
      </w:pPr>
    </w:p>
    <w:p>
      <w:pPr>
        <w:spacing w:line="560" w:lineRule="exact"/>
        <w:ind w:leftChars="85" w:left="179" w:firstLineChars="200" w:firstLine="420"/>
        <w:rPr>
          <w:rFonts w:ascii="仿宋_GB2312" w:eastAsia="仿宋_GB2312" w:hAnsi="宋体" w:hint="eastAsia"/>
        </w:rPr>
      </w:pPr>
    </w:p>
    <w:p>
      <w:pPr>
        <w:spacing w:line="560" w:lineRule="exact"/>
        <w:ind w:leftChars="85" w:left="179" w:firstLineChars="200" w:firstLine="420"/>
        <w:rPr>
          <w:rFonts w:ascii="仿宋_GB2312" w:eastAsia="仿宋_GB2312" w:hAnsi="宋体" w:hint="eastAsia"/>
        </w:rPr>
      </w:pPr>
    </w:p>
    <w:p>
      <w:pPr>
        <w:spacing w:line="560" w:lineRule="exact"/>
        <w:ind w:leftChars="85" w:left="179" w:firstLineChars="200" w:firstLine="420"/>
        <w:rPr>
          <w:rFonts w:ascii="仿宋_GB2312" w:eastAsia="仿宋_GB2312" w:hAnsi="宋体" w:hint="eastAsia"/>
        </w:rPr>
      </w:pPr>
    </w:p>
    <w:p>
      <w:pPr>
        <w:spacing w:line="560" w:lineRule="exact"/>
        <w:ind w:leftChars="85" w:left="179" w:firstLineChars="200" w:firstLine="420"/>
        <w:rPr>
          <w:rFonts w:ascii="仿宋_GB2312" w:eastAsia="仿宋_GB2312" w:hAnsi="宋体" w:hint="eastAsia"/>
        </w:rPr>
      </w:pPr>
    </w:p>
    <w:p>
      <w:pPr>
        <w:spacing w:line="560" w:lineRule="exact"/>
        <w:ind w:leftChars="85" w:left="179" w:firstLineChars="200" w:firstLine="420"/>
        <w:rPr>
          <w:rFonts w:ascii="仿宋_GB2312" w:eastAsia="仿宋_GB2312" w:hAnsi="宋体" w:hint="eastAsia"/>
        </w:rPr>
      </w:pPr>
    </w:p>
    <w:p>
      <w:pPr>
        <w:spacing w:line="560" w:lineRule="exact"/>
        <w:ind w:leftChars="85" w:left="179" w:firstLineChars="200" w:firstLine="420"/>
        <w:rPr>
          <w:rFonts w:ascii="仿宋_GB2312" w:eastAsia="仿宋_GB2312" w:hAnsi="宋体" w:hint="eastAsia"/>
        </w:rPr>
      </w:pPr>
    </w:p>
    <w:p>
      <w:pPr>
        <w:spacing w:line="560" w:lineRule="exact"/>
        <w:ind w:leftChars="85" w:left="179" w:firstLineChars="200" w:firstLine="420"/>
        <w:rPr>
          <w:rFonts w:ascii="仿宋_GB2312" w:eastAsia="仿宋_GB2312" w:hAnsi="宋体" w:hint="eastAsia"/>
        </w:rPr>
      </w:pPr>
    </w:p>
    <w:p>
      <w:pPr>
        <w:spacing w:line="560" w:lineRule="exact"/>
        <w:ind w:leftChars="85" w:left="179" w:firstLineChars="200" w:firstLine="420"/>
        <w:rPr>
          <w:rFonts w:ascii="仿宋_GB2312" w:eastAsia="仿宋_GB2312" w:hAnsi="宋体" w:hint="eastAsia"/>
        </w:rPr>
      </w:pPr>
    </w:p>
    <w:p>
      <w:pPr>
        <w:spacing w:line="560" w:lineRule="exact"/>
        <w:ind w:leftChars="85" w:left="179" w:firstLineChars="200" w:firstLine="420"/>
        <w:rPr>
          <w:rFonts w:ascii="仿宋_GB2312" w:eastAsia="仿宋_GB2312" w:hAnsi="宋体" w:hint="eastAsia"/>
        </w:rPr>
      </w:pPr>
    </w:p>
    <w:p>
      <w:pPr>
        <w:spacing w:line="560" w:lineRule="exact"/>
        <w:ind w:leftChars="85" w:left="179" w:firstLineChars="200" w:firstLine="420"/>
        <w:rPr>
          <w:rFonts w:ascii="仿宋_GB2312" w:eastAsia="仿宋_GB2312" w:hAnsi="宋体" w:hint="eastAsia"/>
        </w:rPr>
      </w:pPr>
    </w:p>
    <w:p>
      <w:pPr>
        <w:spacing w:line="560" w:lineRule="exact"/>
        <w:ind w:leftChars="85" w:left="179" w:firstLineChars="200" w:firstLine="420"/>
        <w:rPr>
          <w:rFonts w:ascii="仿宋_GB2312" w:eastAsia="仿宋_GB2312" w:hAnsi="宋体" w:hint="eastAsia"/>
        </w:rPr>
      </w:pPr>
    </w:p>
    <w:p>
      <w:pPr>
        <w:spacing w:line="560" w:lineRule="exact"/>
        <w:ind w:firstLine="200"/>
        <w:rPr>
          <w:rFonts w:ascii="仿宋_GB2312" w:eastAsia="仿宋_GB2312" w:hAnsi="宋体" w:hint="eastAsia"/>
          <w:sz w:val="32"/>
          <w:szCs w:val="32"/>
        </w:rPr>
        <w:sectPr>
          <w:headerReference w:type="default" r:id="rId2"/>
          <w:pgSz w:w="11906" w:h="16838"/>
          <w:pgMar w:top="1985" w:right="1531" w:bottom="1701" w:left="1531" w:header="851" w:footer="992" w:gutter="0"/>
          <w:pgNumType/>
          <w:docGrid w:type="lines" w:linePitch="312" w:charSpace="0"/>
        </w:sectPr>
      </w:pPr>
    </w:p>
    <w:p>
      <w:pPr>
        <w:spacing w:line="560" w:lineRule="exact"/>
        <w:ind w:firstLine="200"/>
        <w:rPr>
          <w:rFonts w:ascii="仿宋_GB2312" w:eastAsia="仿宋_GB2312" w:hAnsi="宋体" w:hint="eastAsia"/>
          <w:sz w:val="32"/>
          <w:szCs w:val="32"/>
        </w:rPr>
      </w:pPr>
    </w:p>
    <w:p>
      <w:pPr>
        <w:spacing w:line="560" w:lineRule="exact"/>
        <w:ind w:firstLine="200"/>
        <w:rPr>
          <w:rFonts w:ascii="仿宋_GB2312" w:eastAsia="仿宋_GB2312" w:hAnsi="宋体" w:hint="eastAsia"/>
          <w:sz w:val="32"/>
          <w:szCs w:val="32"/>
        </w:rPr>
      </w:pPr>
    </w:p>
    <w:p>
      <w:pPr>
        <w:spacing w:line="560" w:lineRule="exact"/>
        <w:jc w:val="center"/>
        <w:rPr>
          <w:rFonts w:ascii="仿宋_GB2312" w:eastAsia="仿宋_GB2312" w:hint="eastAsia"/>
          <w:b/>
          <w:sz w:val="44"/>
          <w:szCs w:val="44"/>
        </w:rPr>
      </w:pPr>
      <w:r>
        <w:rPr>
          <w:rFonts w:ascii="仿宋_GB2312" w:eastAsia="仿宋_GB2312" w:hint="eastAsia"/>
          <w:b/>
          <w:sz w:val="44"/>
          <w:szCs w:val="44"/>
        </w:rPr>
        <w:t xml:space="preserve"> 唐山市丰南区财政局</w:t>
      </w:r>
    </w:p>
    <w:p>
      <w:pPr>
        <w:spacing w:line="560" w:lineRule="exact"/>
        <w:jc w:val="center"/>
        <w:rPr>
          <w:rFonts w:ascii="仿宋_GB2312" w:eastAsia="仿宋_GB2312" w:hint="eastAsia"/>
          <w:b/>
          <w:sz w:val="44"/>
          <w:szCs w:val="44"/>
        </w:rPr>
      </w:pPr>
      <w:r>
        <w:rPr>
          <w:rFonts w:ascii="仿宋_GB2312" w:eastAsia="仿宋_GB2312" w:hint="eastAsia"/>
          <w:b/>
          <w:sz w:val="44"/>
          <w:szCs w:val="44"/>
        </w:rPr>
        <w:t>2020年部门预算公开有关事项的说明</w:t>
      </w:r>
    </w:p>
    <w:p>
      <w:pPr>
        <w:spacing w:line="560" w:lineRule="exact"/>
        <w:ind w:firstLine="200"/>
        <w:jc w:val="center"/>
        <w:rPr>
          <w:rFonts w:ascii="仿宋_GB2312" w:eastAsia="仿宋_GB2312" w:hint="eastAsia"/>
          <w:b/>
          <w:sz w:val="44"/>
          <w:szCs w:val="44"/>
        </w:rPr>
      </w:pPr>
    </w:p>
    <w:p>
      <w:pPr>
        <w:spacing w:line="560" w:lineRule="exact"/>
        <w:ind w:firstLineChars="208" w:firstLine="669"/>
        <w:jc w:val="left"/>
        <w:rPr>
          <w:rFonts w:ascii="仿宋_GB2312" w:eastAsia="仿宋_GB2312" w:hint="eastAsia"/>
          <w:sz w:val="32"/>
          <w:szCs w:val="32"/>
        </w:rPr>
      </w:pPr>
      <w:r>
        <w:rPr>
          <w:rFonts w:ascii="仿宋_GB2312" w:eastAsia="仿宋_GB2312" w:hint="eastAsia"/>
          <w:sz w:val="32"/>
          <w:szCs w:val="32"/>
        </w:rPr>
        <w:t>按照《预算法》、《河北省预决算公开操作规程实施细则》规定，现将丰南区财政局2020年部门预算公开如下：</w:t>
      </w:r>
    </w:p>
    <w:p>
      <w:pPr>
        <w:widowControl/>
        <w:numPr>
          <w:ilvl w:val="0"/>
          <w:numId w:val="1"/>
        </w:numPr>
        <w:spacing w:line="560" w:lineRule="exact"/>
        <w:ind w:left="0" w:firstLineChars="200" w:firstLine="640"/>
        <w:textAlignment w:val="baseline"/>
        <w:rPr>
          <w:rFonts w:ascii="仿宋_GB2312" w:eastAsia="仿宋_GB2312" w:hint="eastAsia"/>
          <w:b/>
          <w:sz w:val="32"/>
          <w:szCs w:val="32"/>
        </w:rPr>
      </w:pPr>
      <w:r>
        <w:rPr>
          <w:rFonts w:ascii="仿宋_GB2312" w:eastAsia="仿宋_GB2312" w:hint="eastAsia"/>
          <w:b/>
          <w:sz w:val="32"/>
          <w:szCs w:val="32"/>
        </w:rPr>
        <w:t>部门职责及机构设置情况</w:t>
      </w:r>
    </w:p>
    <w:p>
      <w:pPr>
        <w:adjustRightInd w:val="0"/>
        <w:snapToGrid w:val="0"/>
        <w:spacing w:line="560" w:lineRule="exact"/>
        <w:ind w:leftChars="85" w:left="179" w:firstLine="540"/>
        <w:rPr>
          <w:rFonts w:ascii="仿宋_GB2312" w:eastAsia="仿宋_GB2312" w:hint="eastAsia"/>
          <w:bCs/>
          <w:sz w:val="32"/>
          <w:szCs w:val="32"/>
        </w:rPr>
      </w:pPr>
      <w:r>
        <w:rPr>
          <w:rFonts w:ascii="仿宋_GB2312" w:eastAsia="仿宋_GB2312" w:hint="eastAsia"/>
          <w:b/>
          <w:sz w:val="32"/>
          <w:szCs w:val="32"/>
        </w:rPr>
        <w:t>1、部门职责：</w:t>
      </w:r>
      <w:r>
        <w:rPr>
          <w:rFonts w:ascii="仿宋_GB2312" w:eastAsia="仿宋_GB2312" w:hint="eastAsia"/>
          <w:bCs/>
          <w:sz w:val="32"/>
          <w:szCs w:val="32"/>
        </w:rPr>
        <w:t>根据《唐山市丰南区财政局职能配置、内设机构和人员编制方案》规定，唐山市丰南区财政局的主要职责是：</w:t>
      </w:r>
    </w:p>
    <w:p>
      <w:pPr>
        <w:adjustRightInd w:val="0"/>
        <w:snapToGrid w:val="0"/>
        <w:spacing w:line="560" w:lineRule="exact"/>
        <w:ind w:leftChars="85" w:left="179" w:firstLine="540"/>
        <w:rPr>
          <w:rFonts w:ascii="仿宋_GB2312" w:eastAsia="仿宋_GB2312" w:hint="eastAsia"/>
          <w:bCs/>
          <w:sz w:val="32"/>
          <w:szCs w:val="32"/>
        </w:rPr>
      </w:pPr>
      <w:r>
        <w:rPr>
          <w:rFonts w:ascii="仿宋_GB2312" w:eastAsia="仿宋_GB2312" w:hint="eastAsia"/>
          <w:bCs/>
          <w:sz w:val="32"/>
          <w:szCs w:val="32"/>
        </w:rPr>
        <w:t>(1)贯彻执行国家财政发展战略、方针、政策和法律、法规；根据全区国民经济和社会发展总体规划，制定财政发展战略和中长期规划；拟订和执行区与乡镇、国家与地区的分配政策</w:t>
      </w:r>
    </w:p>
    <w:p>
      <w:pPr>
        <w:adjustRightInd w:val="0"/>
        <w:snapToGrid w:val="0"/>
        <w:spacing w:line="560" w:lineRule="exact"/>
        <w:ind w:leftChars="85" w:left="179" w:firstLine="540"/>
        <w:rPr>
          <w:rFonts w:ascii="仿宋_GB2312" w:eastAsia="仿宋_GB2312" w:hint="eastAsia"/>
          <w:bCs/>
          <w:sz w:val="32"/>
          <w:szCs w:val="32"/>
        </w:rPr>
      </w:pPr>
      <w:r>
        <w:rPr>
          <w:rFonts w:ascii="仿宋_GB2312" w:eastAsia="仿宋_GB2312" w:hint="eastAsia"/>
          <w:bCs/>
          <w:sz w:val="32"/>
          <w:szCs w:val="32"/>
        </w:rPr>
        <w:t>(2)编制全区年度财政预决算草案，执行区人大批准的财政预算；协调国、地税组织各项财政收入；管理有关政府性基金和行政事业性收费，拟定和执行政府采购政策，对全区行政事业单位小汽车编制进行管理；负责乡镇财政工作。</w:t>
      </w:r>
    </w:p>
    <w:p>
      <w:pPr>
        <w:adjustRightInd w:val="0"/>
        <w:snapToGrid w:val="0"/>
        <w:spacing w:line="560" w:lineRule="exact"/>
        <w:ind w:leftChars="85" w:left="179" w:firstLine="540"/>
        <w:rPr>
          <w:rFonts w:ascii="仿宋_GB2312" w:eastAsia="仿宋_GB2312" w:hint="eastAsia"/>
          <w:bCs/>
          <w:sz w:val="32"/>
          <w:szCs w:val="32"/>
        </w:rPr>
      </w:pPr>
      <w:r>
        <w:rPr>
          <w:rFonts w:ascii="仿宋_GB2312" w:eastAsia="仿宋_GB2312" w:hint="eastAsia"/>
          <w:bCs/>
          <w:sz w:val="32"/>
          <w:szCs w:val="32"/>
        </w:rPr>
        <w:t>(3)管理财政公共支出，按照有保有压的原则，确保全区经济建设和社会各项事业健康发展；管理国库账户和财政专户，国库支付实习零余额清算。</w:t>
      </w:r>
    </w:p>
    <w:p>
      <w:pPr>
        <w:adjustRightInd w:val="0"/>
        <w:snapToGrid w:val="0"/>
        <w:spacing w:line="560" w:lineRule="exact"/>
        <w:ind w:leftChars="85" w:left="179" w:firstLine="540"/>
        <w:rPr>
          <w:rFonts w:ascii="仿宋_GB2312" w:eastAsia="仿宋_GB2312" w:hint="eastAsia"/>
          <w:bCs/>
          <w:sz w:val="32"/>
          <w:szCs w:val="32"/>
        </w:rPr>
      </w:pPr>
      <w:r>
        <w:rPr>
          <w:rFonts w:ascii="仿宋_GB2312" w:eastAsia="仿宋_GB2312" w:hint="eastAsia"/>
          <w:bCs/>
          <w:sz w:val="32"/>
          <w:szCs w:val="32"/>
        </w:rPr>
        <w:t>(4)负责城市维护建设资金、财政性基本建设资金、国债专项资金的使用、管理和监督工作；研究拟定全区基本建设、发展改革、交通运输、环境保护、国土（国土专项资金）等部门、单位的财务管理制度及上述部门和所属事业单位年度预算执行、分析和监督；负责汽车下乡补贴、家电下乡补贴、成品油补贴、粮食补贴等政策性补贴资金工作。</w:t>
      </w:r>
    </w:p>
    <w:p>
      <w:pPr>
        <w:adjustRightInd w:val="0"/>
        <w:snapToGrid w:val="0"/>
        <w:spacing w:line="560" w:lineRule="exact"/>
        <w:ind w:leftChars="85" w:left="179" w:firstLine="540"/>
        <w:rPr>
          <w:rFonts w:ascii="仿宋_GB2312" w:eastAsia="仿宋_GB2312" w:hint="eastAsia"/>
          <w:bCs/>
          <w:sz w:val="32"/>
          <w:szCs w:val="32"/>
        </w:rPr>
      </w:pPr>
      <w:r>
        <w:rPr>
          <w:rFonts w:ascii="仿宋_GB2312" w:eastAsia="仿宋_GB2312" w:hint="eastAsia"/>
          <w:bCs/>
          <w:sz w:val="32"/>
          <w:szCs w:val="32"/>
        </w:rPr>
        <w:t>(5)研究拟订社会保障财务管理制度，编制区本级社会保障资金的预决算草案，负责办理区本级社会保障专项资金和基本建设资金业务。</w:t>
      </w:r>
    </w:p>
    <w:p>
      <w:pPr>
        <w:adjustRightInd w:val="0"/>
        <w:snapToGrid w:val="0"/>
        <w:spacing w:line="560" w:lineRule="exact"/>
        <w:ind w:leftChars="85" w:left="179" w:firstLine="540"/>
        <w:rPr>
          <w:rFonts w:ascii="仿宋_GB2312" w:eastAsia="仿宋_GB2312" w:hint="eastAsia"/>
          <w:bCs/>
          <w:sz w:val="32"/>
          <w:szCs w:val="32"/>
        </w:rPr>
      </w:pPr>
      <w:r>
        <w:rPr>
          <w:rFonts w:ascii="仿宋_GB2312" w:eastAsia="仿宋_GB2312" w:hint="eastAsia"/>
          <w:bCs/>
          <w:sz w:val="32"/>
          <w:szCs w:val="32"/>
        </w:rPr>
        <w:t>(6)负责全区国有企业、外商投资企业的财务管理，各类企业财源监控，农业保险业务管理。</w:t>
      </w:r>
    </w:p>
    <w:p>
      <w:pPr>
        <w:adjustRightInd w:val="0"/>
        <w:snapToGrid w:val="0"/>
        <w:spacing w:line="560" w:lineRule="exact"/>
        <w:ind w:leftChars="85" w:left="179" w:firstLine="540"/>
        <w:rPr>
          <w:rFonts w:ascii="仿宋_GB2312" w:eastAsia="仿宋_GB2312" w:hint="eastAsia"/>
          <w:bCs/>
          <w:sz w:val="32"/>
          <w:szCs w:val="32"/>
        </w:rPr>
      </w:pPr>
      <w:r>
        <w:rPr>
          <w:rFonts w:ascii="仿宋_GB2312" w:eastAsia="仿宋_GB2312" w:hint="eastAsia"/>
          <w:bCs/>
          <w:sz w:val="32"/>
          <w:szCs w:val="32"/>
        </w:rPr>
        <w:t>(7)贯彻执行国家和省市有关会计的法律法规，制定相关制度并监督执行，管理和指导全区会计工作。</w:t>
      </w:r>
    </w:p>
    <w:p>
      <w:pPr>
        <w:adjustRightInd w:val="0"/>
        <w:snapToGrid w:val="0"/>
        <w:spacing w:line="560" w:lineRule="exact"/>
        <w:ind w:leftChars="85" w:left="179" w:firstLine="540"/>
        <w:rPr>
          <w:rFonts w:ascii="仿宋_GB2312" w:eastAsia="仿宋_GB2312" w:hint="eastAsia"/>
          <w:bCs/>
          <w:sz w:val="32"/>
          <w:szCs w:val="32"/>
        </w:rPr>
      </w:pPr>
      <w:r>
        <w:rPr>
          <w:rFonts w:ascii="仿宋_GB2312" w:eastAsia="仿宋_GB2312" w:hint="eastAsia"/>
          <w:bCs/>
          <w:sz w:val="32"/>
          <w:szCs w:val="32"/>
        </w:rPr>
        <w:t>(8)拟订和执行财政监督的规章制度，监督检查财税方针政策、法律法规和规章制定的执行以及各类财政性资金的使用情况，规范财务行为。</w:t>
      </w:r>
    </w:p>
    <w:p>
      <w:pPr>
        <w:adjustRightInd w:val="0"/>
        <w:snapToGrid w:val="0"/>
        <w:spacing w:line="560" w:lineRule="exact"/>
        <w:ind w:leftChars="85" w:left="179" w:firstLine="540"/>
        <w:rPr>
          <w:rFonts w:ascii="仿宋_GB2312" w:eastAsia="仿宋_GB2312" w:hint="eastAsia"/>
          <w:bCs/>
          <w:sz w:val="32"/>
          <w:szCs w:val="32"/>
        </w:rPr>
      </w:pPr>
      <w:r>
        <w:rPr>
          <w:rFonts w:ascii="仿宋_GB2312" w:eastAsia="仿宋_GB2312" w:hint="eastAsia"/>
          <w:bCs/>
          <w:sz w:val="32"/>
          <w:szCs w:val="32"/>
        </w:rPr>
        <w:t>(9)负责全区世行贷款、亚行贷款及农业综合开发项目资金的管理工作，管理区政府的债权、债务。</w:t>
      </w:r>
    </w:p>
    <w:p>
      <w:pPr>
        <w:adjustRightInd w:val="0"/>
        <w:snapToGrid w:val="0"/>
        <w:spacing w:line="560" w:lineRule="exact"/>
        <w:ind w:leftChars="85" w:left="179" w:firstLine="540"/>
        <w:rPr>
          <w:rFonts w:ascii="仿宋_GB2312" w:eastAsia="仿宋_GB2312" w:hint="eastAsia"/>
          <w:bCs/>
          <w:sz w:val="32"/>
          <w:szCs w:val="32"/>
        </w:rPr>
      </w:pPr>
      <w:r>
        <w:rPr>
          <w:rFonts w:ascii="仿宋_GB2312" w:eastAsia="仿宋_GB2312" w:hint="eastAsia"/>
          <w:bCs/>
          <w:sz w:val="32"/>
          <w:szCs w:val="32"/>
        </w:rPr>
        <w:t>(10)负责全区国产日常管理工作，制定国有资产管理工作计划、规章制度，确保国有资产保值、增值。</w:t>
      </w:r>
    </w:p>
    <w:p>
      <w:pPr>
        <w:adjustRightInd w:val="0"/>
        <w:snapToGrid w:val="0"/>
        <w:spacing w:line="560" w:lineRule="exact"/>
        <w:ind w:leftChars="85" w:left="179" w:firstLine="540"/>
        <w:rPr>
          <w:rFonts w:ascii="仿宋_GB2312" w:eastAsia="仿宋_GB2312" w:hint="eastAsia"/>
          <w:bCs/>
          <w:sz w:val="32"/>
          <w:szCs w:val="32"/>
        </w:rPr>
      </w:pPr>
      <w:r>
        <w:rPr>
          <w:rFonts w:ascii="仿宋_GB2312" w:eastAsia="仿宋_GB2312" w:hint="eastAsia"/>
          <w:bCs/>
          <w:sz w:val="32"/>
          <w:szCs w:val="32"/>
        </w:rPr>
        <w:t>(11)负责土地出让金、商品住宅维修资金、保障性建设住房资金的管理工作和村级公益事业建设项目一事一议财政奖补工作；负责财政支出项目绩效评价工作。</w:t>
      </w:r>
    </w:p>
    <w:p>
      <w:pPr>
        <w:adjustRightInd w:val="0"/>
        <w:snapToGrid w:val="0"/>
        <w:spacing w:line="560" w:lineRule="exact"/>
        <w:ind w:leftChars="85" w:left="179" w:firstLine="540"/>
        <w:rPr>
          <w:rFonts w:ascii="仿宋_GB2312" w:eastAsia="仿宋_GB2312" w:hint="eastAsia"/>
          <w:bCs/>
          <w:sz w:val="32"/>
          <w:szCs w:val="32"/>
        </w:rPr>
      </w:pPr>
      <w:r>
        <w:rPr>
          <w:rFonts w:ascii="仿宋_GB2312" w:eastAsia="仿宋_GB2312" w:hint="eastAsia"/>
          <w:bCs/>
          <w:sz w:val="32"/>
          <w:szCs w:val="32"/>
        </w:rPr>
        <w:t>(12)负责财政系统人员教育培训和管理，负责财政信息和财政宣传调研工资。</w:t>
      </w:r>
    </w:p>
    <w:p>
      <w:pPr>
        <w:adjustRightInd w:val="0"/>
        <w:snapToGrid w:val="0"/>
        <w:spacing w:line="560" w:lineRule="exact"/>
        <w:ind w:leftChars="85" w:left="179" w:firstLine="540"/>
        <w:rPr>
          <w:rFonts w:ascii="仿宋_GB2312" w:eastAsia="仿宋_GB2312" w:hint="eastAsia"/>
          <w:bCs/>
          <w:sz w:val="32"/>
          <w:szCs w:val="32"/>
        </w:rPr>
      </w:pPr>
      <w:r>
        <w:rPr>
          <w:rFonts w:ascii="仿宋_GB2312" w:eastAsia="仿宋_GB2312" w:hint="eastAsia"/>
          <w:bCs/>
          <w:sz w:val="32"/>
          <w:szCs w:val="32"/>
        </w:rPr>
        <w:t>(13)管理乡镇财政所。</w:t>
      </w:r>
    </w:p>
    <w:p>
      <w:pPr>
        <w:adjustRightInd w:val="0"/>
        <w:snapToGrid w:val="0"/>
        <w:spacing w:line="560" w:lineRule="exact"/>
        <w:ind w:leftChars="85" w:left="179" w:firstLine="540"/>
        <w:rPr>
          <w:rFonts w:ascii="仿宋_GB2312" w:eastAsia="仿宋_GB2312" w:hint="eastAsia"/>
          <w:bCs/>
          <w:sz w:val="32"/>
          <w:szCs w:val="32"/>
        </w:rPr>
      </w:pPr>
      <w:r>
        <w:rPr>
          <w:rFonts w:ascii="仿宋_GB2312" w:eastAsia="仿宋_GB2312" w:hint="eastAsia"/>
          <w:bCs/>
          <w:sz w:val="32"/>
          <w:szCs w:val="32"/>
        </w:rPr>
        <w:t>(14)承办区政府交办的其他事项。</w:t>
      </w:r>
    </w:p>
    <w:p>
      <w:pPr>
        <w:adjustRightInd w:val="0"/>
        <w:snapToGrid w:val="0"/>
        <w:spacing w:line="560" w:lineRule="exact"/>
        <w:ind w:leftChars="85" w:left="179" w:firstLine="540"/>
        <w:rPr>
          <w:rFonts w:ascii="仿宋_GB2312" w:eastAsia="仿宋_GB2312" w:hint="eastAsia"/>
          <w:bCs/>
          <w:sz w:val="32"/>
          <w:szCs w:val="32"/>
        </w:rPr>
      </w:pPr>
      <w:r>
        <w:rPr>
          <w:rFonts w:ascii="仿宋_GB2312" w:eastAsia="仿宋_GB2312" w:hint="eastAsia"/>
          <w:bCs/>
          <w:sz w:val="32"/>
          <w:szCs w:val="32"/>
        </w:rPr>
        <w:t>根据《丰南区财政投资评审管理办法》规定，唐山市丰南区财政局还有以下职责：</w:t>
      </w:r>
    </w:p>
    <w:p>
      <w:pPr>
        <w:adjustRightInd w:val="0"/>
        <w:snapToGrid w:val="0"/>
        <w:spacing w:line="560" w:lineRule="exact"/>
        <w:ind w:leftChars="85" w:left="179" w:firstLine="540"/>
        <w:rPr>
          <w:rFonts w:ascii="仿宋_GB2312" w:eastAsia="仿宋_GB2312" w:hint="eastAsia"/>
          <w:bCs/>
          <w:sz w:val="32"/>
          <w:szCs w:val="32"/>
        </w:rPr>
      </w:pPr>
      <w:r>
        <w:rPr>
          <w:rFonts w:ascii="仿宋_GB2312" w:eastAsia="仿宋_GB2312" w:hint="eastAsia"/>
          <w:bCs/>
          <w:sz w:val="32"/>
          <w:szCs w:val="32"/>
        </w:rPr>
        <w:t>(1)根据授权对使用财政投资项目的概算、预算、工程价款结算进行评估与、专项核查、绩效评价；</w:t>
      </w:r>
    </w:p>
    <w:p>
      <w:pPr>
        <w:adjustRightInd w:val="0"/>
        <w:snapToGrid w:val="0"/>
        <w:spacing w:line="560" w:lineRule="exact"/>
        <w:ind w:leftChars="85" w:left="179" w:firstLine="540"/>
        <w:rPr>
          <w:rFonts w:ascii="仿宋_GB2312" w:eastAsia="仿宋_GB2312" w:hint="eastAsia"/>
          <w:bCs/>
          <w:sz w:val="32"/>
          <w:szCs w:val="32"/>
        </w:rPr>
      </w:pPr>
      <w:r>
        <w:rPr>
          <w:rFonts w:ascii="仿宋_GB2312" w:eastAsia="仿宋_GB2312" w:hint="eastAsia"/>
          <w:bCs/>
          <w:sz w:val="32"/>
          <w:szCs w:val="32"/>
        </w:rPr>
        <w:t>(2)对已安排建设项目的前期费用、施工图预算、工程招标标底、重大设计变更及调整预算进行评价审查；</w:t>
      </w:r>
    </w:p>
    <w:p>
      <w:pPr>
        <w:adjustRightInd w:val="0"/>
        <w:snapToGrid w:val="0"/>
        <w:spacing w:line="560" w:lineRule="exact"/>
        <w:ind w:leftChars="85" w:left="179" w:firstLine="540"/>
        <w:rPr>
          <w:rFonts w:ascii="仿宋_GB2312" w:eastAsia="仿宋_GB2312" w:hint="eastAsia"/>
          <w:bCs/>
          <w:sz w:val="32"/>
          <w:szCs w:val="32"/>
        </w:rPr>
      </w:pPr>
      <w:r>
        <w:rPr>
          <w:rFonts w:ascii="仿宋_GB2312" w:eastAsia="仿宋_GB2312" w:hint="eastAsia"/>
          <w:bCs/>
          <w:sz w:val="32"/>
          <w:szCs w:val="32"/>
        </w:rPr>
        <w:t>(3)建设单位没能力编制招标控制价的，由财政局委托社会中介咨询机构进行该项职能。</w:t>
      </w:r>
    </w:p>
    <w:p>
      <w:pPr>
        <w:adjustRightInd w:val="0"/>
        <w:snapToGrid w:val="0"/>
        <w:spacing w:line="560" w:lineRule="exact"/>
        <w:ind w:leftChars="85" w:left="179" w:firstLine="540"/>
        <w:rPr>
          <w:rFonts w:ascii="仿宋_GB2312" w:eastAsia="仿宋_GB2312" w:hint="eastAsia"/>
          <w:bCs/>
          <w:sz w:val="32"/>
          <w:szCs w:val="32"/>
        </w:rPr>
      </w:pPr>
      <w:r>
        <w:rPr>
          <w:rFonts w:ascii="仿宋_GB2312" w:eastAsia="仿宋_GB2312" w:cs="宋体" w:hAnsi="宋体" w:hint="eastAsia"/>
          <w:b/>
          <w:sz w:val="32"/>
          <w:szCs w:val="32"/>
        </w:rPr>
        <w:t>2、</w:t>
      </w:r>
      <w:r>
        <w:rPr>
          <w:rFonts w:ascii="仿宋_GB2312" w:eastAsia="仿宋_GB2312" w:hint="eastAsia"/>
          <w:b/>
          <w:sz w:val="32"/>
          <w:szCs w:val="32"/>
        </w:rPr>
        <w:t>机构设置：</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795"/>
        <w:gridCol w:w="1087"/>
        <w:gridCol w:w="1179"/>
        <w:gridCol w:w="2964"/>
      </w:tblGrid>
      <w:tr>
        <w:trPr>
          <w:trHeight w:val="560"/>
          <w:tblHeader/>
        </w:trPr>
        <w:tc>
          <w:tcPr>
            <w:tcW w:w="3795" w:type="dxa"/>
            <w:vMerge w:val="restart"/>
            <w:tcBorders>
              <w:tl2br w:val="nil"/>
              <w:tr2bl w:val="nil"/>
            </w:tcBorders>
            <w:vAlign w:val="center"/>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单位名称</w:t>
            </w:r>
          </w:p>
        </w:tc>
        <w:tc>
          <w:tcPr>
            <w:tcW w:w="1087" w:type="dxa"/>
            <w:vMerge w:val="restart"/>
            <w:tcBorders>
              <w:tl2br w:val="nil"/>
              <w:tr2bl w:val="nil"/>
            </w:tcBorders>
            <w:vAlign w:val="center"/>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单位性质</w:t>
            </w:r>
          </w:p>
        </w:tc>
        <w:tc>
          <w:tcPr>
            <w:tcW w:w="1179" w:type="dxa"/>
            <w:vMerge w:val="restart"/>
            <w:tcBorders>
              <w:tl2br w:val="nil"/>
              <w:tr2bl w:val="nil"/>
            </w:tcBorders>
            <w:vAlign w:val="center"/>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单位规格</w:t>
            </w:r>
          </w:p>
        </w:tc>
        <w:tc>
          <w:tcPr>
            <w:tcW w:w="2964" w:type="dxa"/>
            <w:vMerge w:val="restart"/>
            <w:tcBorders>
              <w:tl2br w:val="nil"/>
              <w:tr2bl w:val="nil"/>
            </w:tcBorders>
            <w:vAlign w:val="center"/>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经费保障形式</w:t>
            </w:r>
          </w:p>
        </w:tc>
      </w:tr>
      <w:tr>
        <w:trPr>
          <w:trHeight w:val="326"/>
          <w:tblHeader/>
        </w:trPr>
        <w:tc>
          <w:tcPr>
            <w:tcW w:w="3795" w:type="dxa"/>
            <w:vMerge/>
            <w:tcBorders>
              <w:tl2br w:val="nil"/>
              <w:tr2bl w:val="nil"/>
            </w:tcBorders>
            <w:vAlign w:val="center"/>
          </w:tcPr>
          <w:p/>
        </w:tc>
        <w:tc>
          <w:tcPr>
            <w:tcW w:w="1087" w:type="dxa"/>
            <w:vMerge/>
            <w:tcBorders>
              <w:tl2br w:val="nil"/>
              <w:tr2bl w:val="nil"/>
            </w:tcBorders>
            <w:vAlign w:val="center"/>
          </w:tcPr>
          <w:p/>
        </w:tc>
        <w:tc>
          <w:tcPr>
            <w:tcW w:w="1179" w:type="dxa"/>
            <w:vMerge/>
            <w:tcBorders>
              <w:tl2br w:val="nil"/>
              <w:tr2bl w:val="nil"/>
            </w:tcBorders>
            <w:vAlign w:val="center"/>
          </w:tcPr>
          <w:p/>
        </w:tc>
        <w:tc>
          <w:tcPr>
            <w:tcW w:w="2964" w:type="dxa"/>
            <w:vMerge/>
            <w:tcBorders>
              <w:tl2br w:val="nil"/>
              <w:tr2bl w:val="nil"/>
            </w:tcBorders>
            <w:vAlign w:val="center"/>
          </w:tcPr>
          <w:p/>
        </w:tc>
      </w:tr>
      <w:tr>
        <w:trPr>
          <w:trHeight w:val="326"/>
        </w:trPr>
        <w:tc>
          <w:tcPr>
            <w:tcW w:w="3795" w:type="dxa"/>
            <w:tcBorders>
              <w:tl2br w:val="nil"/>
              <w:tr2bl w:val="nil"/>
            </w:tcBorders>
            <w:vAlign w:val="bottom"/>
          </w:tcPr>
          <w:p>
            <w:pPr>
              <w:widowControl/>
              <w:spacing w:line="560" w:lineRule="exact"/>
              <w:jc w:val="left"/>
              <w:rPr>
                <w:rFonts w:eastAsia="方正书宋_GBK"/>
                <w:sz w:val="30"/>
                <w:szCs w:val="30"/>
              </w:rPr>
            </w:pPr>
            <w:r>
              <w:rPr>
                <w:rFonts w:ascii="仿宋" w:eastAsia="仿宋" w:cs="宋体" w:hAnsi="仿宋" w:hint="eastAsia"/>
                <w:kern w:val="0"/>
                <w:sz w:val="30"/>
                <w:szCs w:val="30"/>
              </w:rPr>
              <w:t>丰南区财政局（机关）</w:t>
            </w:r>
          </w:p>
        </w:tc>
        <w:tc>
          <w:tcPr>
            <w:tcW w:w="1087" w:type="dxa"/>
            <w:tcBorders>
              <w:tl2br w:val="nil"/>
              <w:tr2bl w:val="nil"/>
            </w:tcBorders>
            <w:vAlign w:val="bottom"/>
          </w:tcPr>
          <w:p>
            <w:pPr>
              <w:widowControl/>
              <w:spacing w:line="560" w:lineRule="exact"/>
              <w:jc w:val="center"/>
              <w:rPr>
                <w:rFonts w:eastAsia="方正书宋_GBK"/>
                <w:sz w:val="30"/>
                <w:szCs w:val="30"/>
              </w:rPr>
            </w:pPr>
            <w:r>
              <w:rPr>
                <w:rFonts w:ascii="仿宋" w:eastAsia="仿宋" w:cs="宋体" w:hAnsi="仿宋" w:hint="eastAsia"/>
                <w:kern w:val="0"/>
                <w:sz w:val="30"/>
                <w:szCs w:val="30"/>
              </w:rPr>
              <w:t>行政</w:t>
            </w:r>
          </w:p>
        </w:tc>
        <w:tc>
          <w:tcPr>
            <w:tcW w:w="1179" w:type="dxa"/>
            <w:tcBorders>
              <w:tl2br w:val="nil"/>
              <w:tr2bl w:val="nil"/>
            </w:tcBorders>
            <w:vAlign w:val="bottom"/>
          </w:tcPr>
          <w:p>
            <w:pPr>
              <w:widowControl/>
              <w:spacing w:line="560" w:lineRule="exact"/>
              <w:jc w:val="center"/>
              <w:rPr>
                <w:rFonts w:eastAsia="方正书宋_GBK"/>
                <w:sz w:val="30"/>
                <w:szCs w:val="30"/>
              </w:rPr>
            </w:pPr>
            <w:r>
              <w:rPr>
                <w:rFonts w:ascii="仿宋" w:eastAsia="仿宋" w:cs="宋体" w:hAnsi="仿宋" w:hint="eastAsia"/>
                <w:kern w:val="0"/>
                <w:sz w:val="30"/>
                <w:szCs w:val="30"/>
              </w:rPr>
              <w:t>正科级</w:t>
            </w:r>
          </w:p>
        </w:tc>
        <w:tc>
          <w:tcPr>
            <w:tcW w:w="2964" w:type="dxa"/>
            <w:tcBorders>
              <w:tl2br w:val="nil"/>
              <w:tr2bl w:val="nil"/>
            </w:tcBorders>
            <w:vAlign w:val="bottom"/>
          </w:tcPr>
          <w:p>
            <w:pPr>
              <w:widowControl/>
              <w:spacing w:line="560" w:lineRule="exact"/>
              <w:jc w:val="center"/>
              <w:rPr>
                <w:rFonts w:eastAsia="方正书宋_GBK"/>
                <w:sz w:val="30"/>
                <w:szCs w:val="30"/>
              </w:rPr>
            </w:pPr>
            <w:r>
              <w:rPr>
                <w:rFonts w:ascii="仿宋" w:eastAsia="仿宋" w:cs="宋体" w:hAnsi="仿宋" w:hint="eastAsia"/>
                <w:kern w:val="0"/>
                <w:sz w:val="30"/>
                <w:szCs w:val="30"/>
              </w:rPr>
              <w:t>财政拨款</w:t>
            </w:r>
          </w:p>
        </w:tc>
      </w:tr>
      <w:tr>
        <w:trPr>
          <w:trHeight w:val="497"/>
        </w:trPr>
        <w:tc>
          <w:tcPr>
            <w:tcW w:w="3795" w:type="dxa"/>
            <w:tcBorders>
              <w:tl2br w:val="nil"/>
              <w:tr2bl w:val="nil"/>
            </w:tcBorders>
            <w:vAlign w:val="bottom"/>
          </w:tcPr>
          <w:p>
            <w:pPr>
              <w:widowControl/>
              <w:spacing w:line="560" w:lineRule="exact"/>
              <w:jc w:val="left"/>
              <w:rPr>
                <w:rFonts w:eastAsia="方正书宋_GBK"/>
                <w:sz w:val="30"/>
                <w:szCs w:val="30"/>
              </w:rPr>
            </w:pPr>
            <w:r>
              <w:rPr>
                <w:rFonts w:ascii="仿宋" w:eastAsia="仿宋" w:cs="宋体" w:hAnsi="仿宋" w:hint="eastAsia"/>
                <w:kern w:val="0"/>
                <w:sz w:val="30"/>
                <w:szCs w:val="30"/>
              </w:rPr>
              <w:t>丰南区</w:t>
            </w:r>
            <w:r>
              <w:rPr>
                <w:rFonts w:ascii="仿宋_GB2312" w:eastAsia="仿宋_GB2312" w:hint="eastAsia"/>
                <w:bCs/>
                <w:sz w:val="32"/>
                <w:szCs w:val="32"/>
              </w:rPr>
              <w:t>财政集中支付中心</w:t>
            </w:r>
          </w:p>
        </w:tc>
        <w:tc>
          <w:tcPr>
            <w:tcW w:w="1087" w:type="dxa"/>
            <w:tcBorders>
              <w:tl2br w:val="nil"/>
              <w:tr2bl w:val="nil"/>
            </w:tcBorders>
            <w:vAlign w:val="bottom"/>
          </w:tcPr>
          <w:p>
            <w:pPr>
              <w:widowControl/>
              <w:spacing w:line="560" w:lineRule="exact"/>
              <w:jc w:val="center"/>
              <w:rPr>
                <w:rFonts w:eastAsia="方正书宋_GBK"/>
                <w:sz w:val="30"/>
                <w:szCs w:val="30"/>
              </w:rPr>
            </w:pPr>
            <w:r>
              <w:rPr>
                <w:rFonts w:ascii="仿宋" w:eastAsia="仿宋" w:cs="宋体" w:hAnsi="仿宋" w:hint="eastAsia"/>
                <w:kern w:val="0"/>
                <w:sz w:val="30"/>
                <w:szCs w:val="30"/>
              </w:rPr>
              <w:t>事业</w:t>
            </w:r>
          </w:p>
        </w:tc>
        <w:tc>
          <w:tcPr>
            <w:tcW w:w="1179" w:type="dxa"/>
            <w:tcBorders>
              <w:tl2br w:val="nil"/>
              <w:tr2bl w:val="nil"/>
            </w:tcBorders>
            <w:vAlign w:val="bottom"/>
          </w:tcPr>
          <w:p>
            <w:pPr>
              <w:widowControl/>
              <w:spacing w:line="560" w:lineRule="exact"/>
              <w:jc w:val="center"/>
              <w:rPr>
                <w:rFonts w:eastAsia="方正书宋_GBK"/>
                <w:sz w:val="30"/>
                <w:szCs w:val="30"/>
              </w:rPr>
            </w:pPr>
            <w:r>
              <w:rPr>
                <w:rFonts w:ascii="仿宋" w:eastAsia="仿宋" w:cs="宋体" w:hAnsi="仿宋" w:hint="eastAsia"/>
                <w:kern w:val="0"/>
                <w:sz w:val="30"/>
                <w:szCs w:val="30"/>
              </w:rPr>
              <w:t>股级</w:t>
            </w:r>
          </w:p>
        </w:tc>
        <w:tc>
          <w:tcPr>
            <w:tcW w:w="2964" w:type="dxa"/>
            <w:tcBorders>
              <w:tl2br w:val="nil"/>
              <w:tr2bl w:val="nil"/>
            </w:tcBorders>
            <w:vAlign w:val="bottom"/>
          </w:tcPr>
          <w:p>
            <w:pPr>
              <w:widowControl/>
              <w:spacing w:line="560" w:lineRule="exact"/>
              <w:jc w:val="center"/>
              <w:rPr>
                <w:rFonts w:eastAsia="方正书宋_GBK"/>
                <w:sz w:val="30"/>
                <w:szCs w:val="30"/>
              </w:rPr>
            </w:pPr>
            <w:r>
              <w:rPr>
                <w:rFonts w:ascii="仿宋" w:eastAsia="仿宋" w:cs="宋体" w:hAnsi="仿宋" w:hint="eastAsia"/>
                <w:kern w:val="0"/>
                <w:sz w:val="30"/>
                <w:szCs w:val="30"/>
              </w:rPr>
              <w:t>财政性资金基本保证</w:t>
            </w:r>
          </w:p>
        </w:tc>
      </w:tr>
      <w:tr>
        <w:trPr>
          <w:trHeight w:val="326"/>
        </w:trPr>
        <w:tc>
          <w:tcPr>
            <w:tcW w:w="3795" w:type="dxa"/>
            <w:tcBorders>
              <w:tl2br w:val="nil"/>
              <w:tr2bl w:val="nil"/>
            </w:tcBorders>
            <w:vAlign w:val="bottom"/>
          </w:tcPr>
          <w:p>
            <w:pPr>
              <w:widowControl/>
              <w:spacing w:line="560" w:lineRule="exact"/>
              <w:jc w:val="left"/>
              <w:rPr>
                <w:rFonts w:ascii="仿宋" w:eastAsia="仿宋" w:cs="宋体" w:hAnsi="仿宋" w:hint="eastAsia"/>
                <w:kern w:val="0"/>
                <w:sz w:val="30"/>
                <w:szCs w:val="30"/>
              </w:rPr>
            </w:pPr>
            <w:r>
              <w:rPr>
                <w:rFonts w:ascii="仿宋" w:eastAsia="仿宋" w:cs="宋体" w:hAnsi="仿宋" w:hint="eastAsia"/>
                <w:kern w:val="0"/>
                <w:sz w:val="30"/>
                <w:szCs w:val="30"/>
              </w:rPr>
              <w:t>丰南区财政信息中心</w:t>
            </w:r>
          </w:p>
        </w:tc>
        <w:tc>
          <w:tcPr>
            <w:tcW w:w="1087" w:type="dxa"/>
            <w:tcBorders>
              <w:tl2br w:val="nil"/>
              <w:tr2bl w:val="nil"/>
            </w:tcBorders>
            <w:vAlign w:val="bottom"/>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事业</w:t>
            </w:r>
          </w:p>
        </w:tc>
        <w:tc>
          <w:tcPr>
            <w:tcW w:w="1179" w:type="dxa"/>
            <w:tcBorders>
              <w:tl2br w:val="nil"/>
              <w:tr2bl w:val="nil"/>
            </w:tcBorders>
            <w:vAlign w:val="bottom"/>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股级</w:t>
            </w:r>
          </w:p>
        </w:tc>
        <w:tc>
          <w:tcPr>
            <w:tcW w:w="2964" w:type="dxa"/>
            <w:tcBorders>
              <w:tl2br w:val="nil"/>
              <w:tr2bl w:val="nil"/>
            </w:tcBorders>
            <w:vAlign w:val="bottom"/>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财政性资金基本保证</w:t>
            </w:r>
          </w:p>
        </w:tc>
      </w:tr>
      <w:tr>
        <w:trPr>
          <w:trHeight w:val="326"/>
        </w:trPr>
        <w:tc>
          <w:tcPr>
            <w:tcW w:w="3795" w:type="dxa"/>
            <w:tcBorders>
              <w:tl2br w:val="nil"/>
              <w:tr2bl w:val="nil"/>
            </w:tcBorders>
            <w:vAlign w:val="bottom"/>
          </w:tcPr>
          <w:p>
            <w:pPr>
              <w:widowControl/>
              <w:spacing w:line="560" w:lineRule="exact"/>
              <w:jc w:val="left"/>
              <w:rPr>
                <w:rFonts w:ascii="仿宋" w:eastAsia="仿宋" w:cs="宋体" w:hAnsi="仿宋" w:hint="eastAsia"/>
                <w:kern w:val="0"/>
                <w:sz w:val="30"/>
                <w:szCs w:val="30"/>
              </w:rPr>
            </w:pPr>
            <w:r>
              <w:rPr>
                <w:rFonts w:ascii="仿宋" w:eastAsia="仿宋" w:cs="宋体" w:hAnsi="仿宋" w:hint="eastAsia"/>
                <w:kern w:val="0"/>
                <w:sz w:val="30"/>
                <w:szCs w:val="30"/>
              </w:rPr>
              <w:t>丰南区</w:t>
            </w:r>
            <w:r>
              <w:rPr>
                <w:rFonts w:ascii="仿宋_GB2312" w:eastAsia="仿宋_GB2312" w:hint="eastAsia"/>
                <w:bCs/>
                <w:sz w:val="32"/>
                <w:szCs w:val="32"/>
              </w:rPr>
              <w:t>综合治税服务中心</w:t>
            </w:r>
          </w:p>
        </w:tc>
        <w:tc>
          <w:tcPr>
            <w:tcW w:w="1087" w:type="dxa"/>
            <w:tcBorders>
              <w:tl2br w:val="nil"/>
              <w:tr2bl w:val="nil"/>
            </w:tcBorders>
            <w:vAlign w:val="bottom"/>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事业</w:t>
            </w:r>
          </w:p>
        </w:tc>
        <w:tc>
          <w:tcPr>
            <w:tcW w:w="1179" w:type="dxa"/>
            <w:tcBorders>
              <w:tl2br w:val="nil"/>
              <w:tr2bl w:val="nil"/>
            </w:tcBorders>
            <w:vAlign w:val="bottom"/>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股级</w:t>
            </w:r>
          </w:p>
        </w:tc>
        <w:tc>
          <w:tcPr>
            <w:tcW w:w="2964" w:type="dxa"/>
            <w:tcBorders>
              <w:tl2br w:val="nil"/>
              <w:tr2bl w:val="nil"/>
            </w:tcBorders>
            <w:vAlign w:val="bottom"/>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财政性资金基本保证</w:t>
            </w:r>
          </w:p>
        </w:tc>
      </w:tr>
      <w:tr>
        <w:trPr>
          <w:trHeight w:val="326"/>
        </w:trPr>
        <w:tc>
          <w:tcPr>
            <w:tcW w:w="3795" w:type="dxa"/>
            <w:tcBorders>
              <w:tl2br w:val="nil"/>
              <w:tr2bl w:val="nil"/>
            </w:tcBorders>
            <w:vAlign w:val="bottom"/>
          </w:tcPr>
          <w:p>
            <w:pPr>
              <w:widowControl/>
              <w:spacing w:line="560" w:lineRule="exact"/>
              <w:jc w:val="left"/>
              <w:rPr>
                <w:rFonts w:ascii="仿宋" w:eastAsia="仿宋" w:cs="宋体" w:hAnsi="仿宋" w:hint="eastAsia"/>
                <w:kern w:val="0"/>
                <w:sz w:val="30"/>
                <w:szCs w:val="30"/>
              </w:rPr>
            </w:pPr>
            <w:r>
              <w:rPr>
                <w:rFonts w:ascii="仿宋" w:eastAsia="仿宋" w:cs="宋体" w:hAnsi="仿宋" w:hint="eastAsia"/>
                <w:kern w:val="0"/>
                <w:sz w:val="30"/>
                <w:szCs w:val="30"/>
              </w:rPr>
              <w:t>丰南区非税收入中心</w:t>
            </w:r>
          </w:p>
        </w:tc>
        <w:tc>
          <w:tcPr>
            <w:tcW w:w="1087" w:type="dxa"/>
            <w:tcBorders>
              <w:tl2br w:val="nil"/>
              <w:tr2bl w:val="nil"/>
            </w:tcBorders>
            <w:vAlign w:val="bottom"/>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参公</w:t>
            </w:r>
          </w:p>
        </w:tc>
        <w:tc>
          <w:tcPr>
            <w:tcW w:w="1179" w:type="dxa"/>
            <w:tcBorders>
              <w:tl2br w:val="nil"/>
              <w:tr2bl w:val="nil"/>
            </w:tcBorders>
            <w:vAlign w:val="bottom"/>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副科级</w:t>
            </w:r>
          </w:p>
        </w:tc>
        <w:tc>
          <w:tcPr>
            <w:tcW w:w="2964" w:type="dxa"/>
            <w:tcBorders>
              <w:tl2br w:val="nil"/>
              <w:tr2bl w:val="nil"/>
            </w:tcBorders>
            <w:vAlign w:val="bottom"/>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财政性资金基本保证</w:t>
            </w:r>
          </w:p>
        </w:tc>
      </w:tr>
      <w:tr>
        <w:trPr>
          <w:trHeight w:val="326"/>
        </w:trPr>
        <w:tc>
          <w:tcPr>
            <w:tcW w:w="3795" w:type="dxa"/>
            <w:tcBorders>
              <w:tl2br w:val="nil"/>
              <w:tr2bl w:val="nil"/>
            </w:tcBorders>
            <w:vAlign w:val="bottom"/>
          </w:tcPr>
          <w:p>
            <w:pPr>
              <w:widowControl/>
              <w:spacing w:line="560" w:lineRule="exact"/>
              <w:jc w:val="left"/>
              <w:rPr>
                <w:rFonts w:ascii="仿宋" w:eastAsia="仿宋" w:cs="宋体" w:hAnsi="仿宋" w:hint="eastAsia"/>
                <w:kern w:val="0"/>
                <w:sz w:val="30"/>
                <w:szCs w:val="30"/>
              </w:rPr>
            </w:pPr>
            <w:r>
              <w:rPr>
                <w:rFonts w:ascii="仿宋" w:eastAsia="仿宋" w:cs="宋体" w:hAnsi="仿宋" w:hint="eastAsia"/>
                <w:kern w:val="0"/>
                <w:sz w:val="30"/>
                <w:szCs w:val="30"/>
              </w:rPr>
              <w:t>丰南区财政投资评审中心</w:t>
            </w:r>
          </w:p>
        </w:tc>
        <w:tc>
          <w:tcPr>
            <w:tcW w:w="1087" w:type="dxa"/>
            <w:tcBorders>
              <w:tl2br w:val="nil"/>
              <w:tr2bl w:val="nil"/>
            </w:tcBorders>
            <w:vAlign w:val="bottom"/>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事业</w:t>
            </w:r>
          </w:p>
        </w:tc>
        <w:tc>
          <w:tcPr>
            <w:tcW w:w="1179" w:type="dxa"/>
            <w:tcBorders>
              <w:tl2br w:val="nil"/>
              <w:tr2bl w:val="nil"/>
            </w:tcBorders>
            <w:vAlign w:val="bottom"/>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股级</w:t>
            </w:r>
          </w:p>
        </w:tc>
        <w:tc>
          <w:tcPr>
            <w:tcW w:w="2964" w:type="dxa"/>
            <w:tcBorders>
              <w:tl2br w:val="nil"/>
              <w:tr2bl w:val="nil"/>
            </w:tcBorders>
            <w:vAlign w:val="bottom"/>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财政性资金基本保证</w:t>
            </w:r>
          </w:p>
        </w:tc>
      </w:tr>
      <w:tr>
        <w:trPr>
          <w:trHeight w:val="326"/>
        </w:trPr>
        <w:tc>
          <w:tcPr>
            <w:tcW w:w="3795" w:type="dxa"/>
            <w:tcBorders>
              <w:tl2br w:val="nil"/>
              <w:tr2bl w:val="nil"/>
            </w:tcBorders>
            <w:vAlign w:val="bottom"/>
          </w:tcPr>
          <w:p>
            <w:pPr>
              <w:widowControl/>
              <w:spacing w:line="560" w:lineRule="exact"/>
              <w:jc w:val="left"/>
              <w:rPr>
                <w:rFonts w:ascii="仿宋" w:eastAsia="仿宋" w:cs="宋体" w:hAnsi="仿宋" w:hint="eastAsia"/>
                <w:kern w:val="0"/>
                <w:sz w:val="30"/>
                <w:szCs w:val="30"/>
              </w:rPr>
            </w:pPr>
            <w:r>
              <w:rPr>
                <w:rFonts w:ascii="仿宋" w:eastAsia="仿宋" w:cs="宋体" w:hAnsi="仿宋" w:hint="eastAsia"/>
                <w:kern w:val="0"/>
                <w:sz w:val="30"/>
                <w:szCs w:val="30"/>
              </w:rPr>
              <w:t>唐山产权交易中心丰南代办处</w:t>
            </w:r>
          </w:p>
        </w:tc>
        <w:tc>
          <w:tcPr>
            <w:tcW w:w="1087" w:type="dxa"/>
            <w:tcBorders>
              <w:tl2br w:val="nil"/>
              <w:tr2bl w:val="nil"/>
            </w:tcBorders>
            <w:vAlign w:val="bottom"/>
          </w:tcPr>
          <w:p>
            <w:pPr>
              <w:widowControl/>
              <w:spacing w:line="24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自收自支事业</w:t>
            </w:r>
          </w:p>
        </w:tc>
        <w:tc>
          <w:tcPr>
            <w:tcW w:w="1179" w:type="dxa"/>
            <w:tcBorders>
              <w:tl2br w:val="nil"/>
              <w:tr2bl w:val="nil"/>
            </w:tcBorders>
            <w:vAlign w:val="bottom"/>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股级</w:t>
            </w:r>
          </w:p>
        </w:tc>
        <w:tc>
          <w:tcPr>
            <w:tcW w:w="2964" w:type="dxa"/>
            <w:tcBorders>
              <w:tl2br w:val="nil"/>
              <w:tr2bl w:val="nil"/>
            </w:tcBorders>
            <w:vAlign w:val="bottom"/>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财政性资金基本保证</w:t>
            </w:r>
          </w:p>
        </w:tc>
      </w:tr>
      <w:tr>
        <w:trPr>
          <w:trHeight w:val="326"/>
        </w:trPr>
        <w:tc>
          <w:tcPr>
            <w:tcW w:w="3795" w:type="dxa"/>
            <w:tcBorders>
              <w:tl2br w:val="nil"/>
              <w:tr2bl w:val="nil"/>
            </w:tcBorders>
            <w:vAlign w:val="bottom"/>
          </w:tcPr>
          <w:p>
            <w:pPr>
              <w:widowControl/>
              <w:spacing w:line="560" w:lineRule="exact"/>
              <w:jc w:val="left"/>
              <w:rPr>
                <w:rFonts w:ascii="仿宋" w:eastAsia="仿宋" w:cs="宋体" w:hAnsi="仿宋" w:hint="eastAsia"/>
                <w:kern w:val="0"/>
                <w:sz w:val="30"/>
                <w:szCs w:val="30"/>
              </w:rPr>
            </w:pPr>
            <w:r>
              <w:rPr>
                <w:rFonts w:ascii="仿宋" w:eastAsia="仿宋" w:cs="宋体" w:hAnsi="仿宋" w:hint="eastAsia"/>
                <w:kern w:val="0"/>
                <w:sz w:val="30"/>
                <w:szCs w:val="30"/>
              </w:rPr>
              <w:t>丰南区</w:t>
            </w:r>
            <w:r>
              <w:rPr>
                <w:rFonts w:ascii="仿宋_GB2312" w:eastAsia="仿宋_GB2312" w:hint="eastAsia"/>
                <w:bCs/>
                <w:sz w:val="32"/>
                <w:szCs w:val="32"/>
              </w:rPr>
              <w:t>投融资服务中心</w:t>
            </w:r>
          </w:p>
        </w:tc>
        <w:tc>
          <w:tcPr>
            <w:tcW w:w="1087" w:type="dxa"/>
            <w:tcBorders>
              <w:tl2br w:val="nil"/>
              <w:tr2bl w:val="nil"/>
            </w:tcBorders>
            <w:vAlign w:val="bottom"/>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事业</w:t>
            </w:r>
          </w:p>
        </w:tc>
        <w:tc>
          <w:tcPr>
            <w:tcW w:w="1179" w:type="dxa"/>
            <w:tcBorders>
              <w:tl2br w:val="nil"/>
              <w:tr2bl w:val="nil"/>
            </w:tcBorders>
            <w:vAlign w:val="bottom"/>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正科级</w:t>
            </w:r>
          </w:p>
        </w:tc>
        <w:tc>
          <w:tcPr>
            <w:tcW w:w="2964" w:type="dxa"/>
            <w:tcBorders>
              <w:tl2br w:val="nil"/>
              <w:tr2bl w:val="nil"/>
            </w:tcBorders>
            <w:vAlign w:val="bottom"/>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财政性资金基本保证</w:t>
            </w:r>
          </w:p>
        </w:tc>
      </w:tr>
      <w:tr>
        <w:trPr>
          <w:trHeight w:val="326"/>
        </w:trPr>
        <w:tc>
          <w:tcPr>
            <w:tcW w:w="3795" w:type="dxa"/>
            <w:tcBorders>
              <w:tl2br w:val="nil"/>
              <w:tr2bl w:val="nil"/>
            </w:tcBorders>
            <w:vAlign w:val="bottom"/>
          </w:tcPr>
          <w:p>
            <w:pPr>
              <w:widowControl/>
              <w:spacing w:line="560" w:lineRule="exact"/>
              <w:jc w:val="left"/>
              <w:rPr>
                <w:rFonts w:ascii="仿宋" w:eastAsia="仿宋" w:cs="宋体" w:hAnsi="仿宋" w:hint="eastAsia"/>
                <w:kern w:val="0"/>
                <w:sz w:val="30"/>
                <w:szCs w:val="30"/>
              </w:rPr>
            </w:pPr>
            <w:r>
              <w:rPr>
                <w:rFonts w:ascii="仿宋" w:eastAsia="仿宋" w:cs="宋体" w:hAnsi="仿宋" w:hint="eastAsia"/>
                <w:kern w:val="0"/>
                <w:sz w:val="30"/>
                <w:szCs w:val="30"/>
              </w:rPr>
              <w:t>丰南区政府</w:t>
            </w:r>
            <w:r>
              <w:rPr>
                <w:rFonts w:ascii="仿宋_GB2312" w:eastAsia="仿宋_GB2312" w:hint="eastAsia"/>
                <w:bCs/>
                <w:sz w:val="32"/>
                <w:szCs w:val="32"/>
              </w:rPr>
              <w:t>筹资服务中心</w:t>
            </w:r>
          </w:p>
        </w:tc>
        <w:tc>
          <w:tcPr>
            <w:tcW w:w="1087" w:type="dxa"/>
            <w:tcBorders>
              <w:tl2br w:val="nil"/>
              <w:tr2bl w:val="nil"/>
            </w:tcBorders>
            <w:vAlign w:val="bottom"/>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参公</w:t>
            </w:r>
          </w:p>
        </w:tc>
        <w:tc>
          <w:tcPr>
            <w:tcW w:w="1179" w:type="dxa"/>
            <w:tcBorders>
              <w:tl2br w:val="nil"/>
              <w:tr2bl w:val="nil"/>
            </w:tcBorders>
            <w:vAlign w:val="bottom"/>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正科级</w:t>
            </w:r>
          </w:p>
        </w:tc>
        <w:tc>
          <w:tcPr>
            <w:tcW w:w="2964" w:type="dxa"/>
            <w:tcBorders>
              <w:tl2br w:val="nil"/>
              <w:tr2bl w:val="nil"/>
            </w:tcBorders>
            <w:vAlign w:val="bottom"/>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财政性资金基本保证</w:t>
            </w:r>
          </w:p>
        </w:tc>
      </w:tr>
      <w:tr>
        <w:trPr>
          <w:trHeight w:val="326"/>
        </w:trPr>
        <w:tc>
          <w:tcPr>
            <w:tcW w:w="3795" w:type="dxa"/>
            <w:tcBorders>
              <w:tl2br w:val="nil"/>
              <w:tr2bl w:val="nil"/>
            </w:tcBorders>
            <w:vAlign w:val="bottom"/>
          </w:tcPr>
          <w:p>
            <w:pPr>
              <w:widowControl/>
              <w:spacing w:line="560" w:lineRule="exact"/>
              <w:jc w:val="left"/>
              <w:rPr>
                <w:rFonts w:ascii="仿宋" w:eastAsia="仿宋" w:cs="宋体" w:hAnsi="仿宋" w:hint="eastAsia"/>
                <w:kern w:val="0"/>
                <w:sz w:val="30"/>
                <w:szCs w:val="30"/>
              </w:rPr>
            </w:pPr>
            <w:r>
              <w:rPr>
                <w:rFonts w:ascii="仿宋" w:eastAsia="仿宋" w:cs="宋体" w:hAnsi="仿宋" w:hint="eastAsia"/>
                <w:kern w:val="0"/>
                <w:sz w:val="30"/>
                <w:szCs w:val="30"/>
              </w:rPr>
              <w:t>丰南区</w:t>
            </w:r>
            <w:r>
              <w:rPr>
                <w:rFonts w:ascii="仿宋_GB2312" w:eastAsia="仿宋_GB2312" w:hint="eastAsia"/>
                <w:bCs/>
                <w:sz w:val="32"/>
                <w:szCs w:val="32"/>
              </w:rPr>
              <w:t>政府采购科</w:t>
            </w:r>
          </w:p>
        </w:tc>
        <w:tc>
          <w:tcPr>
            <w:tcW w:w="1087" w:type="dxa"/>
            <w:tcBorders>
              <w:tl2br w:val="nil"/>
              <w:tr2bl w:val="nil"/>
            </w:tcBorders>
            <w:vAlign w:val="bottom"/>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事业</w:t>
            </w:r>
          </w:p>
        </w:tc>
        <w:tc>
          <w:tcPr>
            <w:tcW w:w="1179" w:type="dxa"/>
            <w:tcBorders>
              <w:tl2br w:val="nil"/>
              <w:tr2bl w:val="nil"/>
            </w:tcBorders>
            <w:vAlign w:val="bottom"/>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股级</w:t>
            </w:r>
          </w:p>
        </w:tc>
        <w:tc>
          <w:tcPr>
            <w:tcW w:w="2964" w:type="dxa"/>
            <w:tcBorders>
              <w:tl2br w:val="nil"/>
              <w:tr2bl w:val="nil"/>
            </w:tcBorders>
            <w:vAlign w:val="bottom"/>
          </w:tcPr>
          <w:p>
            <w:pPr>
              <w:widowControl/>
              <w:spacing w:line="560" w:lineRule="exact"/>
              <w:jc w:val="center"/>
              <w:rPr>
                <w:rFonts w:ascii="仿宋" w:eastAsia="仿宋" w:cs="宋体" w:hAnsi="仿宋" w:hint="eastAsia"/>
                <w:kern w:val="0"/>
                <w:sz w:val="30"/>
                <w:szCs w:val="30"/>
              </w:rPr>
            </w:pPr>
            <w:r>
              <w:rPr>
                <w:rFonts w:ascii="仿宋" w:eastAsia="仿宋" w:cs="宋体" w:hAnsi="仿宋" w:hint="eastAsia"/>
                <w:kern w:val="0"/>
                <w:sz w:val="30"/>
                <w:szCs w:val="30"/>
              </w:rPr>
              <w:t>财政性资金基本保证</w:t>
            </w:r>
          </w:p>
        </w:tc>
      </w:tr>
    </w:tbl>
    <w:p>
      <w:pPr>
        <w:adjustRightInd w:val="0"/>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注：我部门纳入预算管理的核算单位有1个单位，</w:t>
      </w:r>
    </w:p>
    <w:p>
      <w:pPr>
        <w:adjustRightInd w:val="0"/>
        <w:snapToGrid w:val="0"/>
        <w:spacing w:line="560" w:lineRule="exact"/>
        <w:ind w:firstLineChars="200" w:firstLine="640"/>
        <w:rPr>
          <w:rFonts w:ascii="仿宋_GB2312" w:eastAsia="仿宋_GB2312" w:hAnsi="仿宋" w:hint="eastAsia"/>
          <w:sz w:val="32"/>
          <w:szCs w:val="32"/>
        </w:rPr>
      </w:pPr>
      <w:r>
        <w:rPr>
          <w:rFonts w:ascii="仿宋_GB2312" w:eastAsia="仿宋_GB2312" w:hAnsi="宋体" w:hint="eastAsia"/>
          <w:sz w:val="32"/>
          <w:szCs w:val="32"/>
        </w:rPr>
        <w:t>分别为</w:t>
      </w:r>
      <w:r>
        <w:rPr>
          <w:rFonts w:ascii="仿宋_GB2312" w:eastAsia="仿宋_GB2312" w:hAnsi="仿宋" w:hint="eastAsia"/>
          <w:sz w:val="32"/>
          <w:szCs w:val="32"/>
        </w:rPr>
        <w:t>1单位，单位规格及性质为财政拨款的行政机关，机构规格正科级单位，经费保障形式为财政拨款。</w:t>
      </w:r>
    </w:p>
    <w:p>
      <w:pPr>
        <w:adjustRightInd w:val="0"/>
        <w:snapToGrid w:val="0"/>
        <w:spacing w:line="560" w:lineRule="exact"/>
        <w:ind w:leftChars="85" w:left="179" w:firstLine="540"/>
        <w:rPr>
          <w:rFonts w:ascii="仿宋_GB2312" w:eastAsia="仿宋_GB2312" w:hint="eastAsia"/>
          <w:bCs/>
          <w:sz w:val="32"/>
          <w:szCs w:val="32"/>
        </w:rPr>
      </w:pPr>
      <w:r>
        <w:rPr>
          <w:rFonts w:ascii="仿宋_GB2312" w:eastAsia="仿宋_GB2312" w:hint="eastAsia"/>
          <w:bCs/>
          <w:sz w:val="32"/>
          <w:szCs w:val="32"/>
        </w:rPr>
        <w:t>内设11个科室，所属事业单位10，辖15个乡镇财政所、1个开发区财政局。财政局预算范围是局机关内设11个科室，分别是综合办公室、人事教育科、预算科、国库科、监督评价科、社会保障科、农业农村科、文行科、经济建设科、资产管理科、政府采购科；所属事业单位分别是区筹资服务中心、区投融资服务中心、政府债务管理科、区非税收入中心、信息中心、投资评审中心、财政集中支付中心、综合治税服务中心、会计服务中心、唐山市产权交易中心丰南代办中心。</w:t>
      </w:r>
    </w:p>
    <w:p>
      <w:pPr>
        <w:adjustRightInd w:val="0"/>
        <w:snapToGrid w:val="0"/>
        <w:spacing w:line="560" w:lineRule="exact"/>
        <w:rPr>
          <w:rFonts w:ascii="仿宋_GB2312" w:eastAsia="仿宋_GB2312" w:hAnsi="仿宋" w:hint="eastAsia"/>
          <w:b/>
          <w:bCs/>
          <w:sz w:val="32"/>
          <w:szCs w:val="32"/>
        </w:rPr>
      </w:pPr>
      <w:r>
        <w:rPr>
          <w:rFonts w:ascii="仿宋_GB2312" w:eastAsia="仿宋_GB2312" w:hAnsi="仿宋" w:hint="eastAsia"/>
          <w:b/>
          <w:bCs/>
          <w:sz w:val="32"/>
          <w:szCs w:val="32"/>
        </w:rPr>
        <w:t xml:space="preserve">     3、人员构成</w:t>
      </w:r>
    </w:p>
    <w:p>
      <w:pPr>
        <w:adjustRightInd w:val="0"/>
        <w:snapToGrid w:val="0"/>
        <w:spacing w:line="560" w:lineRule="exact"/>
        <w:ind w:leftChars="85" w:left="179" w:firstLine="540"/>
        <w:rPr>
          <w:rFonts w:ascii="仿宋_GB2312" w:eastAsia="仿宋_GB2312" w:hAnsi="仿宋" w:hint="eastAsia"/>
          <w:sz w:val="32"/>
          <w:szCs w:val="32"/>
        </w:rPr>
      </w:pPr>
      <w:r>
        <w:rPr>
          <w:rFonts w:ascii="仿宋_GB2312" w:eastAsia="仿宋_GB2312" w:hAnsi="仿宋" w:hint="eastAsia"/>
          <w:sz w:val="32"/>
          <w:szCs w:val="32"/>
        </w:rPr>
        <w:t>我部门财政供养实有在职228人，其中行政编制19人、工勤编制3人、事业编制148、自收自支33人，人事代理21人、研究生2人、非在编聘用制2人。离退休人员62人。劳务派遣及其他临时人员 31人。</w:t>
      </w:r>
    </w:p>
    <w:p>
      <w:pPr>
        <w:ind w:firstLine="640"/>
        <w:rPr>
          <w:rFonts w:ascii="方正仿宋_GBK" w:eastAsia="方正仿宋_GBK" w:cs="方正仿宋_GBK" w:hAnsi="方正仿宋_GBK" w:hint="eastAsia"/>
          <w:b/>
          <w:bCs/>
          <w:sz w:val="32"/>
          <w:szCs w:val="32"/>
        </w:rPr>
      </w:pPr>
      <w:r>
        <w:rPr>
          <w:rFonts w:ascii="方正仿宋_GBK" w:eastAsia="方正仿宋_GBK" w:cs="方正仿宋_GBK" w:hAnsi="方正仿宋_GBK" w:hint="eastAsia"/>
          <w:b/>
          <w:bCs/>
          <w:sz w:val="32"/>
          <w:szCs w:val="32"/>
        </w:rPr>
        <w:t>二、部门预算安排的总体情况</w:t>
      </w:r>
    </w:p>
    <w:p>
      <w:pPr>
        <w:widowControl/>
        <w:adjustRightInd w:val="0"/>
        <w:snapToGrid w:val="0"/>
        <w:spacing w:line="560" w:lineRule="exact"/>
        <w:ind w:firstLineChars="200" w:firstLine="640"/>
        <w:rPr>
          <w:rFonts w:ascii="仿宋_GB2312" w:eastAsia="仿宋_GB2312" w:hAnsi="黑体" w:hint="eastAsia"/>
          <w:sz w:val="32"/>
          <w:szCs w:val="32"/>
        </w:rPr>
      </w:pPr>
      <w:r>
        <w:rPr>
          <w:rFonts w:ascii="仿宋_GB2312" w:eastAsia="仿宋_GB2312" w:hAnsi="黑体" w:hint="eastAsia"/>
          <w:b/>
          <w:sz w:val="32"/>
          <w:szCs w:val="32"/>
        </w:rPr>
        <w:t>1、收入预算说明</w:t>
      </w:r>
    </w:p>
    <w:p>
      <w:pPr>
        <w:adjustRightInd w:val="0"/>
        <w:snapToGrid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 xml:space="preserve"> 2020年部门收入预算45982.88万元，其中：一般公共预算拨款39479.38万元，政府性基金预算拨款6503.5万元，国有资本经营预算拨款0万元，财政专户核拨0万元，其它来源收入0万元。</w:t>
      </w:r>
    </w:p>
    <w:p>
      <w:pPr>
        <w:widowControl/>
        <w:adjustRightInd w:val="0"/>
        <w:snapToGrid w:val="0"/>
        <w:spacing w:line="560" w:lineRule="exact"/>
        <w:ind w:firstLineChars="200" w:firstLine="640"/>
        <w:rPr>
          <w:rFonts w:ascii="仿宋_GB2312" w:eastAsia="仿宋_GB2312" w:hAnsi="黑体" w:hint="eastAsia"/>
          <w:b/>
          <w:sz w:val="32"/>
          <w:szCs w:val="32"/>
        </w:rPr>
      </w:pPr>
      <w:r>
        <w:rPr>
          <w:rFonts w:ascii="仿宋_GB2312" w:eastAsia="仿宋_GB2312" w:hAnsi="黑体" w:hint="eastAsia"/>
          <w:b/>
          <w:sz w:val="32"/>
          <w:szCs w:val="32"/>
        </w:rPr>
        <w:t xml:space="preserve">2、支出预算说明 </w:t>
      </w:r>
    </w:p>
    <w:p>
      <w:pPr>
        <w:widowControl/>
        <w:spacing w:line="560" w:lineRule="exact"/>
        <w:ind w:firstLineChars="200" w:firstLine="640"/>
        <w:rPr>
          <w:rFonts w:ascii="仿宋_GB2312" w:eastAsia="仿宋_GB2312" w:hAnsi="仿宋" w:hint="eastAsia"/>
          <w:sz w:val="32"/>
          <w:szCs w:val="32"/>
        </w:rPr>
      </w:pPr>
      <w:r>
        <w:rPr>
          <w:rFonts w:ascii="仿宋_GB2312" w:eastAsia="仿宋_GB2312" w:hAnsi="黑体" w:hint="eastAsia"/>
          <w:sz w:val="32"/>
          <w:szCs w:val="32"/>
        </w:rPr>
        <w:t xml:space="preserve">  </w:t>
      </w:r>
      <w:r>
        <w:rPr>
          <w:rFonts w:ascii="仿宋_GB2312" w:eastAsia="仿宋_GB2312" w:hAnsi="仿宋" w:hint="eastAsia"/>
          <w:sz w:val="32"/>
          <w:szCs w:val="32"/>
        </w:rPr>
        <w:t xml:space="preserve">  2020年支出预算45982.88万元，其中：人员经费支出2944.94万元，日常公用经费支出357.34万元；项目支出42680.60万元，</w:t>
      </w:r>
      <w:r>
        <w:rPr>
          <w:rFonts w:eastAsia="仿宋" w:hint="eastAsia"/>
          <w:sz w:val="32"/>
          <w:szCs w:val="32"/>
        </w:rPr>
        <w:t>主要</w:t>
      </w:r>
      <w:r>
        <w:rPr>
          <w:rFonts w:ascii="仿宋" w:eastAsia="仿宋" w:cs="仿宋" w:hAnsi="仿宋" w:hint="eastAsia"/>
          <w:sz w:val="32"/>
          <w:szCs w:val="32"/>
        </w:rPr>
        <w:t>用于债务管理、农业保险保费等专项资金。</w:t>
      </w:r>
    </w:p>
    <w:p>
      <w:pPr>
        <w:autoSpaceDE w:val="0"/>
        <w:autoSpaceDN w:val="0"/>
        <w:adjustRightInd w:val="0"/>
        <w:snapToGrid w:val="0"/>
        <w:spacing w:line="560" w:lineRule="exact"/>
        <w:ind w:firstLineChars="200" w:firstLine="640"/>
        <w:jc w:val="left"/>
        <w:rPr>
          <w:rFonts w:ascii="仿宋_GB2312" w:eastAsia="仿宋_GB2312" w:hAnsi="黑体" w:hint="eastAsia"/>
          <w:b/>
          <w:sz w:val="32"/>
          <w:szCs w:val="32"/>
        </w:rPr>
      </w:pPr>
      <w:r>
        <w:rPr>
          <w:rFonts w:ascii="仿宋_GB2312" w:eastAsia="仿宋_GB2312" w:hAnsi="黑体" w:hint="eastAsia"/>
          <w:b/>
          <w:sz w:val="32"/>
          <w:szCs w:val="32"/>
        </w:rPr>
        <w:t>3、部门预算较上年增减情况</w:t>
      </w:r>
    </w:p>
    <w:p>
      <w:pPr>
        <w:adjustRightInd w:val="0"/>
        <w:snapToGrid w:val="0"/>
        <w:spacing w:line="560" w:lineRule="exact"/>
        <w:ind w:firstLine="640"/>
        <w:rPr>
          <w:rFonts w:ascii="仿宋_GB2312" w:eastAsia="仿宋_GB2312" w:hAnsi="仿宋" w:hint="eastAsia"/>
          <w:sz w:val="32"/>
          <w:szCs w:val="32"/>
        </w:rPr>
      </w:pPr>
      <w:r>
        <w:rPr>
          <w:rFonts w:ascii="仿宋_GB2312" w:eastAsia="仿宋_GB2312" w:hAnsi="仿宋" w:hint="eastAsia"/>
          <w:sz w:val="32"/>
          <w:szCs w:val="32"/>
        </w:rPr>
        <w:t>2020年收入预算较2019年增长4940.88万元，主要由于</w:t>
      </w:r>
      <w:r>
        <w:rPr>
          <w:rFonts w:ascii="仿宋" w:eastAsia="仿宋" w:cs="仿宋" w:hAnsi="仿宋" w:hint="eastAsia"/>
          <w:sz w:val="32"/>
          <w:szCs w:val="32"/>
        </w:rPr>
        <w:t>增加偿还贷款项目资金及农业综合改革资金等</w:t>
      </w:r>
      <w:r>
        <w:rPr>
          <w:rFonts w:ascii="仿宋_GB2312" w:eastAsia="仿宋_GB2312" w:hAnsi="仿宋" w:hint="eastAsia"/>
          <w:sz w:val="32"/>
          <w:szCs w:val="32"/>
        </w:rPr>
        <w:t>。</w:t>
      </w:r>
    </w:p>
    <w:p>
      <w:pPr>
        <w:adjustRightInd w:val="0"/>
        <w:snapToGrid w:val="0"/>
        <w:spacing w:line="560" w:lineRule="exact"/>
        <w:ind w:firstLine="640"/>
        <w:rPr>
          <w:rFonts w:ascii="仿宋_GB2312" w:eastAsia="仿宋_GB2312" w:hAnsi="仿宋" w:hint="eastAsia"/>
          <w:sz w:val="32"/>
          <w:szCs w:val="32"/>
        </w:rPr>
      </w:pPr>
      <w:r>
        <w:rPr>
          <w:rFonts w:ascii="仿宋_GB2312" w:eastAsia="仿宋_GB2312" w:hAnsi="仿宋" w:hint="eastAsia"/>
          <w:sz w:val="32"/>
          <w:szCs w:val="32"/>
        </w:rPr>
        <w:t>2020年支出预算较2019年增长4940.88万元，其中：基本支出减少17.61万元，主要由于人员调整；项目支出增长4958.49万元，主要由于</w:t>
      </w:r>
      <w:r>
        <w:rPr>
          <w:rFonts w:ascii="仿宋" w:eastAsia="仿宋" w:cs="仿宋" w:hAnsi="仿宋" w:hint="eastAsia"/>
          <w:sz w:val="32"/>
          <w:szCs w:val="32"/>
        </w:rPr>
        <w:t>增加偿还贷款项目资金支出及农业综合改革资金支出等</w:t>
      </w:r>
      <w:r>
        <w:rPr>
          <w:rFonts w:ascii="仿宋_GB2312" w:eastAsia="仿宋_GB2312" w:hAnsi="仿宋" w:hint="eastAsia"/>
          <w:sz w:val="32"/>
          <w:szCs w:val="32"/>
        </w:rPr>
        <w:t>。</w:t>
      </w:r>
    </w:p>
    <w:p>
      <w:pPr>
        <w:numPr>
          <w:ilvl w:val="0"/>
          <w:numId w:val="2"/>
        </w:numPr>
        <w:autoSpaceDE w:val="0"/>
        <w:autoSpaceDN w:val="0"/>
        <w:adjustRightInd w:val="0"/>
        <w:snapToGrid w:val="0"/>
        <w:spacing w:line="560" w:lineRule="exact"/>
        <w:ind w:left="0" w:firstLineChars="200" w:firstLine="640"/>
        <w:jc w:val="left"/>
        <w:rPr>
          <w:rFonts w:ascii="仿宋_GB2312" w:eastAsia="仿宋_GB2312" w:hAnsi="仿宋" w:hint="eastAsia"/>
          <w:sz w:val="32"/>
          <w:szCs w:val="32"/>
        </w:rPr>
      </w:pPr>
      <w:r>
        <w:rPr>
          <w:rFonts w:ascii="仿宋_GB2312" w:eastAsia="仿宋_GB2312" w:hAnsi="黑体" w:hint="eastAsia"/>
          <w:b/>
          <w:sz w:val="32"/>
          <w:szCs w:val="32"/>
        </w:rPr>
        <w:t>机关运行经费安排情况</w:t>
      </w:r>
    </w:p>
    <w:p>
      <w:pPr>
        <w:autoSpaceDE w:val="0"/>
        <w:autoSpaceDN w:val="0"/>
        <w:adjustRightInd w:val="0"/>
        <w:snapToGrid w:val="0"/>
        <w:spacing w:line="560" w:lineRule="exact"/>
        <w:jc w:val="left"/>
        <w:rPr>
          <w:rFonts w:ascii="仿宋_GB2312" w:eastAsia="仿宋_GB2312" w:hAnsi="仿宋" w:hint="eastAsia"/>
          <w:sz w:val="32"/>
          <w:szCs w:val="32"/>
        </w:rPr>
      </w:pPr>
      <w:r>
        <w:rPr>
          <w:rFonts w:ascii="仿宋_GB2312" w:eastAsia="仿宋_GB2312" w:hAnsi="仿宋" w:hint="eastAsia"/>
          <w:sz w:val="32"/>
          <w:szCs w:val="32"/>
        </w:rPr>
        <w:t xml:space="preserve">    2020年我部门机关运行经费共计安排357.34万元，包括：办公费23.94万元，邮电费9万元，物业管理费17.7万元，差旅费12万元，公务接待费2.66万元，公务用车运行维护费7.5万元（公务用车燃修费6万元，公务用车保险费</w:t>
        <w:tab/>
        <w:t>1.5万元），工会费38.4万元（区工会费15.3万元，单位工会费23.1万元），福利费26.11万元，改革性补贴项目94万元（公务移动通讯费用补贴43万元，公务交通补贴51万元），水费2万元，电费18万元，办公取暖费35.53万元，中央空调及电梯运行费12万元，网络运行维护费33万元，离退休干部报刊费0.5万元，其他商品服务支出25万元。</w:t>
      </w:r>
    </w:p>
    <w:p>
      <w:pPr>
        <w:autoSpaceDE w:val="0"/>
        <w:autoSpaceDN w:val="0"/>
        <w:adjustRightInd w:val="0"/>
        <w:snapToGrid w:val="0"/>
        <w:spacing w:line="560" w:lineRule="exact"/>
        <w:ind w:firstLineChars="225" w:firstLine="720"/>
        <w:jc w:val="left"/>
        <w:rPr>
          <w:rFonts w:ascii="仿宋_GB2312" w:eastAsia="仿宋_GB2312" w:hAnsi="黑体" w:hint="eastAsia"/>
          <w:b/>
          <w:sz w:val="32"/>
          <w:szCs w:val="32"/>
        </w:rPr>
      </w:pPr>
      <w:r>
        <w:rPr>
          <w:rFonts w:ascii="仿宋_GB2312" w:eastAsia="仿宋_GB2312" w:hAnsi="黑体" w:hint="eastAsia"/>
          <w:b/>
          <w:sz w:val="32"/>
          <w:szCs w:val="32"/>
        </w:rPr>
        <w:t>四、财政拨款“三公”经费预算情况及增减变化原因</w:t>
      </w:r>
    </w:p>
    <w:p>
      <w:pPr>
        <w:adjustRightInd w:val="0"/>
        <w:snapToGrid w:val="0"/>
        <w:spacing w:line="560" w:lineRule="exact"/>
        <w:ind w:firstLineChars="225" w:firstLine="720"/>
        <w:rPr>
          <w:rFonts w:ascii="仿宋_GB2312" w:eastAsia="仿宋_GB2312" w:hAnsi="仿宋" w:hint="eastAsia"/>
          <w:sz w:val="32"/>
          <w:szCs w:val="32"/>
        </w:rPr>
      </w:pPr>
      <w:r>
        <w:rPr>
          <w:rFonts w:ascii="仿宋_GB2312" w:eastAsia="仿宋_GB2312" w:hAnsi="仿宋" w:hint="eastAsia"/>
          <w:sz w:val="32"/>
          <w:szCs w:val="32"/>
        </w:rPr>
        <w:t>2020年，财政拨款“三公”经费预算安排10.16万元，比2019年增加2.66万元。其中：</w:t>
      </w:r>
      <w:r>
        <w:rPr>
          <w:rFonts w:ascii="仿宋_GB2312" w:eastAsia="仿宋_GB2312" w:cs="Arial Unicode MS" w:hAnsi="Arial Unicode MS" w:hint="eastAsia"/>
          <w:sz w:val="32"/>
          <w:szCs w:val="32"/>
        </w:rPr>
        <w:t>①</w:t>
      </w:r>
      <w:r>
        <w:rPr>
          <w:rFonts w:ascii="仿宋_GB2312" w:eastAsia="仿宋_GB2312" w:hAnsi="仿宋" w:hint="eastAsia"/>
          <w:sz w:val="32"/>
          <w:szCs w:val="32"/>
        </w:rPr>
        <w:t>因公出国（境）费0万元，与2019年持平，无增减变化；</w:t>
      </w:r>
      <w:r>
        <w:rPr>
          <w:rFonts w:ascii="仿宋_GB2312" w:eastAsia="仿宋_GB2312" w:cs="Arial Unicode MS" w:hAnsi="Arial Unicode MS" w:hint="eastAsia"/>
          <w:sz w:val="32"/>
          <w:szCs w:val="32"/>
        </w:rPr>
        <w:t>②</w:t>
      </w:r>
      <w:r>
        <w:rPr>
          <w:rFonts w:ascii="仿宋_GB2312" w:eastAsia="仿宋_GB2312" w:hAnsi="仿宋" w:hint="eastAsia"/>
          <w:sz w:val="32"/>
          <w:szCs w:val="32"/>
        </w:rPr>
        <w:t>公务用车购置及运行费0万元，其中：公务用车购置费为0万元，与2019年持平，无增减变化；公务用车运行费7.5万元，与2019年持平，无增减变化；</w:t>
      </w:r>
      <w:r>
        <w:rPr>
          <w:rFonts w:ascii="仿宋_GB2312" w:eastAsia="仿宋_GB2312" w:cs="Arial Unicode MS" w:hAnsi="Arial Unicode MS" w:hint="eastAsia"/>
          <w:sz w:val="32"/>
          <w:szCs w:val="32"/>
        </w:rPr>
        <w:t>③</w:t>
      </w:r>
      <w:r>
        <w:rPr>
          <w:rFonts w:ascii="仿宋_GB2312" w:eastAsia="仿宋_GB2312" w:hAnsi="仿宋" w:hint="eastAsia"/>
          <w:sz w:val="32"/>
          <w:szCs w:val="32"/>
        </w:rPr>
        <w:t>公务接待费2.66万元，比2019年增加2.66万元，原因是全区公务接待费实行总量，各部门按照核定标准安排本部门公务接待费。</w:t>
      </w:r>
    </w:p>
    <w:p>
      <w:pPr>
        <w:autoSpaceDE w:val="0"/>
        <w:autoSpaceDN w:val="0"/>
        <w:adjustRightInd w:val="0"/>
        <w:snapToGrid w:val="0"/>
        <w:spacing w:line="560" w:lineRule="exact"/>
        <w:ind w:left="198" w:firstLineChars="200" w:firstLine="640"/>
        <w:jc w:val="left"/>
        <w:rPr>
          <w:rFonts w:ascii="仿宋_GB2312" w:eastAsia="仿宋_GB2312" w:hAnsi="黑体" w:hint="eastAsia"/>
          <w:b/>
          <w:sz w:val="32"/>
          <w:szCs w:val="32"/>
        </w:rPr>
      </w:pPr>
      <w:r>
        <w:rPr>
          <w:rFonts w:ascii="仿宋_GB2312" w:eastAsia="仿宋_GB2312" w:hAnsi="黑体" w:hint="eastAsia"/>
          <w:b/>
          <w:sz w:val="32"/>
          <w:szCs w:val="32"/>
        </w:rPr>
        <w:t>五、绩效预算信息</w:t>
      </w:r>
    </w:p>
    <w:p>
      <w:pPr>
        <w:adjustRightInd w:val="0"/>
        <w:snapToGrid w:val="0"/>
        <w:spacing w:line="560" w:lineRule="exact"/>
        <w:ind w:firstLineChars="200" w:firstLine="640"/>
        <w:jc w:val="left"/>
        <w:rPr>
          <w:rFonts w:ascii="仿宋_GB2312" w:eastAsia="仿宋_GB2312" w:cs="宋体" w:hAnsi="宋体" w:hint="eastAsia"/>
          <w:sz w:val="32"/>
          <w:szCs w:val="32"/>
        </w:rPr>
      </w:pPr>
      <w:r>
        <w:rPr>
          <w:rFonts w:ascii="仿宋_GB2312" w:eastAsia="仿宋_GB2312" w:cs="宋体" w:hAnsi="宋体" w:hint="eastAsia"/>
          <w:sz w:val="32"/>
          <w:szCs w:val="32"/>
        </w:rPr>
        <w:t>第一部分 部门整体绩效目标</w:t>
      </w:r>
    </w:p>
    <w:p>
      <w:pPr>
        <w:adjustRightInd w:val="0"/>
        <w:snapToGrid w:val="0"/>
        <w:spacing w:line="560" w:lineRule="exact"/>
        <w:jc w:val="left"/>
        <w:rPr>
          <w:rFonts w:ascii="仿宋_GB2312" w:eastAsia="仿宋_GB2312" w:hint="eastAsia"/>
          <w:sz w:val="32"/>
          <w:szCs w:val="32"/>
        </w:rPr>
      </w:pPr>
      <w:r>
        <w:rPr>
          <w:rFonts w:ascii="仿宋_GB2312" w:eastAsia="仿宋_GB2312" w:hint="eastAsia"/>
          <w:sz w:val="32"/>
          <w:szCs w:val="32"/>
        </w:rPr>
        <w:t xml:space="preserve">    (一）总体绩效目标：</w:t>
      </w:r>
    </w:p>
    <w:p>
      <w:pPr>
        <w:adjustRightInd w:val="0"/>
        <w:snapToGrid w:val="0"/>
        <w:spacing w:line="560" w:lineRule="exact"/>
        <w:jc w:val="left"/>
        <w:rPr>
          <w:rFonts w:ascii="仿宋_GB2312" w:eastAsia="仿宋_GB2312" w:hAnsi="仿宋" w:hint="eastAsia"/>
          <w:sz w:val="32"/>
          <w:szCs w:val="32"/>
        </w:rPr>
      </w:pPr>
      <w:r>
        <w:rPr>
          <w:rFonts w:ascii="仿宋_GB2312" w:eastAsia="仿宋_GB2312" w:hint="eastAsia"/>
          <w:sz w:val="32"/>
          <w:szCs w:val="32"/>
        </w:rPr>
        <w:t xml:space="preserve">     一、依法治税管费，全面落实中央、省、市、区制定的对企业的各项奖补和优惠政策，促进产业结构转型升级、优化营商环境，培植财源，确保高质量完成全年财政收入预算。二、克服通常观念，牢固树立“过紧日子”思想，加强预算管理，严格预算支出，确保财政收支平衡。三、推进全面实施预算绩效管理。四、着力推进财政管理改革。五、落实积极财政政策，深化财政投融资体制改革，做大做强财政“蛋糕”，助推全区经济转型和产业升级。六、加强债务管理，防范和化解债务风险。七、贯彻实施乡村振兴战略，管好用好涉农资金。八、以规范化管理为目标，夯实基础工作。九、全面提升我区国有资产管理水平。十、加强干部队伍建设，创建文明高效廉洁财政机关</w:t>
      </w:r>
      <w:r>
        <w:rPr>
          <w:rFonts w:ascii="仿宋_GB2312" w:eastAsia="仿宋_GB2312" w:hAnsi="仿宋" w:hint="eastAsia"/>
          <w:sz w:val="32"/>
          <w:szCs w:val="32"/>
        </w:rPr>
        <w:t>。</w:t>
      </w:r>
    </w:p>
    <w:p>
      <w:pPr>
        <w:adjustRightInd w:val="0"/>
        <w:snapToGrid w:val="0"/>
        <w:spacing w:line="560" w:lineRule="exact"/>
        <w:jc w:val="left"/>
        <w:rPr>
          <w:rFonts w:ascii="仿宋_GB2312" w:eastAsia="仿宋_GB2312" w:hAnsi="仿宋" w:hint="eastAsia"/>
          <w:sz w:val="32"/>
          <w:szCs w:val="32"/>
        </w:rPr>
      </w:pPr>
      <w:r>
        <w:rPr>
          <w:rFonts w:ascii="仿宋_GB2312" w:eastAsia="仿宋_GB2312" w:hAnsi="仿宋" w:hint="eastAsia"/>
          <w:sz w:val="32"/>
          <w:szCs w:val="32"/>
        </w:rPr>
        <w:t xml:space="preserve">   （二）分项绩效目标：　</w:t>
      </w:r>
    </w:p>
    <w:p>
      <w:pPr>
        <w:adjustRightInd w:val="0"/>
        <w:snapToGrid w:val="0"/>
        <w:spacing w:line="560" w:lineRule="exact"/>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1.财政收入管理:深化税收制度改革，规范税收优惠政策，监督检查税政政策执行情况。制定非税收入管理政策，加强非税收入征管，管理彩票市场及彩票资金。适应经济增长新常态，做好收入组织工作，完成全年财政收入，提高财政收入质量，确保财政平稳健康运行。进一步贯彻落实上级非税收入政策，深入开展清理规范清理行政事业性收费项目工作，实现非税收入管理规范化、科学化发展。</w:t>
      </w:r>
    </w:p>
    <w:p>
      <w:pPr>
        <w:adjustRightInd w:val="0"/>
        <w:snapToGrid w:val="0"/>
        <w:spacing w:line="560" w:lineRule="exact"/>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2.预算管理，贯彻落实上级财政收入政策，采取科学合理方法测算年度财政收入情况，制定年度预算收入计划。研究制定完善的预算政策体系，提高预算管理的科学化水平。统筹区级财力，强化绩效管理，科学编制政府绩效预算。规范预算执行，合理组织财政各项支出，促进社会事业发展。推进预算公开，实施全面规范、公开透明的预算制度。预算编制科学、政策有效、执行规范、决算准确、绩效突出。</w:t>
      </w:r>
    </w:p>
    <w:p>
      <w:pPr>
        <w:adjustRightInd w:val="0"/>
        <w:snapToGrid w:val="0"/>
        <w:spacing w:line="560" w:lineRule="exact"/>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3.国库管理:区级预算单位用款计划及额度审核下达，上下级财政库款调度；财政专户资金审核拨付；全区预算执行分析；区本级财政总预算会计，全区和区本级决算；国债、地方债和国库现金管理；管理区本级预算单位银行账户。规范管理区级财政国库现金，按时编制政府综合财务报告，规范财政专户管理。认真贯彻实施国家会计法律、规章、制度和会计准则，执行情况进行监督检查，维护财经秩序。</w:t>
      </w:r>
    </w:p>
    <w:p>
      <w:pPr>
        <w:adjustRightInd w:val="0"/>
        <w:snapToGrid w:val="0"/>
        <w:spacing w:line="560" w:lineRule="exact"/>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4.财政监督管理:负责监督检查财税法规、政策的执行情况，以及财政性资金使用情况，反映财政收支管理中的重大问题。监督和规范会计行为，监督注册会计师和会计师事务所的业务，　　　监督财政性资金使用情况，反映财政收支管理中的重大问题。监督财政性资金使用情况，反映财政收支管理中的重大问题。维护财经秩序，提高会计信息质量。</w:t>
      </w:r>
    </w:p>
    <w:p>
      <w:pPr>
        <w:adjustRightInd w:val="0"/>
        <w:snapToGrid w:val="0"/>
        <w:spacing w:line="560" w:lineRule="exact"/>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5.财务会计管理:管理全区会计工作；管理会计从业资格；按规定承担会计专业技术资格管理；指导和监督注册会计师、以及会计师事务所的业务，办理会计师事务所有关事项的审批及备案工作并对行业进行管理。管理全区会计工作，促进全区会计相关工作更加规范</w:t>
      </w:r>
    </w:p>
    <w:p>
      <w:pPr>
        <w:adjustRightInd w:val="0"/>
        <w:snapToGrid w:val="0"/>
        <w:spacing w:line="560" w:lineRule="exact"/>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6.国有资产管理:拟定全区国有资产管理制度和办法，对行政事业单位资产配置、使用、处置事项进行管理，承担区级国有文化企业资产管理的有关工作；负责全区行政事业单位公务车辆编制管理。规范管理全区国有资产。</w:t>
      </w:r>
    </w:p>
    <w:p>
      <w:pPr>
        <w:adjustRightInd w:val="0"/>
        <w:snapToGrid w:val="0"/>
        <w:spacing w:line="560" w:lineRule="exact"/>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7.政府专项工作服务与管理:政府采购、农村综合改革、政府债务、政府购买服务、规范津补贴等政府专项工作的服务与管理。各专项工作依法规范管理，政策制度健全，执行程序规范，管控有力有效，各项政策落实，各项服务到位，业务风险有效控制，经费使用节约。</w:t>
      </w:r>
    </w:p>
    <w:p>
      <w:pPr>
        <w:adjustRightInd w:val="0"/>
        <w:snapToGrid w:val="0"/>
        <w:spacing w:line="560" w:lineRule="exact"/>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8.财政政务管理:负责财政系统综合业务管理和机关综合事务管理。机关管理有序，业务运转规范。对内协调有力，对外关系良好，规范行政行为措施得力，推进改革研究深入，财政宣传信息成绩显著机关协调运行，事业单位工作正常开展，思想政治工作深入，后勤服务保障有力。</w:t>
      </w:r>
    </w:p>
    <w:p>
      <w:pPr>
        <w:adjustRightInd w:val="0"/>
        <w:snapToGrid w:val="0"/>
        <w:spacing w:line="560" w:lineRule="exact"/>
        <w:jc w:val="left"/>
        <w:outlineLvl w:val="0"/>
        <w:rPr>
          <w:rFonts w:ascii="仿宋_GB2312" w:eastAsia="仿宋_GB2312" w:hint="eastAsia"/>
          <w:sz w:val="32"/>
          <w:szCs w:val="32"/>
        </w:rPr>
      </w:pPr>
      <w:r>
        <w:rPr>
          <w:rFonts w:ascii="仿宋_GB2312" w:eastAsia="仿宋_GB2312" w:hint="eastAsia"/>
          <w:sz w:val="32"/>
          <w:szCs w:val="32"/>
        </w:rPr>
        <w:t xml:space="preserve">   （三）工作保障措施：</w:t>
      </w:r>
    </w:p>
    <w:p>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t xml:space="preserve"> 一、用好积极财政政策，加大对优质财源的培育力度。一是巩固减税降费成果。认真对照减税降费工作任务事项清单，完善管理体制机制，强化政策执行情况检查工作力度，把减税降费与依法治税管费有机结合起来，建立健全依法治税管费长效机制，把该降的降下去，把该收的收上来。二是推进依法综合治税。聘用中介机构，对我区重点行业、重点企业开展全税种纳税评估审计工作，公平税负，依法堵塞税收征管漏洞。依托财政收入分析管理系统，加强涉税信息搜集，密切关注重点行业、重点企业税收情况，认真做好税源监控及税收预测分析。三是全面落实中央、省、市对企业的各项优惠政策。</w:t>
      </w:r>
    </w:p>
    <w:p>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t>二、克服通常观念，牢固树立“过紧日子”思想，加强预算管理，严格预算支出，确保财政收支平衡。一是严格编制预算。牢固树立过“紧日子”思想，严格控制机关运行经费，一般修缮、办公条件提标升级等经费一律不予安排，严控“三公”经费、会议费、培训费。进一步提高部门年初预算到位率。二是严格预算约束。预算经人代会批准后，按规定程序批复预算并进行公开，非经法定程序不予调整。三是建立加快预算支出进度长效机制。落实省厅《关于建立加快预算支出进度长效机制的通知》（冀财发[2019]2号）文件要求，全区尽快建立起以“预算总控、执行管控、结果调控、风险防控”为实施主线的加快预算支出进度的长效机制。按照省厅要求，尽快制定我区实施办法，特别是对申请上级专项资金（债券）项目支出进度的监管和考核。同时，做好国库资金调度，确保国库资金存量符合上级要求，保障全区重点支出需要。</w:t>
      </w:r>
    </w:p>
    <w:p>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t>三、推进全面实施预算绩效管理。严格落实我区《全面实施预算绩效管理推进方案》，全面建立制度标准体系，以预算资金管理为主线，将事前评估、目标管理、运行监控、绩效评价、结果应用等各项措施，有效融入预算管理的相关环节，实现绩效管理与预算管理的深度融合。一是建立和完善预算绩效管理制度体系。2019年完成综合管理、绩效监控、绩效评价三个方面制度，2020年完成评价结果应用、其他方面制度。二是全面完成制定共性绩效指标框架、分领域、分行业制定项目支出绩效指标体系和标准体系。三是做好重点培育示范引领。在2019年试点基础上，总结经验、全面提升，2020年按照上级财政部门安排布署-增点扩面，继续探索本领域、本系统、本部门全过程预算绩效管理经验，力求取得实效。四是强化预算绩效管理支撑。完善一体化信息系统，健全所有部门共享共用的一体化信息平台。加强绩效管理业务培训。制定我区第三方机构参与绩效评价工作管理办法，引导第三方机构有序参与。基本建成全方位、全过程、全覆盖的预算绩效管理体系目标，实现预算和绩效管理一体化，着力提高财政资源配置效率和资金使用效益。</w:t>
      </w:r>
    </w:p>
    <w:p>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t>四、着力推进财政管理改革。一是全面推进国库集中支付电子化改革。积极协调，运行代理国库会计数据集中系统（TCBS），配合代理国库做好系统更换对接。二是全面推进预算单位差旅电子凭证网上报销改革。落实省厅差旅电子凭证网上报销管理改革“全覆盖”要求，积极协调上级财政部门、“公务之家”第三方机构和预算单位，做好信息采集等前期准备工作。三是完善财政性资金现金管理制度改革，积极开展财政性资金增值运作。</w:t>
      </w:r>
    </w:p>
    <w:p>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t>五、落实积极财政政策，深化财政投融资体制改革，做大做强财政“蛋糕”，助推全区经济转型和产业升级。</w:t>
      </w:r>
    </w:p>
    <w:p>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t>六、加强债务管理，防范和化解债务风险。严格落实我区政府债务偿还和风险化解规划。深入开展隐性债务防范化解工作。严格执行政府隐性债务化解方案，确保完成2020年隐性债务化解任务。将隐性债务到期本息全部列入年度预算，严格执行预算，按期还款，不折不扣确保化解任务圆满完成。坚决遏制政府隐性债务增量。严禁违法违规融资担保行为，逐月上报财政部隐性债务监测平台。监督债务主体每月5日前通过财政部政府隐性债务监测平台上报债务变动情况和化解情况。积极争取新增专项债券。加强日常监督。动态监测债务变动情况，完善风险评估和预警机制，掌握全区债务变动情况。</w:t>
      </w:r>
    </w:p>
    <w:p>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t>七、贯彻实施乡村振兴战略，管好用好涉农资金。一是加大财政涉农资金整合力度。建立健全多元投入保障制度，完善财政支持政策体系，重点支持现代农业加快建设、农村人居环境综合整治等。二是组织开展财政扶贫资金管理“回头看”。依托扶贫监控系统，对各项扶贫资金的使用情况进行监控。三是管好用好惠农补贴资金。积极稳妥发放农业支持保护补贴资金。</w:t>
      </w:r>
    </w:p>
    <w:p>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t>八、以规范化管理为目标，夯实基础工作。一是进一步强化专项资金日常管理。按照预算绩效管理有关要求，做到专款专用、按预 算目标进度支出、按预算绩效目标考核体系进行绩效评价，加强财政监管。二是进一步加大会计监督检查力度。按照上级要求，确定检查方向和重点，抽取区直部门以及有财政资金支持的企业，就财务收支管理、非税收入征管、往来资金管理、国有资产管理、项目投资管理、专项资金管理、会计基础工作等方面进行重点检查。积极配合纪检审计部门监督检查。对检查中发现的问题，及时核实整改。同时，主动加强与审计、纪检监察等部门的工作协调，对发现的问题线索，及时移交纪检监察部门，严肃问责相关责任人，切实增强监管实效。三是进一步提升会计管理水平。深入实施“人才优先发展战略”。进一步加强会计人才档案管理，完善会计人才信息库。聘请高水平师资对我区中、高级会计师分层次或分行业进行培训，提升我区中、高级会计人才的素质水平。组织有关会计人员参加省、市会计领军人才的培养。组织我区具有会计师以上职称的相关人员参加省财政厅组织的会计科研课题的申报，提高科研水平。通过加强中高级会计人才的素质提升工作，提高会计管理成效。</w:t>
      </w:r>
    </w:p>
    <w:p>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t>九、全面提升我区国有资产管理水平。建立全区行政事业单位国有资产管理信息平台。实现国有资产购置时间、存在形态（在用、闲置、出租、出借、报废）在网上登记，资产的购置、处置在网上申报审批等功能，实现国有资产管理与预算管理有效衔接。开展行政事业单位国有资产调查登记工作。以录入行政事业单位国有资产管理信息平台信息为契机，开展行政事业单位国有资产调查登记工作。通过调查登记，摸清行政事业单位资产底数，规范国有资产管理行为。按照年初预算安排进行审批，同时与各单位账面数结合，最大限度的避免资产配置超编、超标。</w:t>
      </w:r>
    </w:p>
    <w:p>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t>十、加强干部队伍建设，创建文明高效廉洁财政机关。一是加强思想政治建设。提高政治站位，牢固树立“四个意识”，增强“四个自信”，坚决做到“两个维护”，做到党中央提倡的坚决响应、党中央决定的坚决执行、党中央禁止的坚决不做。认真落实意识形态工作主要领导负责制，将意识形态工作摆上重要议事日程，列入年度工作计划，与财政业务工作同安排、同部署、同检查。强化理论武装，系统推进习近平新时代中国特色社会主义思想学习，入心入脑，突出以人为本思想，真正做到用党的思想指导工作。二是加强财政机关建设，强化人员机构编制管理，建立岗位交流工作机制。严格按照编制部门批准的机构设置内设科室和岗位，实现财政内设机构优化配置、高效运转。着力解决财政系统工作人员存在的在编在岗人员不足、年龄老化、专业人员短缺的问题。以乡镇政府机构改革为契机，完成乡镇财政机构编制配制。建立健全岗位交流工作机制，着力建强基层财政干部队伍。三是加强系统干部教育培训，着力提升财政干部素质。今年的培训重点是预算绩效管理、国有资产管理以及财政投融资体制改革等内容。同时，加强财政信息化建设。推进财政内网、专网和电子政务外网建设，提升应用水平，不断提高财政服务质效。四是加强机关规范化建设。局机关和乡镇财政所要适应新时代要求，重新梳理审定机关车辆管理办法、财务管理办法、差旅费管理办法、考勤管理办法等机关管理制度、缺位的要补上，不严密的要修改。五是加强省级文明机关创建工作。</w:t>
      </w:r>
    </w:p>
    <w:p>
      <w:pPr>
        <w:adjustRightInd w:val="0"/>
        <w:snapToGrid w:val="0"/>
        <w:spacing w:line="560" w:lineRule="exact"/>
        <w:ind w:firstLineChars="200" w:firstLine="640"/>
        <w:jc w:val="left"/>
        <w:outlineLvl w:val="0"/>
        <w:rPr>
          <w:rFonts w:ascii="仿宋_GB2312" w:eastAsia="仿宋_GB2312" w:hint="eastAsia"/>
          <w:sz w:val="32"/>
          <w:szCs w:val="32"/>
        </w:rPr>
      </w:pPr>
    </w:p>
    <w:p>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t xml:space="preserve"> </w:t>
      </w:r>
    </w:p>
    <w:p>
      <w:pPr>
        <w:adjustRightInd w:val="0"/>
        <w:snapToGrid w:val="0"/>
        <w:spacing w:line="560" w:lineRule="exact"/>
        <w:ind w:firstLineChars="200" w:firstLine="640"/>
        <w:jc w:val="left"/>
        <w:outlineLvl w:val="0"/>
        <w:rPr>
          <w:rFonts w:ascii="仿宋_GB2312" w:eastAsia="仿宋_GB2312" w:hint="eastAsia"/>
          <w:sz w:val="32"/>
          <w:szCs w:val="32"/>
        </w:rPr>
        <w:sectPr>
          <w:footerReference w:type="default" r:id="rId3"/>
          <w:pgSz w:w="11907" w:h="16839"/>
          <w:pgMar w:top="1984" w:right="1304" w:bottom="1134" w:left="1304" w:header="851" w:footer="992" w:gutter="0"/>
          <w:pgNumType w:start="1"/>
          <w:docGrid w:type="lines" w:linePitch="312" w:charSpace="0"/>
        </w:sectPr>
      </w:pPr>
    </w:p>
    <w:p>
      <w:pPr>
        <w:adjustRightInd w:val="0"/>
        <w:snapToGrid w:val="0"/>
        <w:spacing w:line="560" w:lineRule="exact"/>
        <w:ind w:firstLineChars="200" w:firstLine="640"/>
        <w:jc w:val="left"/>
        <w:outlineLvl w:val="0"/>
        <w:rPr>
          <w:rFonts w:ascii="仿宋_GB2312" w:eastAsia="仿宋_GB2312" w:hint="eastAsia"/>
          <w:sz w:val="32"/>
          <w:szCs w:val="32"/>
        </w:rPr>
      </w:pPr>
    </w:p>
    <w:p>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t>第二部分 专项资金绩效目标</w:t>
      </w:r>
    </w:p>
    <w:p>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t>无</w:t>
      </w:r>
    </w:p>
    <w:p>
      <w:pPr>
        <w:adjustRightInd w:val="0"/>
        <w:snapToGrid w:val="0"/>
        <w:spacing w:line="560" w:lineRule="exact"/>
        <w:ind w:firstLineChars="200" w:firstLine="640"/>
        <w:jc w:val="left"/>
        <w:outlineLvl w:val="0"/>
        <w:rPr>
          <w:rFonts w:ascii="仿宋_GB2312" w:eastAsia="仿宋_GB2312" w:hint="eastAsia"/>
          <w:sz w:val="32"/>
          <w:szCs w:val="32"/>
        </w:rPr>
      </w:pPr>
      <w:r>
        <w:rPr>
          <w:rFonts w:ascii="仿宋_GB2312" w:eastAsia="仿宋_GB2312" w:hint="eastAsia"/>
          <w:sz w:val="32"/>
          <w:szCs w:val="32"/>
        </w:rPr>
        <w:t>第三部分 预算项目绩效目标</w:t>
      </w:r>
    </w:p>
    <w:p>
      <w:pPr>
        <w:adjustRightInd w:val="0"/>
        <w:snapToGrid w:val="0"/>
        <w:spacing w:line="560" w:lineRule="exact"/>
        <w:ind w:firstLineChars="200" w:firstLine="640"/>
        <w:jc w:val="left"/>
        <w:outlineLvl w:val="0"/>
        <w:rPr>
          <w:rFonts w:ascii="仿宋_GB2312" w:eastAsia="仿宋_GB2312" w:hint="eastAsia"/>
          <w:b/>
          <w:bCs/>
          <w:sz w:val="32"/>
          <w:szCs w:val="32"/>
        </w:rPr>
      </w:pPr>
      <w:r>
        <w:rPr>
          <w:rFonts w:ascii="仿宋_GB2312" w:eastAsia="仿宋_GB2312" w:hint="eastAsia"/>
          <w:b/>
          <w:bCs/>
          <w:sz w:val="32"/>
          <w:szCs w:val="32"/>
        </w:rPr>
        <w:t>1、2020年村级公益事业建设一事一议项目奖补本级资金、监理费绩效目标表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23"/>
        <w:gridCol w:w="8489"/>
      </w:tblGrid>
      <w:tr>
        <w:trPr>
          <w:trHeight w:val="422"/>
        </w:trPr>
        <w:tc>
          <w:tcPr>
            <w:tcW w:w="923"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489"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提升乡村基础设施建设</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35"/>
        <w:gridCol w:w="1535"/>
        <w:gridCol w:w="1946"/>
        <w:gridCol w:w="2036"/>
        <w:gridCol w:w="1286"/>
        <w:gridCol w:w="1274"/>
      </w:tblGrid>
      <w:tr>
        <w:trPr>
          <w:cantSplit/>
          <w:trHeight w:val="331"/>
          <w:tblHeader/>
        </w:trPr>
        <w:tc>
          <w:tcPr>
            <w:tcW w:w="1335"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535"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94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03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8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27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510"/>
        </w:trPr>
        <w:tc>
          <w:tcPr>
            <w:tcW w:w="1335"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535"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94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村内街道硬化里程</w:t>
            </w:r>
          </w:p>
        </w:tc>
        <w:tc>
          <w:tcPr>
            <w:tcW w:w="203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水泥或沥青路面硬化</w:t>
            </w:r>
          </w:p>
        </w:tc>
        <w:tc>
          <w:tcPr>
            <w:tcW w:w="128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公里</w:t>
            </w:r>
          </w:p>
        </w:tc>
        <w:tc>
          <w:tcPr>
            <w:tcW w:w="127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根据实际情况</w:t>
            </w:r>
          </w:p>
        </w:tc>
      </w:tr>
      <w:tr>
        <w:trPr>
          <w:cantSplit/>
          <w:trHeight w:val="510"/>
        </w:trPr>
        <w:tc>
          <w:tcPr>
            <w:tcW w:w="1335" w:type="dxa"/>
            <w:vMerge/>
            <w:tcBorders>
              <w:tl2br w:val="nil"/>
              <w:tr2bl w:val="nil"/>
            </w:tcBorders>
            <w:vAlign w:val="center"/>
          </w:tcPr>
          <w:p/>
        </w:tc>
        <w:tc>
          <w:tcPr>
            <w:tcW w:w="1535"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94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工程验收合格率</w:t>
            </w:r>
          </w:p>
        </w:tc>
        <w:tc>
          <w:tcPr>
            <w:tcW w:w="203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验收工程质量合格</w:t>
            </w:r>
          </w:p>
        </w:tc>
        <w:tc>
          <w:tcPr>
            <w:tcW w:w="128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27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验收报告</w:t>
            </w:r>
          </w:p>
        </w:tc>
      </w:tr>
      <w:tr>
        <w:trPr>
          <w:cantSplit/>
          <w:trHeight w:val="510"/>
        </w:trPr>
        <w:tc>
          <w:tcPr>
            <w:tcW w:w="1335" w:type="dxa"/>
            <w:vMerge/>
            <w:tcBorders>
              <w:tl2br w:val="nil"/>
              <w:tr2bl w:val="nil"/>
            </w:tcBorders>
            <w:vAlign w:val="center"/>
          </w:tcPr>
          <w:p/>
        </w:tc>
        <w:tc>
          <w:tcPr>
            <w:tcW w:w="1535"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94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村内街道照明设施购建数量</w:t>
            </w:r>
          </w:p>
        </w:tc>
        <w:tc>
          <w:tcPr>
            <w:tcW w:w="203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村内亮化建设</w:t>
            </w:r>
          </w:p>
        </w:tc>
        <w:tc>
          <w:tcPr>
            <w:tcW w:w="128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15</w:t>
            </w:r>
            <w:r>
              <w:rPr>
                <w:rFonts w:ascii="方正书宋_GBK" w:eastAsia="方正书宋_GBK" w:hint="eastAsia"/>
              </w:rPr>
              <w:t>个</w:t>
            </w:r>
          </w:p>
        </w:tc>
        <w:tc>
          <w:tcPr>
            <w:tcW w:w="127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根据实际情况</w:t>
            </w:r>
          </w:p>
        </w:tc>
      </w:tr>
      <w:tr>
        <w:trPr>
          <w:cantSplit/>
          <w:trHeight w:val="510"/>
        </w:trPr>
        <w:tc>
          <w:tcPr>
            <w:tcW w:w="1335"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535"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94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村容村貌改善情况</w:t>
            </w:r>
          </w:p>
        </w:tc>
        <w:tc>
          <w:tcPr>
            <w:tcW w:w="203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基础设施提升</w:t>
            </w:r>
          </w:p>
        </w:tc>
        <w:tc>
          <w:tcPr>
            <w:tcW w:w="128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明显改善</w:t>
            </w:r>
            <w:r>
              <w:rPr>
                <w:rFonts w:ascii="方正书宋_GBK" w:eastAsia="方正书宋_GBK"/>
              </w:rPr>
              <w:t>/</w:t>
            </w:r>
            <w:r>
              <w:rPr>
                <w:rFonts w:ascii="方正书宋_GBK" w:eastAsia="方正书宋_GBK" w:hint="eastAsia"/>
              </w:rPr>
              <w:t>改善</w:t>
            </w:r>
          </w:p>
        </w:tc>
        <w:tc>
          <w:tcPr>
            <w:tcW w:w="127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根据实际情况</w:t>
            </w:r>
          </w:p>
        </w:tc>
      </w:tr>
      <w:tr>
        <w:trPr>
          <w:cantSplit/>
          <w:trHeight w:val="510"/>
        </w:trPr>
        <w:tc>
          <w:tcPr>
            <w:tcW w:w="1335" w:type="dxa"/>
            <w:vMerge/>
            <w:tcBorders>
              <w:tl2br w:val="nil"/>
              <w:tr2bl w:val="nil"/>
            </w:tcBorders>
            <w:vAlign w:val="center"/>
          </w:tcPr>
          <w:p/>
        </w:tc>
        <w:tc>
          <w:tcPr>
            <w:tcW w:w="1535"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94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村内公共绿化增长率</w:t>
            </w:r>
          </w:p>
        </w:tc>
        <w:tc>
          <w:tcPr>
            <w:tcW w:w="203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绿化覆盖面积</w:t>
            </w:r>
          </w:p>
        </w:tc>
        <w:tc>
          <w:tcPr>
            <w:tcW w:w="128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30%</w:t>
            </w:r>
          </w:p>
        </w:tc>
        <w:tc>
          <w:tcPr>
            <w:tcW w:w="127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根据实际情况</w:t>
            </w:r>
          </w:p>
        </w:tc>
      </w:tr>
      <w:tr>
        <w:trPr>
          <w:cantSplit/>
          <w:trHeight w:val="510"/>
        </w:trPr>
        <w:tc>
          <w:tcPr>
            <w:tcW w:w="1335" w:type="dxa"/>
            <w:vMerge/>
            <w:tcBorders>
              <w:tl2br w:val="nil"/>
              <w:tr2bl w:val="nil"/>
            </w:tcBorders>
            <w:vAlign w:val="center"/>
          </w:tcPr>
          <w:p/>
        </w:tc>
        <w:tc>
          <w:tcPr>
            <w:tcW w:w="1535"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94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工程使用年限</w:t>
            </w:r>
          </w:p>
        </w:tc>
        <w:tc>
          <w:tcPr>
            <w:tcW w:w="203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工程质保年限</w:t>
            </w:r>
          </w:p>
        </w:tc>
        <w:tc>
          <w:tcPr>
            <w:tcW w:w="128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w:t>
            </w:r>
            <w:r>
              <w:rPr>
                <w:rFonts w:ascii="方正书宋_GBK" w:eastAsia="方正书宋_GBK" w:hint="eastAsia"/>
              </w:rPr>
              <w:t>年</w:t>
            </w:r>
          </w:p>
        </w:tc>
        <w:tc>
          <w:tcPr>
            <w:tcW w:w="127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合同</w:t>
            </w:r>
          </w:p>
        </w:tc>
      </w:tr>
      <w:tr>
        <w:trPr>
          <w:cantSplit/>
          <w:trHeight w:val="510"/>
        </w:trPr>
        <w:tc>
          <w:tcPr>
            <w:tcW w:w="1335"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535"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94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受益人口满意度</w:t>
            </w:r>
          </w:p>
        </w:tc>
        <w:tc>
          <w:tcPr>
            <w:tcW w:w="203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村民满意程度</w:t>
            </w:r>
          </w:p>
        </w:tc>
        <w:tc>
          <w:tcPr>
            <w:tcW w:w="128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27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jc w:val="left"/>
        <w:outlineLvl w:val="1"/>
        <w:rPr>
          <w:rFonts w:ascii="仿宋_GB2312" w:eastAsia="仿宋_GB2312" w:hint="eastAsia"/>
          <w:b/>
          <w:bCs/>
          <w:sz w:val="32"/>
          <w:szCs w:val="32"/>
        </w:rPr>
      </w:pPr>
      <w:r>
        <w:rPr>
          <w:rFonts w:ascii="仿宋_GB2312" w:eastAsia="仿宋_GB2312" w:hint="eastAsia"/>
          <w:b/>
          <w:bCs/>
          <w:sz w:val="32"/>
          <w:szCs w:val="32"/>
        </w:rPr>
        <w:t>2、2020年第二供水厂供水项目日元贷款还本和付息绩效目标表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35"/>
        <w:gridCol w:w="8077"/>
      </w:tblGrid>
      <w:tr>
        <w:trPr>
          <w:trHeight w:val="494"/>
        </w:trPr>
        <w:tc>
          <w:tcPr>
            <w:tcW w:w="1335"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及时偿还日元贷款本息，足额拨付日元贷款本息。</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35"/>
        <w:gridCol w:w="1107"/>
        <w:gridCol w:w="1102"/>
        <w:gridCol w:w="2891"/>
        <w:gridCol w:w="1276"/>
        <w:gridCol w:w="1701"/>
      </w:tblGrid>
      <w:tr>
        <w:trPr>
          <w:cantSplit/>
          <w:trHeight w:val="543"/>
          <w:tblHeader/>
        </w:trPr>
        <w:tc>
          <w:tcPr>
            <w:tcW w:w="1335"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07"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102"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510"/>
        </w:trPr>
        <w:tc>
          <w:tcPr>
            <w:tcW w:w="1335"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0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102"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还款及时性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按照上级文件要求及时拨付日元贷款本息</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年度工作计划</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资金到位率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按照上级文件要求，保证日元贷款资金全部到位</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资金偿还率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w:t>
            </w:r>
            <w:r>
              <w:rPr>
                <w:rFonts w:ascii="方正书宋_GBK" w:eastAsia="方正书宋_GBK"/>
              </w:rPr>
              <w:t>100%</w:t>
            </w:r>
            <w:r>
              <w:rPr>
                <w:rFonts w:ascii="方正书宋_GBK" w:eastAsia="方正书宋_GBK" w:hint="eastAsia"/>
              </w:rPr>
              <w:t>足额拨付日元贷款资金</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510"/>
        </w:trPr>
        <w:tc>
          <w:tcPr>
            <w:tcW w:w="1335"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不发生还款违约事件</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按时拨付日元贷款资金，不发生还款违约事件</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保证财政平稳运行</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足额拨付日元贷款资金，不发生还款风险事件</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程序履行完整性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反映程序履行情况，履行全部拨款程序</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资金管理制度</w:t>
            </w:r>
          </w:p>
        </w:tc>
      </w:tr>
      <w:tr>
        <w:trPr>
          <w:cantSplit/>
          <w:trHeight w:val="510"/>
        </w:trPr>
        <w:tc>
          <w:tcPr>
            <w:tcW w:w="1335"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上级财政满意度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按照上级文件要求及时拨付日元贷款资金，避免在市财政汇总拨付偿还资金时造成不良影响</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bl>
    <w:p>
      <w:pPr>
        <w:autoSpaceDE w:val="0"/>
        <w:autoSpaceDN w:val="0"/>
        <w:adjustRightInd w:val="0"/>
        <w:snapToGrid w:val="0"/>
        <w:spacing w:line="560" w:lineRule="exact"/>
        <w:jc w:val="left"/>
        <w:rPr>
          <w:rFonts w:ascii="仿宋_GB2312" w:eastAsia="仿宋_GB2312" w:hint="eastAsia"/>
          <w:sz w:val="32"/>
          <w:szCs w:val="32"/>
        </w:rPr>
      </w:pPr>
      <w:r>
        <w:rPr>
          <w:rFonts w:ascii="仿宋_GB2312" w:eastAsia="仿宋_GB2312" w:hint="eastAsia"/>
          <w:b/>
          <w:bCs/>
          <w:sz w:val="32"/>
          <w:szCs w:val="32"/>
        </w:rPr>
        <w:t>3、PPP项目咨询服务费绩效目标表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35"/>
        <w:gridCol w:w="8077"/>
      </w:tblGrid>
      <w:tr>
        <w:trPr>
          <w:trHeight w:val="476"/>
        </w:trPr>
        <w:tc>
          <w:tcPr>
            <w:tcW w:w="1335"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077"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w:t>
            </w:r>
            <w:r>
              <w:rPr>
                <w:rFonts w:ascii="方正书宋_GBK" w:eastAsia="方正书宋_GBK"/>
              </w:rPr>
              <w:t>PPP</w:t>
            </w:r>
            <w:r>
              <w:rPr>
                <w:rFonts w:ascii="方正书宋_GBK" w:eastAsia="方正书宋_GBK" w:hint="eastAsia"/>
              </w:rPr>
              <w:t>项目的运行和推广</w:t>
            </w:r>
            <w:r>
              <w:rPr>
                <w:rFonts w:ascii="方正书宋_GBK" w:eastAsia="方正书宋_GBK"/>
              </w:rPr>
              <w:t>2</w:t>
            </w:r>
            <w:r>
              <w:rPr>
                <w:rFonts w:ascii="方正书宋_GBK" w:eastAsia="方正书宋_GBK" w:hint="eastAsia"/>
              </w:rPr>
              <w:t>、保障相关工作的顺利完成</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35"/>
        <w:gridCol w:w="1107"/>
        <w:gridCol w:w="1102"/>
        <w:gridCol w:w="2891"/>
        <w:gridCol w:w="1276"/>
        <w:gridCol w:w="1701"/>
      </w:tblGrid>
      <w:tr>
        <w:trPr>
          <w:cantSplit/>
          <w:trHeight w:val="543"/>
          <w:tblHeader/>
        </w:trPr>
        <w:tc>
          <w:tcPr>
            <w:tcW w:w="1335"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07"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102"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510"/>
        </w:trPr>
        <w:tc>
          <w:tcPr>
            <w:tcW w:w="1335"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0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102"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项目咨询数量</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ppp</w:t>
            </w:r>
            <w:r>
              <w:rPr>
                <w:rFonts w:ascii="方正书宋_GBK" w:eastAsia="方正书宋_GBK" w:hint="eastAsia"/>
              </w:rPr>
              <w:t>项目数量</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根据年度计划</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项目咨询完成率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ppp</w:t>
            </w:r>
            <w:r>
              <w:rPr>
                <w:rFonts w:ascii="方正书宋_GBK" w:eastAsia="方正书宋_GBK" w:hint="eastAsia"/>
              </w:rPr>
              <w:t>项目完成程度</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根据年度计划</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资金到位率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资金到位数额</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根据年度计划</w:t>
            </w:r>
          </w:p>
        </w:tc>
      </w:tr>
      <w:tr>
        <w:trPr>
          <w:cantSplit/>
          <w:trHeight w:val="510"/>
        </w:trPr>
        <w:tc>
          <w:tcPr>
            <w:tcW w:w="1335"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综合业务完成率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各项业务完成情况</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基本完成</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根据实际完成情况</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PPP</w:t>
            </w:r>
            <w:r>
              <w:rPr>
                <w:rFonts w:ascii="方正书宋_GBK" w:eastAsia="方正书宋_GBK" w:hint="eastAsia"/>
              </w:rPr>
              <w:t>项目的完成情况</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保证</w:t>
            </w:r>
            <w:r>
              <w:rPr>
                <w:rFonts w:ascii="方正书宋_GBK" w:eastAsia="方正书宋_GBK"/>
              </w:rPr>
              <w:t>PPP</w:t>
            </w:r>
            <w:r>
              <w:rPr>
                <w:rFonts w:ascii="方正书宋_GBK" w:eastAsia="方正书宋_GBK" w:hint="eastAsia"/>
              </w:rPr>
              <w:t>项目的正常运转</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PPP</w:t>
            </w:r>
            <w:r>
              <w:rPr>
                <w:rFonts w:ascii="方正书宋_GBK" w:eastAsia="方正书宋_GBK" w:hint="eastAsia"/>
              </w:rPr>
              <w:t>项目正常运转</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根据实际完成情况</w:t>
            </w:r>
          </w:p>
        </w:tc>
      </w:tr>
      <w:tr>
        <w:trPr>
          <w:cantSplit/>
          <w:trHeight w:val="510"/>
        </w:trPr>
        <w:tc>
          <w:tcPr>
            <w:tcW w:w="1335" w:type="dxa"/>
            <w:vMerge/>
            <w:tcBorders>
              <w:tl2br w:val="nil"/>
              <w:tr2bl w:val="nil"/>
            </w:tcBorders>
            <w:vAlign w:val="center"/>
          </w:tcP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PPP</w:t>
            </w:r>
            <w:r>
              <w:rPr>
                <w:rFonts w:ascii="方正书宋_GBK" w:eastAsia="方正书宋_GBK" w:hint="eastAsia"/>
              </w:rPr>
              <w:t>项目功能实现率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PPP</w:t>
            </w:r>
            <w:r>
              <w:rPr>
                <w:rFonts w:ascii="方正书宋_GBK" w:eastAsia="方正书宋_GBK" w:hint="eastAsia"/>
              </w:rPr>
              <w:t>项目达到标准的程度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根据实际完成情况</w:t>
            </w:r>
          </w:p>
        </w:tc>
      </w:tr>
      <w:tr>
        <w:trPr>
          <w:cantSplit/>
          <w:trHeight w:val="510"/>
        </w:trPr>
        <w:tc>
          <w:tcPr>
            <w:tcW w:w="1335"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0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102"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接受调查的对象满意程度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jc w:val="left"/>
        <w:outlineLvl w:val="1"/>
        <w:rPr>
          <w:rFonts w:hAnsi="宋体"/>
          <w:b/>
          <w:sz w:val="28"/>
        </w:rPr>
      </w:pPr>
      <w:r>
        <w:rPr>
          <w:rFonts w:ascii="方正仿宋_GBK" w:eastAsia="方正仿宋_GBK" w:hint="eastAsia"/>
          <w:b/>
          <w:sz w:val="28"/>
        </w:rPr>
        <w:t>4、按决算编制入库项目的财政承受能力报告费绩效目标表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w:t>
            </w:r>
            <w:bookmarkStart w:id="1" w:name="_Toc31813754"/>
            <w:r>
              <w:rPr>
                <w:rFonts w:ascii="方正书宋_GBK" w:eastAsia="方正书宋_GBK" w:hint="eastAsia"/>
                <w:b/>
              </w:rPr>
              <w:t>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保障</w:t>
            </w:r>
            <w:r>
              <w:rPr>
                <w:rFonts w:ascii="方正书宋_GBK" w:eastAsia="方正书宋_GBK"/>
              </w:rPr>
              <w:t>ppp</w:t>
            </w:r>
            <w:r>
              <w:rPr>
                <w:rFonts w:ascii="方正书宋_GBK" w:eastAsia="方正书宋_GBK" w:hint="eastAsia"/>
              </w:rPr>
              <w:t>项目的正常运行。</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w:t>
            </w:r>
            <w:bookmarkEnd w:id="1"/>
            <w:r>
              <w:rPr>
                <w:rFonts w:ascii="方正书宋_GBK" w:eastAsia="方正书宋_GBK" w:hint="eastAsia"/>
                <w:b/>
              </w:rPr>
              <w:t>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资金到位率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资金到位数额</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根据决算报告</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工作合格率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合格的工作量占总工作量的比率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根据工作完成情况</w:t>
            </w:r>
          </w:p>
          <w:p>
            <w:pPr>
              <w:spacing w:line="300" w:lineRule="exact"/>
              <w:jc w:val="left"/>
              <w:rPr>
                <w:rFonts w:ascii="方正书宋_GBK" w:eastAsia="方正书宋_GBK" w:hint="eastAsia"/>
              </w:rPr>
            </w:pP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工作量完成率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完成的工作量占总工作量的比率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根据工作完成情况</w:t>
            </w:r>
          </w:p>
        </w:tc>
      </w:tr>
      <w:tr>
        <w:trPr>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社会保障能力</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保障相关业务，工作开展情况</w:t>
            </w:r>
          </w:p>
          <w:p>
            <w:pPr>
              <w:spacing w:line="300" w:lineRule="exact"/>
              <w:jc w:val="left"/>
              <w:rPr>
                <w:rFonts w:ascii="方正书宋_GBK" w:eastAsia="方正书宋_GBK"/>
              </w:rPr>
            </w:pP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较好保障</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根据工作完成情况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社会服务能力提升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单位服务社会提升情况</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保障事业发展</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保障各项工作的正常运转</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较好保障</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根据工作完成情况</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接受调查人员的满意程度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jc w:val="left"/>
        <w:outlineLvl w:val="1"/>
        <w:rPr>
          <w:rFonts w:hAnsi="宋体"/>
          <w:b/>
          <w:sz w:val="28"/>
        </w:rPr>
      </w:pPr>
      <w:r>
        <w:rPr>
          <w:rFonts w:ascii="仿宋_GB2312" w:eastAsia="仿宋_GB2312" w:hint="eastAsia"/>
          <w:sz w:val="32"/>
          <w:szCs w:val="32"/>
        </w:rPr>
        <w:t xml:space="preserve"> </w:t>
      </w:r>
      <w:r>
        <w:rPr>
          <w:rFonts w:ascii="方正仿宋_GBK" w:eastAsia="方正仿宋_GBK" w:hint="eastAsia"/>
          <w:b/>
          <w:sz w:val="28"/>
        </w:rPr>
        <w:t>5、保安人员委托业务费绩效目标表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w:t>
            </w:r>
            <w:bookmarkStart w:id="2" w:name="_Toc31813755"/>
            <w:r>
              <w:rPr>
                <w:rFonts w:ascii="方正书宋_GBK" w:eastAsia="方正书宋_GBK" w:hint="eastAsia"/>
                <w:b/>
              </w:rPr>
              <w:t>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、保障机关安保工作</w:t>
            </w:r>
            <w:r>
              <w:rPr>
                <w:rFonts w:ascii="方正书宋_GBK" w:eastAsia="方正书宋_GBK"/>
              </w:rPr>
              <w:t>2</w:t>
            </w:r>
            <w:r>
              <w:rPr>
                <w:rFonts w:ascii="方正书宋_GBK" w:eastAsia="方正书宋_GBK" w:hint="eastAsia"/>
              </w:rPr>
              <w:t>、保</w:t>
            </w:r>
            <w:bookmarkEnd w:id="2"/>
            <w:r>
              <w:rPr>
                <w:rFonts w:ascii="方正书宋_GBK" w:eastAsia="方正书宋_GBK" w:hint="eastAsia"/>
              </w:rPr>
              <w:t>证工资发放及时准确</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保安人员数量</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聘请的保安人员人数</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聘用合同</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工资发放及时率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工资发放的及时程度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工资发放情况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工资发放准确率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工资发放准确程度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工资发放情况</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安排的就业人数</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解决就业人数</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4</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聘请合同</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基本生活保障情况</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为工作人员提高基本的生活保障</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基本保障</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工资发放情况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保障事业发展</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保障单位的安保工作</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单位安保基本保障</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单位安保工作情况</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单位工作人员满意程度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jc w:val="left"/>
        <w:outlineLvl w:val="1"/>
        <w:rPr>
          <w:rFonts w:hAnsi="宋体"/>
          <w:b/>
          <w:sz w:val="28"/>
        </w:rPr>
      </w:pPr>
      <w:r>
        <w:rPr>
          <w:rFonts w:ascii="方正仿宋_GBK" w:eastAsia="方正仿宋_GBK" w:hint="eastAsia"/>
          <w:b/>
          <w:sz w:val="28"/>
        </w:rPr>
        <w:t>6、财政绩效评价委托服务费绩效目标表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w:t>
            </w:r>
            <w:bookmarkStart w:id="3" w:name="_Toc31813756"/>
            <w:r>
              <w:rPr>
                <w:rFonts w:ascii="方正书宋_GBK" w:eastAsia="方正书宋_GBK" w:hint="eastAsia"/>
                <w:b/>
              </w:rPr>
              <w:t>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、完善财政支出绩效评价，保证</w:t>
            </w:r>
            <w:bookmarkEnd w:id="3"/>
            <w:r>
              <w:rPr>
                <w:rFonts w:ascii="方正书宋_GBK" w:eastAsia="方正书宋_GBK" w:hint="eastAsia"/>
              </w:rPr>
              <w:t>资金的合理有效利用。</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完成率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按照要求和计划完成评价数量在所有项目支出中的比例（百分比）</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根据年度预算计划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委托业务费最低标准</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执行第三方服务协议发放标准</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根据年度预算计划</w:t>
            </w:r>
          </w:p>
        </w:tc>
      </w:tr>
      <w:tr>
        <w:trPr>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长期使用性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能够长期较好的使用，满足我局正常使用要求</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根据年度使用效率</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综合利用率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财政支出绩效评价的效果</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根据年度使用效果</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资金的运用效果</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带动社会资金投入与扶持奖励资金的比例。</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根据实际影响效果</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接受调查的人员的满意程度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jc w:val="left"/>
        <w:outlineLvl w:val="1"/>
        <w:rPr>
          <w:rFonts w:hAnsi="宋体"/>
          <w:b/>
          <w:sz w:val="28"/>
        </w:rPr>
      </w:pPr>
      <w:r>
        <w:rPr>
          <w:rFonts w:ascii="方正仿宋_GBK" w:eastAsia="方正仿宋_GBK" w:hint="eastAsia"/>
          <w:b/>
          <w:sz w:val="28"/>
        </w:rPr>
        <w:t>7、财政系统人员培训费绩效目标表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w:t>
            </w:r>
            <w:bookmarkStart w:id="4" w:name="_Toc31813757"/>
            <w:r>
              <w:rPr>
                <w:rFonts w:ascii="方正书宋_GBK" w:eastAsia="方正书宋_GBK" w:hint="eastAsia"/>
                <w:b/>
              </w:rPr>
              <w:t>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、组织系统干部培训</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w:t>
            </w:r>
            <w:bookmarkEnd w:id="4"/>
            <w:r>
              <w:rPr>
                <w:rFonts w:ascii="方正书宋_GBK" w:eastAsia="方正书宋_GBK" w:hint="eastAsia"/>
              </w:rPr>
              <w:t>增强业务水平，提高业务素质</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完成培训的数量</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培训实施的数量</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培训合格率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培训合格的数量占培训总学员的比例</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培训按期完成率</w:t>
            </w:r>
          </w:p>
          <w:p>
            <w:pPr>
              <w:spacing w:line="300" w:lineRule="exact"/>
              <w:jc w:val="left"/>
              <w:rPr>
                <w:rFonts w:ascii="方正书宋_GBK" w:eastAsia="方正书宋_GBK" w:hint="eastAsia"/>
              </w:rPr>
            </w:pP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按期完成的培训计划占总培训比例</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培训完成率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年度内已完成的培训占计划的比例</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组织培训的次数</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培训和组织具有系统业务特色的培训</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长期使用性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能够长期较好地开展培训，满足受训人员对精神文化的需求。</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调查中满意及较满意受训学员</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jc w:val="left"/>
        <w:outlineLvl w:val="1"/>
        <w:rPr>
          <w:rFonts w:hAnsi="宋体"/>
          <w:b/>
          <w:sz w:val="28"/>
        </w:rPr>
      </w:pPr>
      <w:r>
        <w:rPr>
          <w:rFonts w:ascii="方正仿宋_GBK" w:eastAsia="方正仿宋_GBK" w:hint="eastAsia"/>
          <w:b/>
          <w:sz w:val="28"/>
        </w:rPr>
        <w:t>8、采购办聘请专家费绩效目标表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w:t>
            </w:r>
            <w:bookmarkStart w:id="5" w:name="_Toc31813758"/>
            <w:r>
              <w:rPr>
                <w:rFonts w:ascii="方正书宋_GBK" w:eastAsia="方正书宋_GBK" w:hint="eastAsia"/>
                <w:b/>
              </w:rPr>
              <w:t>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、更好的履行政府采购投</w:t>
            </w:r>
            <w:bookmarkEnd w:id="5"/>
            <w:r>
              <w:rPr>
                <w:rFonts w:ascii="方正书宋_GBK" w:eastAsia="方正书宋_GBK" w:hint="eastAsia"/>
              </w:rPr>
              <w:t>诉处理职能</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、是投诉处理更高效、科学，更好地保障机关运转。</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781"/>
        <w:gridCol w:w="2804"/>
        <w:gridCol w:w="858"/>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78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0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858"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78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处理投诉事项的高效及时性</w:t>
            </w:r>
          </w:p>
        </w:tc>
        <w:tc>
          <w:tcPr>
            <w:tcW w:w="280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高效驾驶科学的处理投诉事宜</w:t>
            </w:r>
          </w:p>
        </w:tc>
        <w:tc>
          <w:tcPr>
            <w:tcW w:w="858"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78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处理投诉的数量</w:t>
            </w:r>
          </w:p>
        </w:tc>
        <w:tc>
          <w:tcPr>
            <w:tcW w:w="280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年度内高效处理投诉的数量</w:t>
            </w:r>
          </w:p>
        </w:tc>
        <w:tc>
          <w:tcPr>
            <w:tcW w:w="858"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78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评审合格率</w:t>
            </w:r>
          </w:p>
        </w:tc>
        <w:tc>
          <w:tcPr>
            <w:tcW w:w="280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质量合格的数量占评审总数量的比例</w:t>
            </w:r>
          </w:p>
        </w:tc>
        <w:tc>
          <w:tcPr>
            <w:tcW w:w="858"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根据实际评审数量</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78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长期性</w:t>
            </w:r>
          </w:p>
        </w:tc>
        <w:tc>
          <w:tcPr>
            <w:tcW w:w="280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增强解决采购投诉处理能力</w:t>
            </w:r>
          </w:p>
        </w:tc>
        <w:tc>
          <w:tcPr>
            <w:tcW w:w="858"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根据实际处理结果</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78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复议率降低率</w:t>
            </w:r>
          </w:p>
        </w:tc>
        <w:tc>
          <w:tcPr>
            <w:tcW w:w="280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复议率的完成程度</w:t>
            </w:r>
          </w:p>
        </w:tc>
        <w:tc>
          <w:tcPr>
            <w:tcW w:w="858"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根据复议率数量</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78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社会稳定水平</w:t>
            </w:r>
          </w:p>
        </w:tc>
        <w:tc>
          <w:tcPr>
            <w:tcW w:w="280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通过实施计划生育扶助政策促进社会稳定水平逐步提高</w:t>
            </w:r>
          </w:p>
        </w:tc>
        <w:tc>
          <w:tcPr>
            <w:tcW w:w="858"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根据实际处理结果</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78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0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接受服务群众的满意程度</w:t>
            </w:r>
          </w:p>
        </w:tc>
        <w:tc>
          <w:tcPr>
            <w:tcW w:w="858"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根据调查问卷</w:t>
            </w:r>
          </w:p>
        </w:tc>
      </w:tr>
    </w:tbl>
    <w:p>
      <w:pPr>
        <w:autoSpaceDE w:val="0"/>
        <w:autoSpaceDN w:val="0"/>
        <w:adjustRightInd w:val="0"/>
        <w:snapToGrid w:val="0"/>
        <w:spacing w:line="560" w:lineRule="exact"/>
        <w:jc w:val="left"/>
        <w:rPr>
          <w:rFonts w:ascii="方正仿宋_GBK" w:eastAsia="方正仿宋_GBK" w:hint="eastAsia"/>
          <w:b/>
          <w:sz w:val="28"/>
        </w:rPr>
      </w:pPr>
      <w:r>
        <w:rPr>
          <w:rFonts w:ascii="方正仿宋_GBK" w:eastAsia="方正仿宋_GBK" w:hint="eastAsia"/>
          <w:b/>
          <w:sz w:val="28"/>
        </w:rPr>
        <w:t>9、出租屋税金绩效目标表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合理安排出租房屋税金的上缴</w:t>
            </w:r>
          </w:p>
          <w:p>
            <w:pPr>
              <w:spacing w:line="300" w:lineRule="exact"/>
              <w:jc w:val="left"/>
              <w:rPr>
                <w:rFonts w:ascii="方正书宋_GBK" w:eastAsia="方正书宋_GBK"/>
              </w:rPr>
            </w:pP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合同执行违规率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合同执行违规部分占合同总数的比例</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合同协议</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税金到位率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实际到位扶助资金占应到位资金的比例</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根据年度计划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保障工作需要情况</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租用办公（业务）用房的效益</w:t>
            </w:r>
          </w:p>
        </w:tc>
        <w:tc>
          <w:tcPr>
            <w:tcW w:w="1276" w:type="dxa"/>
            <w:tcBorders>
              <w:tl2br w:val="nil"/>
              <w:tr2bl w:val="nil"/>
            </w:tcBorders>
            <w:vAlign w:val="center"/>
          </w:tcPr>
          <w:p>
            <w:pPr>
              <w:spacing w:line="300" w:lineRule="exact"/>
              <w:jc w:val="left"/>
              <w:rPr>
                <w:rFonts w:ascii="方正书宋_GBK" w:eastAsia="方正书宋_GBK" w:hint="eastAsia"/>
              </w:rPr>
            </w:pP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根据年度计划</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保障工作开展</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保障所需业务的工作的正常运转</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业务工作正常运转</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根据使用情况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达到绿色产业标准</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不对生态环境产生坏的影响</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根据实际使用情况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税金缴纳规范性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税金缴纳规范程度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根据实际缴纳情况</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接受调查人员服务的满意程度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问卷调查</w:t>
            </w:r>
          </w:p>
        </w:tc>
      </w:tr>
    </w:tbl>
    <w:p>
      <w:pPr>
        <w:autoSpaceDE w:val="0"/>
        <w:autoSpaceDN w:val="0"/>
        <w:adjustRightInd w:val="0"/>
        <w:snapToGrid w:val="0"/>
        <w:spacing w:line="560" w:lineRule="exact"/>
        <w:jc w:val="left"/>
        <w:rPr>
          <w:rFonts w:hAnsi="宋体"/>
          <w:b/>
          <w:sz w:val="28"/>
        </w:rPr>
      </w:pPr>
      <w:r>
        <w:rPr>
          <w:rFonts w:ascii="方正仿宋_GBK" w:eastAsia="方正仿宋_GBK" w:hint="eastAsia"/>
          <w:b/>
          <w:sz w:val="28"/>
        </w:rPr>
        <w:t>10、公物仓运行费绩效目标表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w:t>
            </w:r>
            <w:bookmarkStart w:id="6" w:name="_Toc31813759"/>
            <w:r>
              <w:rPr>
                <w:rFonts w:ascii="方正书宋_GBK" w:eastAsia="方正书宋_GBK" w:hint="eastAsia"/>
                <w:b/>
              </w:rPr>
              <w:t>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保障公物仓正常运行</w:t>
            </w:r>
            <w:bookmarkEnd w:id="6"/>
            <w:r>
              <w:rPr>
                <w:rFonts w:ascii="方正书宋_GBK" w:eastAsia="方正书宋_GBK" w:hint="eastAsia"/>
              </w:rPr>
              <w:t>和使用</w:t>
            </w:r>
          </w:p>
          <w:p>
            <w:pPr>
              <w:spacing w:line="300" w:lineRule="exact"/>
              <w:jc w:val="left"/>
              <w:rPr>
                <w:rFonts w:ascii="方正书宋_GBK" w:eastAsia="方正书宋_GBK"/>
              </w:rPr>
            </w:pP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完成率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按照实际完成维修的项目占所有项目的比例</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根据实际维修情况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维修次数</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维修公物仓次数</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根据实际维修情况</w:t>
            </w:r>
          </w:p>
        </w:tc>
      </w:tr>
      <w:tr>
        <w:trPr>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维修合格率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通过维修正常使用的比例</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根据实际维修情况</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业务保障能力</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保障相关业务、工作等开展情况</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维护公物仓正常运行</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综合利用效率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公物仓维修后的正常使用、利用情况</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保障公物仓的使用</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保障公物仓的正常使用</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保障公物仓正常使用</w:t>
            </w:r>
          </w:p>
        </w:tc>
        <w:tc>
          <w:tcPr>
            <w:tcW w:w="1701" w:type="dxa"/>
            <w:tcBorders>
              <w:tl2br w:val="nil"/>
              <w:tr2bl w:val="nil"/>
            </w:tcBorders>
            <w:vAlign w:val="center"/>
          </w:tcPr>
          <w:p>
            <w:pPr>
              <w:spacing w:line="300" w:lineRule="exact"/>
              <w:jc w:val="left"/>
              <w:rPr>
                <w:rFonts w:ascii="方正书宋_GBK" w:eastAsia="方正书宋_GBK" w:hint="eastAsia"/>
              </w:rPr>
            </w:pP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接受调查人员的满意程度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autoSpaceDE w:val="0"/>
        <w:autoSpaceDN w:val="0"/>
        <w:adjustRightInd w:val="0"/>
        <w:snapToGrid w:val="0"/>
        <w:spacing w:line="560" w:lineRule="exact"/>
        <w:jc w:val="left"/>
        <w:rPr>
          <w:rFonts w:hint="eastAsia"/>
        </w:rPr>
      </w:pPr>
      <w:r>
        <w:rPr>
          <w:rFonts w:ascii="方正仿宋_GBK" w:eastAsia="方正仿宋_GBK" w:hint="eastAsia"/>
          <w:b/>
          <w:sz w:val="28"/>
        </w:rPr>
        <w:t>11、国有资产软件管理更新费绩效目标表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、保证软件正常使用</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、保证机关工作的正常运转</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软件升级的数量</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设备升级数量</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按实际要求</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软件故障率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软件故障占总运行时间的比例</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软件正常运转情况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付款及时率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软件更新后付款及时程度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按实际情况</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长期使用性</w:t>
            </w:r>
          </w:p>
          <w:p>
            <w:pPr>
              <w:spacing w:line="300" w:lineRule="exact"/>
              <w:jc w:val="left"/>
              <w:rPr>
                <w:rFonts w:ascii="方正书宋_GBK" w:eastAsia="方正书宋_GBK" w:hint="eastAsia"/>
              </w:rPr>
            </w:pP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能够长期正常使用</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机关工作正常运转</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根据软件正常使用情况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故障降低率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故障发生同期下降比例</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根据软件正常使用情况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软件服务水平</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业务能力及效率提升情况</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根据工作效率提高情况</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工作人员对办公效率的满意程度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根据问卷调查</w:t>
            </w:r>
          </w:p>
        </w:tc>
      </w:tr>
    </w:tbl>
    <w:p>
      <w:pPr>
        <w:numPr>
          <w:ilvl w:val="0"/>
          <w:numId w:val="3"/>
        </w:numPr>
        <w:autoSpaceDE w:val="0"/>
        <w:autoSpaceDN w:val="0"/>
        <w:adjustRightInd w:val="0"/>
        <w:snapToGrid w:val="0"/>
        <w:spacing w:line="560" w:lineRule="exact"/>
        <w:jc w:val="left"/>
        <w:rPr>
          <w:rFonts w:ascii="方正仿宋_GBK" w:eastAsia="方正仿宋_GBK" w:hint="eastAsia"/>
          <w:b/>
          <w:sz w:val="28"/>
        </w:rPr>
      </w:pPr>
      <w:r>
        <w:rPr>
          <w:rFonts w:ascii="方正仿宋_GBK" w:eastAsia="方正仿宋_GBK" w:hint="eastAsia"/>
          <w:b/>
          <w:sz w:val="28"/>
        </w:rPr>
        <w:t xml:space="preserve">国有资产运营费绩效目标表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 xml:space="preserve">、进一步完善国有资产的管理 </w:t>
            </w:r>
            <w:r>
              <w:rPr>
                <w:rFonts w:ascii="方正书宋_GBK" w:eastAsia="方正书宋_GBK"/>
              </w:rPr>
              <w:t>2</w:t>
            </w:r>
            <w:r>
              <w:rPr>
                <w:rFonts w:ascii="方正书宋_GBK" w:eastAsia="方正书宋_GBK" w:hint="eastAsia"/>
              </w:rPr>
              <w:t>、保障工作正常运转</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3380"/>
        <w:gridCol w:w="787"/>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3380"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787"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处置及运营国有资产的数量</w:t>
            </w:r>
          </w:p>
        </w:tc>
        <w:tc>
          <w:tcPr>
            <w:tcW w:w="3380"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处置及运营国有资产的数量</w:t>
            </w:r>
          </w:p>
        </w:tc>
        <w:tc>
          <w:tcPr>
            <w:tcW w:w="78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根据相关规定</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处置及运营国有资产的及时性</w:t>
            </w:r>
          </w:p>
        </w:tc>
        <w:tc>
          <w:tcPr>
            <w:tcW w:w="3380"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及时处置及运营需要的国有资产</w:t>
            </w:r>
          </w:p>
        </w:tc>
        <w:tc>
          <w:tcPr>
            <w:tcW w:w="78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根据相关规定</w:t>
            </w:r>
          </w:p>
        </w:tc>
      </w:tr>
      <w:tr>
        <w:trPr>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资金到位率</w:t>
            </w:r>
          </w:p>
        </w:tc>
        <w:tc>
          <w:tcPr>
            <w:tcW w:w="3380"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处置资产的资金使用率</w:t>
            </w:r>
          </w:p>
        </w:tc>
        <w:tc>
          <w:tcPr>
            <w:tcW w:w="78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根据年度计划</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保障国有资产的使用率</w:t>
            </w:r>
          </w:p>
        </w:tc>
        <w:tc>
          <w:tcPr>
            <w:tcW w:w="3380"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国有资产处置效率</w:t>
            </w:r>
          </w:p>
        </w:tc>
        <w:tc>
          <w:tcPr>
            <w:tcW w:w="78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根据实际情况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为资产正常使用提供保障</w:t>
            </w:r>
          </w:p>
        </w:tc>
        <w:tc>
          <w:tcPr>
            <w:tcW w:w="3380"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国有资产正常使用情况</w:t>
            </w:r>
          </w:p>
        </w:tc>
        <w:tc>
          <w:tcPr>
            <w:tcW w:w="78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根据实际情况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社会稳定水平</w:t>
            </w:r>
          </w:p>
        </w:tc>
        <w:tc>
          <w:tcPr>
            <w:tcW w:w="3380"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通过国有资产的处置和运转确保社会稳定</w:t>
            </w:r>
          </w:p>
        </w:tc>
        <w:tc>
          <w:tcPr>
            <w:tcW w:w="78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根据实际情况</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3380"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接受调查的满意程度</w:t>
            </w:r>
          </w:p>
        </w:tc>
        <w:tc>
          <w:tcPr>
            <w:tcW w:w="787"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问卷调查</w:t>
            </w:r>
          </w:p>
        </w:tc>
      </w:tr>
    </w:tbl>
    <w:p>
      <w:pPr>
        <w:autoSpaceDE w:val="0"/>
        <w:autoSpaceDN w:val="0"/>
        <w:adjustRightInd w:val="0"/>
        <w:snapToGrid w:val="0"/>
        <w:spacing w:line="560" w:lineRule="exact"/>
        <w:jc w:val="left"/>
        <w:rPr>
          <w:rFonts w:hAnsi="宋体"/>
          <w:b/>
          <w:sz w:val="28"/>
        </w:rPr>
      </w:pPr>
      <w:r>
        <w:rPr>
          <w:rFonts w:ascii="方正仿宋_GBK" w:eastAsia="方正仿宋_GBK" w:hint="eastAsia"/>
          <w:b/>
          <w:sz w:val="28"/>
        </w:rPr>
        <w:t>13、机房设备更新、办公设备购置及耗材等绩效目标表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60"/>
        <w:gridCol w:w="8452"/>
      </w:tblGrid>
      <w:tr>
        <w:trPr>
          <w:trHeight w:val="369"/>
        </w:trPr>
        <w:tc>
          <w:tcPr>
            <w:tcW w:w="960"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w:t>
            </w:r>
            <w:bookmarkStart w:id="7" w:name="_Toc31813763"/>
            <w:r>
              <w:rPr>
                <w:rFonts w:ascii="方正书宋_GBK" w:eastAsia="方正书宋_GBK" w:hint="eastAsia"/>
                <w:b/>
              </w:rPr>
              <w:t>目标</w:t>
            </w:r>
          </w:p>
        </w:tc>
        <w:tc>
          <w:tcPr>
            <w:tcW w:w="8452"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、本单位提高保障能力和服务水平。</w:t>
            </w:r>
            <w:r>
              <w:rPr>
                <w:rFonts w:ascii="方正书宋_GBK" w:eastAsia="方正书宋_GBK"/>
              </w:rPr>
              <w:t>2</w:t>
            </w:r>
            <w:r>
              <w:rPr>
                <w:rFonts w:ascii="方正书宋_GBK" w:eastAsia="方正书宋_GBK" w:hint="eastAsia"/>
              </w:rPr>
              <w:t>、达到机</w:t>
            </w:r>
            <w:bookmarkEnd w:id="7"/>
            <w:r>
              <w:rPr>
                <w:rFonts w:ascii="方正书宋_GBK" w:eastAsia="方正书宋_GBK" w:hint="eastAsia"/>
              </w:rPr>
              <w:t>房稳定运转，网络畅通的效果。</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960"/>
        <w:gridCol w:w="2607"/>
        <w:gridCol w:w="8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960"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607"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8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960"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办公设备采购数量</w:t>
            </w:r>
          </w:p>
        </w:tc>
        <w:tc>
          <w:tcPr>
            <w:tcW w:w="260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当年需采购办公设备的数量</w:t>
            </w:r>
          </w:p>
        </w:tc>
        <w:tc>
          <w:tcPr>
            <w:tcW w:w="8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根据信息化要求</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960"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系统设备故障修复时间</w:t>
            </w:r>
          </w:p>
        </w:tc>
        <w:tc>
          <w:tcPr>
            <w:tcW w:w="260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响应系统故障并修复的时间</w:t>
            </w:r>
          </w:p>
        </w:tc>
        <w:tc>
          <w:tcPr>
            <w:tcW w:w="8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根据实际情况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960"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购买质量合格率</w:t>
            </w:r>
          </w:p>
        </w:tc>
        <w:tc>
          <w:tcPr>
            <w:tcW w:w="260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购买质量合格的数量占购置总数</w:t>
            </w:r>
          </w:p>
        </w:tc>
        <w:tc>
          <w:tcPr>
            <w:tcW w:w="8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根据年度计划</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960"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保障工作正常开展</w:t>
            </w:r>
          </w:p>
        </w:tc>
        <w:tc>
          <w:tcPr>
            <w:tcW w:w="260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保障各项工作正常运转</w:t>
            </w:r>
          </w:p>
        </w:tc>
        <w:tc>
          <w:tcPr>
            <w:tcW w:w="8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保障机关正常运转</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根据机关正常运转情况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960"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保证工作高质量高效率发展</w:t>
            </w:r>
          </w:p>
        </w:tc>
        <w:tc>
          <w:tcPr>
            <w:tcW w:w="260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工作提高效率程度</w:t>
            </w:r>
          </w:p>
        </w:tc>
        <w:tc>
          <w:tcPr>
            <w:tcW w:w="8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按实际情况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960"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长期使用性</w:t>
            </w:r>
          </w:p>
        </w:tc>
        <w:tc>
          <w:tcPr>
            <w:tcW w:w="260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保持长期网络畅通</w:t>
            </w:r>
          </w:p>
        </w:tc>
        <w:tc>
          <w:tcPr>
            <w:tcW w:w="8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设备正常使用情况</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960"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607"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工作人员对办公效率的满意程度</w:t>
            </w:r>
          </w:p>
        </w:tc>
        <w:tc>
          <w:tcPr>
            <w:tcW w:w="8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numPr>
          <w:ilvl w:val="0"/>
          <w:numId w:val="4"/>
        </w:numPr>
        <w:jc w:val="left"/>
        <w:outlineLvl w:val="1"/>
        <w:rPr>
          <w:rFonts w:ascii="方正仿宋_GBK" w:eastAsia="方正仿宋_GBK" w:hint="eastAsia"/>
          <w:b/>
          <w:sz w:val="28"/>
        </w:rPr>
      </w:pPr>
      <w:r>
        <w:rPr>
          <w:rFonts w:ascii="方正仿宋_GBK" w:eastAsia="方正仿宋_GBK" w:hint="eastAsia"/>
          <w:b/>
          <w:sz w:val="28"/>
        </w:rPr>
        <w:t>见习生工资绩效目标表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、及时发放见习生工资，保障机关正常运转。</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、解决就业人数、缓解就业压力。</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见习生人员数量</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聘用的见习生人数</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11</w:t>
            </w:r>
            <w:r>
              <w:rPr>
                <w:rFonts w:ascii="方正书宋_GBK" w:eastAsia="方正书宋_GBK" w:hint="eastAsia"/>
              </w:rPr>
              <w:t>人</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聘用合同</w:t>
            </w:r>
          </w:p>
        </w:tc>
      </w:tr>
      <w:tr>
        <w:trPr>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工资发放及时率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工资发放的及时程度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工资发放情况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见习生月最低工资标准</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执行的见习生月工资标准</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1650</w:t>
            </w:r>
            <w:r>
              <w:rPr>
                <w:rFonts w:ascii="方正书宋_GBK" w:eastAsia="方正书宋_GBK" w:hint="eastAsia"/>
              </w:rPr>
              <w:t>元</w:t>
            </w:r>
            <w:r>
              <w:rPr>
                <w:rFonts w:ascii="方正书宋_GBK" w:eastAsia="方正书宋_GBK"/>
              </w:rPr>
              <w:t>/</w:t>
            </w:r>
            <w:r>
              <w:rPr>
                <w:rFonts w:ascii="方正书宋_GBK" w:eastAsia="方正书宋_GBK" w:hint="eastAsia"/>
              </w:rPr>
              <w:t>月，人</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规定标准</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安排就业人数</w:t>
            </w:r>
          </w:p>
          <w:p>
            <w:pPr>
              <w:spacing w:line="300" w:lineRule="exact"/>
              <w:jc w:val="left"/>
              <w:rPr>
                <w:rFonts w:ascii="方正书宋_GBK" w:eastAsia="方正书宋_GBK" w:hint="eastAsia"/>
              </w:rPr>
            </w:pP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解决就业人数，缓解就业压力</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11</w:t>
            </w:r>
            <w:r>
              <w:rPr>
                <w:rFonts w:ascii="方正书宋_GBK" w:eastAsia="方正书宋_GBK" w:hint="eastAsia"/>
              </w:rPr>
              <w:t>人</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实际人员情况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工资消费贡献率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工资收入的消费能力</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实际消费水平</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基本生活保障情况</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为刚毕业人员提供基本的生活保障</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基本保障</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工资发放情况</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接受基本公共卫生服务的重点人群对基层医疗卫生机构所提供服务的满意程度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numPr>
          <w:ilvl w:val="0"/>
          <w:numId w:val="4"/>
        </w:numPr>
        <w:jc w:val="left"/>
        <w:outlineLvl w:val="1"/>
        <w:rPr>
          <w:rFonts w:ascii="方正仿宋_GBK" w:eastAsia="方正仿宋_GBK" w:hint="eastAsia"/>
          <w:b/>
          <w:sz w:val="28"/>
        </w:rPr>
      </w:pPr>
      <w:r>
        <w:rPr>
          <w:rFonts w:ascii="方正仿宋_GBK" w:eastAsia="方正仿宋_GBK" w:hint="eastAsia"/>
          <w:b/>
          <w:sz w:val="28"/>
        </w:rPr>
        <w:t>劳务派遣、临时工（劳务费）绩效目标表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及时发放劳务派遣工资，保障机关正常运转。</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劳务派遣人员数量</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聘用的劳务派遣人数</w:t>
            </w:r>
          </w:p>
          <w:p>
            <w:pPr>
              <w:spacing w:line="300" w:lineRule="exact"/>
              <w:jc w:val="left"/>
              <w:rPr>
                <w:rFonts w:ascii="方正书宋_GBK" w:eastAsia="方正书宋_GBK"/>
              </w:rPr>
            </w:pP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0</w:t>
            </w:r>
            <w:r>
              <w:rPr>
                <w:rFonts w:ascii="方正书宋_GBK" w:eastAsia="方正书宋_GBK" w:hint="eastAsia"/>
              </w:rPr>
              <w:t>人</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聘用合同</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工资发放及时率</w:t>
            </w:r>
          </w:p>
          <w:p>
            <w:pPr>
              <w:spacing w:line="300" w:lineRule="exact"/>
              <w:jc w:val="left"/>
              <w:rPr>
                <w:rFonts w:ascii="方正书宋_GBK" w:eastAsia="方正书宋_GBK" w:hint="eastAsia"/>
              </w:rPr>
            </w:pP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工资发放的及时程度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工资发放情况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劳务派遣人员月最低工资标准</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执行的劳务派遣人员月工资标准</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1650</w:t>
            </w:r>
            <w:r>
              <w:rPr>
                <w:rFonts w:ascii="方正书宋_GBK" w:eastAsia="方正书宋_GBK" w:hint="eastAsia"/>
              </w:rPr>
              <w:t>元</w:t>
            </w:r>
            <w:r>
              <w:rPr>
                <w:rFonts w:ascii="方正书宋_GBK" w:eastAsia="方正书宋_GBK"/>
              </w:rPr>
              <w:t>/</w:t>
            </w:r>
            <w:r>
              <w:rPr>
                <w:rFonts w:ascii="方正书宋_GBK" w:eastAsia="方正书宋_GBK" w:hint="eastAsia"/>
              </w:rPr>
              <w:t>月，人</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国家规定标准</w:t>
            </w:r>
          </w:p>
          <w:p>
            <w:pPr>
              <w:spacing w:line="300" w:lineRule="exact"/>
              <w:jc w:val="left"/>
              <w:rPr>
                <w:rFonts w:ascii="方正书宋_GBK" w:eastAsia="方正书宋_GBK" w:hint="eastAsia"/>
              </w:rPr>
            </w:pP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安排就业人数</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解决就业人数，缓解就业压力</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0</w:t>
            </w:r>
            <w:r>
              <w:rPr>
                <w:rFonts w:ascii="方正书宋_GBK" w:eastAsia="方正书宋_GBK" w:hint="eastAsia"/>
              </w:rPr>
              <w:t>人</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实际劳务派遣人员情况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工资消费贡献率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工资收入的消费能力</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实际消费水平</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保障事业发展</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保障各项工作的正常运转</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0</w:t>
            </w:r>
            <w:r>
              <w:rPr>
                <w:rFonts w:ascii="方正书宋_GBK" w:eastAsia="方正书宋_GBK" w:hint="eastAsia"/>
              </w:rPr>
              <w:t>保障机关正常运转</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机关运转情况</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劳务派遣人员满意度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劳务派遣人员对工资待遇的满意度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numPr>
          <w:ilvl w:val="0"/>
          <w:numId w:val="4"/>
        </w:numPr>
        <w:jc w:val="left"/>
        <w:outlineLvl w:val="1"/>
        <w:rPr>
          <w:rFonts w:ascii="方正仿宋_GBK" w:eastAsia="方正仿宋_GBK" w:hint="eastAsia"/>
          <w:b/>
          <w:sz w:val="28"/>
        </w:rPr>
      </w:pPr>
      <w:r>
        <w:rPr>
          <w:rFonts w:ascii="方正仿宋_GBK" w:eastAsia="方正仿宋_GBK" w:hint="eastAsia"/>
          <w:b/>
          <w:sz w:val="28"/>
        </w:rPr>
        <w:t>农业保险保费区级配套绩效目标表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、及时足额拨付</w:t>
            </w:r>
            <w:r>
              <w:rPr>
                <w:rFonts w:ascii="方正书宋_GBK" w:eastAsia="方正书宋_GBK"/>
              </w:rPr>
              <w:t>2020</w:t>
            </w:r>
            <w:r>
              <w:rPr>
                <w:rFonts w:ascii="方正书宋_GBK" w:eastAsia="方正书宋_GBK" w:hint="eastAsia"/>
              </w:rPr>
              <w:t>年农业种植、养殖保险保费</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补贴险种的承保率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种植、养殖户的参保情况</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投保情况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基层农业保险服务网络覆盖率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基层农业保险网点覆盖情况</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申报补贴资金资料的合规率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补贴资料的合规性</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审核情况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承保机构展业的合规率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承包机构展业的合规性</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相关制度</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补贴资金到位率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补贴资金到位情况</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r>
              <w:rPr>
                <w:rFonts w:ascii="方正书宋_GBK" w:eastAsia="方正书宋_GBK" w:hint="eastAsia"/>
              </w:rPr>
              <w:t>≥</w:t>
            </w:r>
            <w:r>
              <w:rPr>
                <w:rFonts w:ascii="方正书宋_GBK" w:eastAsia="方正书宋_GBK"/>
              </w:rPr>
              <w:t>%</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查看帐务</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补贴资金到位实效</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补贴资金拨付到位是否及时</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w:t>
            </w:r>
            <w:r>
              <w:rPr>
                <w:rFonts w:ascii="方正书宋_GBK" w:eastAsia="方正书宋_GBK" w:hint="eastAsia"/>
              </w:rPr>
              <w:t>≤天</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查帐</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保险公司理赔及时性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保险公司理赔是否及时</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w:t>
            </w:r>
            <w:r>
              <w:rPr>
                <w:rFonts w:ascii="方正书宋_GBK" w:eastAsia="方正书宋_GBK" w:hint="eastAsia"/>
              </w:rPr>
              <w:t>≤天</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保险收入增长率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保险收入增长情况</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w:t>
            </w:r>
            <w:r>
              <w:rPr>
                <w:rFonts w:ascii="方正书宋_GBK" w:eastAsia="方正书宋_GBK"/>
              </w:rPr>
              <w:t xml:space="preserve"> </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受灾损失赔付率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受灾损失的理赔情况</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农业保险综合保障水平</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农业保险综合保障情况</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保险公司防灾减损投入增加率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保险公司防灾减灾投入情况</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投保农户满意度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参保农户对农业保险保费的开展情况满意度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jc w:val="left"/>
        <w:outlineLvl w:val="1"/>
        <w:rPr>
          <w:rFonts w:hAnsi="宋体"/>
          <w:b/>
          <w:sz w:val="28"/>
        </w:rPr>
      </w:pPr>
      <w:r>
        <w:rPr>
          <w:rFonts w:ascii="方正仿宋_GBK" w:eastAsia="方正仿宋_GBK" w:hint="eastAsia"/>
          <w:b/>
          <w:sz w:val="28"/>
        </w:rPr>
        <w:t>17、评审书籍报刊费、软件更新及询价费绩效目标表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w:t>
            </w:r>
            <w:bookmarkStart w:id="8" w:name="_Toc31813767"/>
            <w:r>
              <w:rPr>
                <w:rFonts w:ascii="方正书宋_GBK" w:eastAsia="方正书宋_GBK" w:hint="eastAsia"/>
                <w:b/>
              </w:rPr>
              <w:t>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、保障机关机关工作正常运转。</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w:t>
            </w:r>
            <w:bookmarkEnd w:id="8"/>
            <w:r>
              <w:rPr>
                <w:rFonts w:ascii="方正书宋_GBK" w:eastAsia="方正书宋_GBK" w:hint="eastAsia"/>
                <w:b/>
              </w:rPr>
              <w:t>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资金发放率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资金到位数额</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根据年度计划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软件升级数量</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设备升级数量</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根据年度计划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成本降低率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询价成本的下降程度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根据年度计划</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提升业务程度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提升业务能力、保证机关正常运转</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保障机关正常运转</w:t>
            </w:r>
          </w:p>
        </w:tc>
        <w:tc>
          <w:tcPr>
            <w:tcW w:w="1701" w:type="dxa"/>
            <w:tcBorders>
              <w:tl2br w:val="nil"/>
              <w:tr2bl w:val="nil"/>
            </w:tcBorders>
            <w:vAlign w:val="center"/>
          </w:tcPr>
          <w:p>
            <w:pPr>
              <w:spacing w:line="300" w:lineRule="exact"/>
              <w:jc w:val="left"/>
              <w:rPr>
                <w:rFonts w:ascii="方正书宋_GBK" w:eastAsia="方正书宋_GBK" w:hint="eastAsia"/>
              </w:rPr>
            </w:pP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业务成本的降低率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询价成本的下降成本</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p>
        </w:tc>
      </w:tr>
      <w:tr>
        <w:trPr>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长期使用性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保证软件的正常使用</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接受调查的人员的满意程度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p>
        </w:tc>
      </w:tr>
    </w:tbl>
    <w:p>
      <w:pPr>
        <w:jc w:val="left"/>
        <w:outlineLvl w:val="1"/>
        <w:rPr>
          <w:rFonts w:hAnsi="宋体"/>
          <w:b/>
          <w:sz w:val="28"/>
        </w:rPr>
      </w:pPr>
      <w:r>
        <w:rPr>
          <w:rFonts w:ascii="方正仿宋_GBK" w:eastAsia="方正仿宋_GBK" w:hint="eastAsia"/>
          <w:b/>
          <w:sz w:val="28"/>
        </w:rPr>
        <w:t>18、世行贷款小规模肉牛发展项目（本金利息）绩效目标表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w:t>
            </w:r>
            <w:bookmarkStart w:id="9" w:name="_Toc31813768"/>
            <w:r>
              <w:rPr>
                <w:rFonts w:ascii="方正书宋_GBK" w:eastAsia="方正书宋_GBK" w:hint="eastAsia"/>
                <w:b/>
              </w:rPr>
              <w:t>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、及时偿还世行贷款本金及利息</w:t>
            </w:r>
            <w:r>
              <w:rPr>
                <w:rFonts w:ascii="方正书宋_GBK" w:eastAsia="方正书宋_GBK"/>
              </w:rPr>
              <w:t>2</w:t>
            </w:r>
            <w:r>
              <w:rPr>
                <w:rFonts w:ascii="方正书宋_GBK" w:eastAsia="方正书宋_GBK" w:hint="eastAsia"/>
              </w:rPr>
              <w:t>、足额偿还世行贷</w:t>
            </w:r>
            <w:bookmarkEnd w:id="9"/>
            <w:r>
              <w:rPr>
                <w:rFonts w:ascii="方正书宋_GBK" w:eastAsia="方正书宋_GBK" w:hint="eastAsia"/>
              </w:rPr>
              <w:t>款本金及利息</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还款及时性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按照付款通知单要求及时拨付贷款本息</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资金到位率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按照付款通知单要求，保证贷款资金全部到位</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资金偿还率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按照付款通知单要求，</w:t>
            </w:r>
            <w:r>
              <w:rPr>
                <w:rFonts w:ascii="方正书宋_GBK" w:eastAsia="方正书宋_GBK"/>
              </w:rPr>
              <w:t>100%</w:t>
            </w:r>
            <w:r>
              <w:rPr>
                <w:rFonts w:ascii="方正书宋_GBK" w:eastAsia="方正书宋_GBK" w:hint="eastAsia"/>
              </w:rPr>
              <w:t>足额拨付贷款资金</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不发生还款违约事件</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按时拨付贷款资金，不发生还款违约事件</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保证财政平稳运行</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足额拨付贷款资金，不发生还款风险事件</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程序履行完整性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反映程序履行情况，履行全部拨款程序</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资金管理制度</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上级财政满意度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按照上级文件要求及时拨付日元贷款资金，避免在市财政汇总拨付偿还资金时造成不良影响</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百分比</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bl>
    <w:p>
      <w:pPr>
        <w:jc w:val="left"/>
        <w:outlineLvl w:val="1"/>
        <w:rPr>
          <w:rFonts w:hAnsi="宋体"/>
          <w:b/>
          <w:sz w:val="28"/>
        </w:rPr>
      </w:pPr>
      <w:r>
        <w:rPr>
          <w:rFonts w:ascii="方正仿宋_GBK" w:eastAsia="方正仿宋_GBK" w:hint="eastAsia"/>
          <w:b/>
          <w:sz w:val="28"/>
        </w:rPr>
        <w:t>19、数字化档案室建设绩效目标表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w:t>
            </w:r>
            <w:bookmarkStart w:id="10" w:name="_Toc31813769"/>
            <w:r>
              <w:rPr>
                <w:rFonts w:ascii="方正书宋_GBK" w:eastAsia="方正书宋_GBK" w:hint="eastAsia"/>
                <w:b/>
              </w:rPr>
              <w:t>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、档案室档案完善，保证档</w:t>
            </w:r>
            <w:bookmarkEnd w:id="10"/>
            <w:r>
              <w:rPr>
                <w:rFonts w:ascii="方正书宋_GBK" w:eastAsia="方正书宋_GBK" w:hint="eastAsia"/>
              </w:rPr>
              <w:t>案的标准化建设。</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完成率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按照要求和计划完成的数量占所有档案的比例</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87</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根据年度预算计划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标准化建设率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档案数字化建设程度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根据年度预算计划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财政电子档案建档率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已建立电子档案的数量占年度总档案的比例</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87</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根据年度预算计划</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长期使用性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能够长期较好的使用，满足单位正常利用率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根据年度使用效率</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综合利用率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数字化档案建设后档案的利用程度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根据年度使用效率</w:t>
            </w:r>
          </w:p>
        </w:tc>
      </w:tr>
      <w:tr>
        <w:trPr>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减少环境污染程度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减少环境污染</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根据年度实际影响效果</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接受调查人员的满意程度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jc w:val="left"/>
        <w:outlineLvl w:val="1"/>
        <w:rPr>
          <w:rFonts w:hAnsi="宋体"/>
          <w:b/>
          <w:sz w:val="28"/>
        </w:rPr>
      </w:pPr>
      <w:r>
        <w:rPr>
          <w:rFonts w:ascii="方正仿宋_GBK" w:eastAsia="方正仿宋_GBK" w:hint="eastAsia"/>
          <w:b/>
          <w:sz w:val="28"/>
        </w:rPr>
        <w:t>20、提前下达2020年度省级财政农业保险保费补贴资金唐财金【2019】28号绩效目标表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w:t>
            </w:r>
            <w:bookmarkStart w:id="11" w:name="_Toc31813770"/>
            <w:r>
              <w:rPr>
                <w:rFonts w:ascii="方正书宋_GBK" w:eastAsia="方正书宋_GBK" w:hint="eastAsia"/>
                <w:b/>
              </w:rPr>
              <w:t>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、为全区种植、养殖户提高防范风险和自然灾害的能力</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w:t>
            </w:r>
            <w:bookmarkEnd w:id="11"/>
            <w:r>
              <w:rPr>
                <w:rFonts w:ascii="方正书宋_GBK" w:eastAsia="方正书宋_GBK" w:hint="eastAsia"/>
                <w:b/>
              </w:rPr>
              <w:t>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补贴险种的承保率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种植、养殖户的参保情况</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投保情况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基层农业保险服务网络覆盖率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基层服务网点数量占全区各乡镇的比率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申报补贴资金资料的合规率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补贴资料是否完整合规</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审核情况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补贴资金到位率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补贴资金到位情况</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98</w:t>
            </w:r>
            <w:r>
              <w:rPr>
                <w:rFonts w:ascii="方正书宋_GBK" w:eastAsia="方正书宋_GBK" w:hint="eastAsia"/>
              </w:rPr>
              <w:t>≥</w:t>
            </w:r>
            <w:r>
              <w:rPr>
                <w:rFonts w:ascii="方正书宋_GBK" w:eastAsia="方正书宋_GBK"/>
              </w:rPr>
              <w:t>**%</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查看帐务</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补贴资金到位实效</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补贴资金到位是否及时</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w:t>
            </w:r>
            <w:r>
              <w:rPr>
                <w:rFonts w:ascii="方正书宋_GBK" w:eastAsia="方正书宋_GBK" w:hint="eastAsia"/>
              </w:rPr>
              <w:t>≤</w:t>
            </w:r>
            <w:r>
              <w:rPr>
                <w:rFonts w:ascii="方正书宋_GBK" w:eastAsia="方正书宋_GBK"/>
              </w:rPr>
              <w:t>**</w:t>
            </w:r>
            <w:r>
              <w:rPr>
                <w:rFonts w:ascii="方正书宋_GBK" w:eastAsia="方正书宋_GBK" w:hint="eastAsia"/>
              </w:rPr>
              <w:t>天</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查看帐务</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保险公司理赔及时性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受灾农户是否及时理赔</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15</w:t>
            </w:r>
            <w:r>
              <w:rPr>
                <w:rFonts w:ascii="方正书宋_GBK" w:eastAsia="方正书宋_GBK" w:hint="eastAsia"/>
              </w:rPr>
              <w:t>≤</w:t>
            </w:r>
            <w:r>
              <w:rPr>
                <w:rFonts w:ascii="方正书宋_GBK" w:eastAsia="方正书宋_GBK"/>
              </w:rPr>
              <w:t>**</w:t>
            </w:r>
            <w:r>
              <w:rPr>
                <w:rFonts w:ascii="方正书宋_GBK" w:eastAsia="方正书宋_GBK" w:hint="eastAsia"/>
              </w:rPr>
              <w:t>天</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受灾损失赔付率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受灾农户是否得到合理赔偿</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w:t>
            </w:r>
            <w:r>
              <w:rPr>
                <w:rFonts w:ascii="方正书宋_GBK" w:eastAsia="方正书宋_GBK"/>
              </w:rPr>
              <w:t xml:space="preserve"> </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农业保险综合保障水平</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是否得到全面保障</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w:t>
            </w:r>
            <w:r>
              <w:rPr>
                <w:rFonts w:ascii="方正书宋_GBK" w:eastAsia="方正书宋_GBK"/>
              </w:rPr>
              <w:t xml:space="preserve"> </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保险公司防灾减损投入增加率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保险公司防灾减灾投入情况</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投保农户满意度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投保农户满意度调查</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numPr>
          <w:ilvl w:val="0"/>
          <w:numId w:val="5"/>
        </w:numPr>
        <w:jc w:val="left"/>
        <w:outlineLvl w:val="1"/>
        <w:rPr>
          <w:rFonts w:ascii="方正仿宋_GBK" w:eastAsia="方正仿宋_GBK" w:hint="eastAsia"/>
          <w:b/>
          <w:sz w:val="28"/>
        </w:rPr>
      </w:pPr>
      <w:r>
        <w:rPr>
          <w:rFonts w:ascii="方正仿宋_GBK" w:eastAsia="方正仿宋_GBK" w:hint="eastAsia"/>
          <w:b/>
          <w:sz w:val="28"/>
        </w:rPr>
        <w:t>提前下达2020年农村综合改革项目资金绩效目标表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、提升乡村基础设施建设或村级体经济</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村内街道硬化里程</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水泥或沥青路面硬化</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公里</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根据实际情况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工程验收合格率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验收工程质量合格</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验收报告</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村内街道照明设施购建数量</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村内亮化建设</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w:t>
            </w:r>
            <w:r>
              <w:rPr>
                <w:rFonts w:ascii="方正书宋_GBK" w:eastAsia="方正书宋_GBK" w:hint="eastAsia"/>
              </w:rPr>
              <w:t>个</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根据实际情况</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村容村貌改善情况</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基础设施提升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明显改善</w:t>
            </w:r>
            <w:r>
              <w:rPr>
                <w:rFonts w:ascii="方正书宋_GBK" w:eastAsia="方正书宋_GBK"/>
              </w:rPr>
              <w:t>/</w:t>
            </w:r>
            <w:r>
              <w:rPr>
                <w:rFonts w:ascii="方正书宋_GBK" w:eastAsia="方正书宋_GBK" w:hint="eastAsia"/>
              </w:rPr>
              <w:t>改善</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根据实际情况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村内公共绿化增长率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绿化覆盖面积</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根据实际情况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工程使用年限</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工程质保年限</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w:t>
            </w:r>
            <w:r>
              <w:rPr>
                <w:rFonts w:ascii="方正书宋_GBK" w:eastAsia="方正书宋_GBK" w:hint="eastAsia"/>
              </w:rPr>
              <w:t>年</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合同</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受益人口满意度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村民满意程度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numPr>
          <w:ilvl w:val="0"/>
          <w:numId w:val="5"/>
        </w:numPr>
        <w:jc w:val="left"/>
        <w:outlineLvl w:val="1"/>
        <w:rPr>
          <w:rFonts w:ascii="方正仿宋_GBK" w:eastAsia="方正仿宋_GBK" w:hint="eastAsia"/>
          <w:b/>
          <w:sz w:val="28"/>
        </w:rPr>
      </w:pPr>
      <w:r>
        <w:rPr>
          <w:rFonts w:ascii="方正仿宋_GBK" w:eastAsia="方正仿宋_GBK" w:hint="eastAsia"/>
          <w:b/>
          <w:sz w:val="28"/>
        </w:rPr>
        <w:t>提前下达2020年农村综合改革项目资金绩效目标表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、提升乡村面貌或村集体收入</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村内街道硬化里程</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水泥或沥青路面硬化</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公里</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根据实际情况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工程验收合格率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验收工程质量合格</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验收报告</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村内街道照明设施购建数量</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村内亮化建设</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w:t>
            </w:r>
            <w:r>
              <w:rPr>
                <w:rFonts w:ascii="方正书宋_GBK" w:eastAsia="方正书宋_GBK" w:hint="eastAsia"/>
              </w:rPr>
              <w:t>个</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根据实际情况</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村容村貌改善情况</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基础设施提升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明显改善</w:t>
            </w:r>
            <w:r>
              <w:rPr>
                <w:rFonts w:ascii="方正书宋_GBK" w:eastAsia="方正书宋_GBK"/>
              </w:rPr>
              <w:t>/</w:t>
            </w:r>
            <w:r>
              <w:rPr>
                <w:rFonts w:ascii="方正书宋_GBK" w:eastAsia="方正书宋_GBK" w:hint="eastAsia"/>
              </w:rPr>
              <w:t>改善</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根据实际情况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村内公共绿化增长率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绿化覆盖面积</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根据实际情况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工程使用年限</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工程质保年限</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3</w:t>
            </w:r>
            <w:r>
              <w:rPr>
                <w:rFonts w:ascii="方正书宋_GBK" w:eastAsia="方正书宋_GBK" w:hint="eastAsia"/>
              </w:rPr>
              <w:t>年</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合同</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受益人口满意度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村民满意程度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jc w:val="left"/>
        <w:outlineLvl w:val="1"/>
        <w:rPr>
          <w:rFonts w:hAnsi="宋体"/>
          <w:b/>
          <w:sz w:val="28"/>
        </w:rPr>
      </w:pPr>
      <w:r>
        <w:rPr>
          <w:rFonts w:ascii="方正仿宋_GBK" w:eastAsia="方正仿宋_GBK" w:hint="eastAsia"/>
          <w:b/>
          <w:sz w:val="28"/>
        </w:rPr>
        <w:t>23、提前下达2020年中央财政农业保险保费预算指标唐财金【2019】27号绩效目标表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w:t>
            </w:r>
            <w:bookmarkStart w:id="12" w:name="_Toc31813773"/>
            <w:r>
              <w:rPr>
                <w:rFonts w:ascii="方正书宋_GBK" w:eastAsia="方正书宋_GBK" w:hint="eastAsia"/>
                <w:b/>
              </w:rPr>
              <w:t>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、引导和支持农户参加农业保险</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、中央财政主要保障关系国计民生和粮食安全的大宗</w:t>
            </w:r>
            <w:bookmarkEnd w:id="12"/>
            <w:r>
              <w:rPr>
                <w:rFonts w:ascii="方正书宋_GBK" w:eastAsia="方正书宋_GBK" w:hint="eastAsia"/>
              </w:rPr>
              <w:t>农产品，重点支持农业生产环节</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中央财政保费补贴比例</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用于保险补贴</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&gt;35</w:t>
            </w:r>
            <w:r>
              <w:rPr>
                <w:rFonts w:ascii="方正书宋_GBK" w:eastAsia="方正书宋_GBK" w:hint="eastAsia"/>
              </w:rPr>
              <w:t>百分比</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查看账务</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绝对免赔额</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受灾群众全部赔付</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0</w:t>
            </w:r>
            <w:r>
              <w:rPr>
                <w:rFonts w:ascii="方正书宋_GBK" w:eastAsia="方正书宋_GBK" w:hint="eastAsia"/>
              </w:rPr>
              <w:t>户</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风险保障总额</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农业保险投入总额高于去年</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&gt;3</w:t>
            </w:r>
            <w:r>
              <w:rPr>
                <w:rFonts w:ascii="方正书宋_GBK" w:eastAsia="方正书宋_GBK" w:hint="eastAsia"/>
              </w:rPr>
              <w:t>百分比</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查看账务</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经办机构县级分支机构覆盖率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经办机构县级分支机构基本覆盖</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百分比</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农业保险综合费用率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农业保险综合保障水平</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20</w:t>
            </w:r>
            <w:r>
              <w:rPr>
                <w:rFonts w:ascii="方正书宋_GBK" w:eastAsia="方正书宋_GBK" w:hint="eastAsia"/>
              </w:rPr>
              <w:t>百分比</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保险公司数据调查</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承保理赔公示率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用于农业保险理赔</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r>
              <w:rPr>
                <w:rFonts w:ascii="方正书宋_GBK" w:eastAsia="方正书宋_GBK" w:hint="eastAsia"/>
              </w:rPr>
              <w:t>百分比</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保险公司数据调查</w:t>
            </w:r>
          </w:p>
        </w:tc>
      </w:tr>
    </w:tbl>
    <w:p>
      <w:pPr>
        <w:jc w:val="left"/>
        <w:outlineLvl w:val="1"/>
        <w:rPr>
          <w:rFonts w:hAnsi="宋体"/>
          <w:b/>
          <w:sz w:val="28"/>
        </w:rPr>
      </w:pPr>
      <w:r>
        <w:rPr>
          <w:rFonts w:ascii="方正仿宋_GBK" w:eastAsia="方正仿宋_GBK" w:hint="eastAsia"/>
          <w:b/>
          <w:sz w:val="28"/>
        </w:rPr>
        <w:t>24、投资评审人员劳务费绩效目标表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w:t>
            </w:r>
            <w:bookmarkStart w:id="13" w:name="_Toc31813774"/>
            <w:r>
              <w:rPr>
                <w:rFonts w:ascii="方正书宋_GBK" w:eastAsia="方正书宋_GBK" w:hint="eastAsia"/>
                <w:b/>
              </w:rPr>
              <w:t>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、落实工资发放政策，保障按</w:t>
            </w:r>
            <w:bookmarkEnd w:id="13"/>
            <w:r>
              <w:rPr>
                <w:rFonts w:ascii="方正书宋_GBK" w:eastAsia="方正书宋_GBK" w:hint="eastAsia"/>
              </w:rPr>
              <w:t>月按时发放。</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、工作人员工资待遇满意。</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企业工资审核率</w:t>
            </w:r>
          </w:p>
          <w:p>
            <w:pPr>
              <w:spacing w:line="300" w:lineRule="exact"/>
              <w:jc w:val="left"/>
              <w:rPr>
                <w:rFonts w:ascii="方正书宋_GBK" w:eastAsia="方正书宋_GBK"/>
              </w:rPr>
            </w:pP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企业工资审核数与应审核单</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按本年度工作计划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工资发放及时率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工资发放及时程度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工资发放情况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工资发放准确率</w:t>
            </w:r>
          </w:p>
          <w:p>
            <w:pPr>
              <w:spacing w:line="300" w:lineRule="exact"/>
              <w:jc w:val="left"/>
              <w:rPr>
                <w:rFonts w:ascii="方正书宋_GBK" w:eastAsia="方正书宋_GBK" w:hint="eastAsia"/>
              </w:rPr>
            </w:pP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工资发放准确程度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工资发放情况</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社会保险报销及时率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社会保险报销事项实际在规定时间内办结的事项占应办结事项的比例</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社会保险报销情况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工资消费贡献率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工资收入的消费能力</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实际消费水平</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生活水平</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评审人员生活水平</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生活水平高低</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工资水平情况</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接受基本公共卫生服务的重点人群对基层医疗卫生机构所提供服务的满意程度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jc w:val="left"/>
        <w:outlineLvl w:val="1"/>
        <w:rPr>
          <w:rFonts w:hAnsi="宋体"/>
          <w:b/>
          <w:sz w:val="28"/>
        </w:rPr>
      </w:pPr>
      <w:r>
        <w:rPr>
          <w:rFonts w:ascii="方正仿宋_GBK" w:eastAsia="方正仿宋_GBK" w:hint="eastAsia"/>
          <w:b/>
          <w:sz w:val="28"/>
        </w:rPr>
        <w:t>25、网络WiFi项目工程质保金绩效目标表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w:t>
            </w:r>
            <w:bookmarkStart w:id="14" w:name="_Toc31813775"/>
            <w:r>
              <w:rPr>
                <w:rFonts w:ascii="方正书宋_GBK" w:eastAsia="方正书宋_GBK" w:hint="eastAsia"/>
                <w:b/>
              </w:rPr>
              <w:t>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、完成无线网工程</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、确保无线网正</w:t>
            </w:r>
            <w:bookmarkEnd w:id="14"/>
            <w:r>
              <w:rPr>
                <w:rFonts w:ascii="方正书宋_GBK" w:eastAsia="方正书宋_GBK" w:hint="eastAsia"/>
              </w:rPr>
              <w:t>常使用</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756"/>
        <w:gridCol w:w="2929"/>
        <w:gridCol w:w="758"/>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75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929"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758"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75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无线网增加个数</w:t>
            </w:r>
          </w:p>
          <w:p>
            <w:pPr>
              <w:spacing w:line="300" w:lineRule="exact"/>
              <w:jc w:val="left"/>
              <w:rPr>
                <w:rFonts w:ascii="方正书宋_GBK" w:eastAsia="方正书宋_GBK"/>
              </w:rPr>
            </w:pPr>
          </w:p>
        </w:tc>
        <w:tc>
          <w:tcPr>
            <w:tcW w:w="2929"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购买质量合格的数量占总数</w:t>
            </w:r>
          </w:p>
        </w:tc>
        <w:tc>
          <w:tcPr>
            <w:tcW w:w="758"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根据年度计划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75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网络故障率</w:t>
            </w:r>
          </w:p>
        </w:tc>
        <w:tc>
          <w:tcPr>
            <w:tcW w:w="2929"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反映网络线路的畅通及稳定性</w:t>
            </w:r>
          </w:p>
        </w:tc>
        <w:tc>
          <w:tcPr>
            <w:tcW w:w="758"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实际维护情况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75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网络排除效率</w:t>
            </w:r>
          </w:p>
        </w:tc>
        <w:tc>
          <w:tcPr>
            <w:tcW w:w="2929"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反映网络故障恢复的及时性</w:t>
            </w:r>
          </w:p>
        </w:tc>
        <w:tc>
          <w:tcPr>
            <w:tcW w:w="758"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实际情况</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75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故障降低率</w:t>
            </w:r>
          </w:p>
        </w:tc>
        <w:tc>
          <w:tcPr>
            <w:tcW w:w="2929"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故障发生同期下降比例</w:t>
            </w:r>
          </w:p>
        </w:tc>
        <w:tc>
          <w:tcPr>
            <w:tcW w:w="758"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网络发生故障次数</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75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长期使用性</w:t>
            </w:r>
          </w:p>
        </w:tc>
        <w:tc>
          <w:tcPr>
            <w:tcW w:w="2929"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能够保持网络畅通</w:t>
            </w:r>
          </w:p>
        </w:tc>
        <w:tc>
          <w:tcPr>
            <w:tcW w:w="758"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网络正常运转情况</w:t>
            </w:r>
          </w:p>
          <w:p>
            <w:pPr>
              <w:spacing w:line="300" w:lineRule="exact"/>
              <w:jc w:val="left"/>
              <w:rPr>
                <w:rFonts w:ascii="方正书宋_GBK" w:eastAsia="方正书宋_GBK" w:hint="eastAsia"/>
              </w:rPr>
            </w:pP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75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保障工作开展性</w:t>
            </w:r>
          </w:p>
        </w:tc>
        <w:tc>
          <w:tcPr>
            <w:tcW w:w="2929"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能够长期较好地运用网络，提高工作效率。</w:t>
            </w:r>
          </w:p>
        </w:tc>
        <w:tc>
          <w:tcPr>
            <w:tcW w:w="758"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机关正常运转情况</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75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929"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使用中满意及较满意的程度</w:t>
            </w:r>
          </w:p>
        </w:tc>
        <w:tc>
          <w:tcPr>
            <w:tcW w:w="758"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jc w:val="left"/>
        <w:outlineLvl w:val="1"/>
        <w:rPr>
          <w:rFonts w:hAnsi="宋体"/>
          <w:b/>
          <w:sz w:val="28"/>
        </w:rPr>
      </w:pPr>
      <w:r>
        <w:rPr>
          <w:rFonts w:ascii="方正仿宋_GBK" w:eastAsia="方正仿宋_GBK" w:hint="eastAsia"/>
          <w:b/>
          <w:sz w:val="28"/>
        </w:rPr>
        <w:t>26、委托业务费（外包查账）绩效目标表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w:t>
            </w:r>
            <w:bookmarkStart w:id="15" w:name="_Toc31813776"/>
            <w:r>
              <w:rPr>
                <w:rFonts w:ascii="方正书宋_GBK" w:eastAsia="方正书宋_GBK" w:hint="eastAsia"/>
                <w:b/>
              </w:rPr>
              <w:t>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规范我区企业及行政事业单位财务设</w:t>
            </w:r>
            <w:bookmarkEnd w:id="15"/>
            <w:r>
              <w:rPr>
                <w:rFonts w:ascii="方正书宋_GBK" w:eastAsia="方正书宋_GBK" w:hint="eastAsia"/>
              </w:rPr>
              <w:t>置及财务核算行为。</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检查单位数</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组织开展检查单位的数量</w:t>
            </w:r>
          </w:p>
          <w:p>
            <w:pPr>
              <w:spacing w:line="300" w:lineRule="exact"/>
              <w:jc w:val="left"/>
              <w:rPr>
                <w:rFonts w:ascii="方正书宋_GBK" w:eastAsia="方正书宋_GBK"/>
              </w:rPr>
            </w:pP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根据财务检查报告</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根据财务检查报告</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检查问题数</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发现检查单位所存在的问题数</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根据财务检查报告</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根据财务检查报告</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完成率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按照财务检查问题及时整改率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80</w:t>
            </w:r>
          </w:p>
        </w:tc>
        <w:tc>
          <w:tcPr>
            <w:tcW w:w="1701" w:type="dxa"/>
            <w:tcBorders>
              <w:tl2br w:val="nil"/>
              <w:tr2bl w:val="nil"/>
            </w:tcBorders>
            <w:vAlign w:val="center"/>
          </w:tcPr>
          <w:p>
            <w:pPr>
              <w:spacing w:line="300" w:lineRule="exact"/>
              <w:jc w:val="left"/>
              <w:rPr>
                <w:rFonts w:ascii="方正书宋_GBK" w:eastAsia="方正书宋_GBK" w:hint="eastAsia"/>
              </w:rPr>
            </w:pP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问题整改率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已整改问题数占发现问题数</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70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根据检查单位整改报告</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错误降低率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财务出现错误的次数</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0</w:t>
            </w:r>
          </w:p>
        </w:tc>
        <w:tc>
          <w:tcPr>
            <w:tcW w:w="1701" w:type="dxa"/>
            <w:tcBorders>
              <w:tl2br w:val="nil"/>
              <w:tr2bl w:val="nil"/>
            </w:tcBorders>
            <w:vAlign w:val="center"/>
          </w:tcPr>
          <w:p>
            <w:pPr>
              <w:spacing w:line="300" w:lineRule="exact"/>
              <w:jc w:val="left"/>
              <w:rPr>
                <w:rFonts w:ascii="方正书宋_GBK" w:eastAsia="方正书宋_GBK" w:hint="eastAsia"/>
              </w:rPr>
            </w:pP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长期使用性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能够长期较好地开展财务工作</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根据财务检查报告</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调查对象满意程度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numPr>
          <w:ilvl w:val="0"/>
          <w:numId w:val="6"/>
        </w:numPr>
        <w:jc w:val="left"/>
        <w:outlineLvl w:val="1"/>
        <w:rPr>
          <w:rFonts w:ascii="方正仿宋_GBK" w:eastAsia="方正仿宋_GBK" w:hint="eastAsia"/>
          <w:b/>
          <w:sz w:val="28"/>
        </w:rPr>
      </w:pPr>
      <w:r>
        <w:rPr>
          <w:rFonts w:ascii="方正仿宋_GBK" w:eastAsia="方正仿宋_GBK" w:hint="eastAsia"/>
          <w:b/>
          <w:sz w:val="28"/>
        </w:rPr>
        <w:t>新增土地储备专项债券发行费、代理付息服务费、兑付费等绩效目标表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、按要求拨付新增土地储备专项债券发行费、代理付息服务费、兑付费等</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3416"/>
        <w:gridCol w:w="751"/>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341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75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还款及时性</w:t>
            </w:r>
          </w:p>
        </w:tc>
        <w:tc>
          <w:tcPr>
            <w:tcW w:w="341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按照上级文件要求及时拨付债券资金，于到期日</w:t>
            </w:r>
            <w:r>
              <w:rPr>
                <w:rFonts w:ascii="方正书宋_GBK" w:eastAsia="方正书宋_GBK"/>
              </w:rPr>
              <w:t>15</w:t>
            </w:r>
            <w:r>
              <w:rPr>
                <w:rFonts w:ascii="方正书宋_GBK" w:eastAsia="方正书宋_GBK" w:hint="eastAsia"/>
              </w:rPr>
              <w:t>天前拨付</w:t>
            </w:r>
          </w:p>
        </w:tc>
        <w:tc>
          <w:tcPr>
            <w:tcW w:w="75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w:t>
            </w:r>
            <w:r>
              <w:rPr>
                <w:rFonts w:ascii="方正书宋_GBK" w:eastAsia="方正书宋_GBK" w:hint="eastAsia"/>
              </w:rPr>
              <w:t>天</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资金到位率</w:t>
            </w:r>
          </w:p>
        </w:tc>
        <w:tc>
          <w:tcPr>
            <w:tcW w:w="341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按照上级文件要求，保证债券资金全部到位</w:t>
            </w:r>
          </w:p>
        </w:tc>
        <w:tc>
          <w:tcPr>
            <w:tcW w:w="75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资金偿还率</w:t>
            </w:r>
          </w:p>
        </w:tc>
        <w:tc>
          <w:tcPr>
            <w:tcW w:w="341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w:t>
            </w:r>
            <w:r>
              <w:rPr>
                <w:rFonts w:ascii="方正书宋_GBK" w:eastAsia="方正书宋_GBK"/>
              </w:rPr>
              <w:t>100%</w:t>
            </w:r>
            <w:r>
              <w:rPr>
                <w:rFonts w:ascii="方正书宋_GBK" w:eastAsia="方正书宋_GBK" w:hint="eastAsia"/>
              </w:rPr>
              <w:t>足额拨付债券资金</w:t>
            </w:r>
          </w:p>
        </w:tc>
        <w:tc>
          <w:tcPr>
            <w:tcW w:w="75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未发生债务违约事件</w:t>
            </w:r>
          </w:p>
        </w:tc>
        <w:tc>
          <w:tcPr>
            <w:tcW w:w="341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按时拨付债券资金，不发生债务违约事件</w:t>
            </w:r>
          </w:p>
        </w:tc>
        <w:tc>
          <w:tcPr>
            <w:tcW w:w="75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债务偿还和风险化解规划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保证财政平稳运行</w:t>
            </w:r>
          </w:p>
        </w:tc>
        <w:tc>
          <w:tcPr>
            <w:tcW w:w="341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按时拨付债券资金，不发生债务风险事件</w:t>
            </w:r>
          </w:p>
        </w:tc>
        <w:tc>
          <w:tcPr>
            <w:tcW w:w="75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债务偿还和风险化解规划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程序履行完整性</w:t>
            </w:r>
          </w:p>
        </w:tc>
        <w:tc>
          <w:tcPr>
            <w:tcW w:w="341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反映程序履行情况，履行全部拨款程序</w:t>
            </w:r>
          </w:p>
        </w:tc>
        <w:tc>
          <w:tcPr>
            <w:tcW w:w="75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资金管理制度</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上级财政满意度</w:t>
            </w:r>
          </w:p>
        </w:tc>
        <w:tc>
          <w:tcPr>
            <w:tcW w:w="341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按照上级文件要求及时拨付债券资金，避免在市财政汇总拨付债券资金时造成不良影响</w:t>
            </w:r>
          </w:p>
        </w:tc>
        <w:tc>
          <w:tcPr>
            <w:tcW w:w="75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bl>
    <w:p>
      <w:pPr>
        <w:numPr>
          <w:ilvl w:val="0"/>
          <w:numId w:val="6"/>
        </w:numPr>
        <w:jc w:val="left"/>
        <w:outlineLvl w:val="1"/>
        <w:rPr>
          <w:rFonts w:ascii="方正仿宋_GBK" w:eastAsia="方正仿宋_GBK" w:hint="eastAsia"/>
          <w:b/>
          <w:sz w:val="28"/>
        </w:rPr>
      </w:pPr>
      <w:r>
        <w:rPr>
          <w:rFonts w:ascii="方正仿宋_GBK" w:eastAsia="方正仿宋_GBK" w:hint="eastAsia"/>
          <w:b/>
          <w:sz w:val="28"/>
        </w:rPr>
        <w:t>新增土地储备专项债券利息绩效目标表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、按要求及时拨付新增土地储备专项债券利息</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还款及时性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按照上级文件要求及时拨付债券资金，于到期日</w:t>
            </w:r>
            <w:r>
              <w:rPr>
                <w:rFonts w:ascii="方正书宋_GBK" w:eastAsia="方正书宋_GBK"/>
              </w:rPr>
              <w:t>15</w:t>
            </w:r>
            <w:r>
              <w:rPr>
                <w:rFonts w:ascii="方正书宋_GBK" w:eastAsia="方正书宋_GBK" w:hint="eastAsia"/>
              </w:rPr>
              <w:t>天前拨付</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w:t>
            </w:r>
            <w:r>
              <w:rPr>
                <w:rFonts w:ascii="方正书宋_GBK" w:eastAsia="方正书宋_GBK" w:hint="eastAsia"/>
              </w:rPr>
              <w:t>天</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资金到位率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按照上级文件要求，保证债券资金全部到位</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资金偿还率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w:t>
            </w:r>
            <w:r>
              <w:rPr>
                <w:rFonts w:ascii="方正书宋_GBK" w:eastAsia="方正书宋_GBK"/>
              </w:rPr>
              <w:t>100%</w:t>
            </w:r>
            <w:r>
              <w:rPr>
                <w:rFonts w:ascii="方正书宋_GBK" w:eastAsia="方正书宋_GBK" w:hint="eastAsia"/>
              </w:rPr>
              <w:t>足额拨付债券资金</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未发生债务违约事件</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按时拨付债券资金，不发生债务违约事件</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债务偿还和风险化解规划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保证财政平稳运行</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按时拨付债券资金，不发生债务风险事件</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债务偿还和风险化解规划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程序履行完整性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反映程序履行情况，履行全部拨款程序</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资金管理制度</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上级财政满意度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按照上级文件要求及时拨付债券资金，避免在市财政汇总拨付债券资金时造成不良影响</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bl>
    <w:p>
      <w:pPr>
        <w:numPr>
          <w:ilvl w:val="0"/>
          <w:numId w:val="6"/>
        </w:numPr>
        <w:jc w:val="left"/>
        <w:outlineLvl w:val="1"/>
        <w:rPr>
          <w:rFonts w:ascii="方正仿宋_GBK" w:eastAsia="方正仿宋_GBK" w:hint="eastAsia"/>
          <w:b/>
          <w:sz w:val="28"/>
        </w:rPr>
      </w:pPr>
      <w:r>
        <w:rPr>
          <w:rFonts w:ascii="方正仿宋_GBK" w:eastAsia="方正仿宋_GBK" w:hint="eastAsia"/>
          <w:b/>
          <w:sz w:val="28"/>
        </w:rPr>
        <w:t>印刷费、律师服务及其他咨询费绩效目标表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、保障相关政策落实到位</w:t>
            </w:r>
            <w:r>
              <w:rPr>
                <w:rFonts w:ascii="方正书宋_GBK" w:eastAsia="方正书宋_GBK"/>
              </w:rPr>
              <w:t>2</w:t>
            </w:r>
            <w:r>
              <w:rPr>
                <w:rFonts w:ascii="方正书宋_GBK" w:eastAsia="方正书宋_GBK" w:hint="eastAsia"/>
              </w:rPr>
              <w:t>、合理高效印刷，保障单位正常工作开展</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成本指标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咨询费及印刷成本</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成本降降低率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根据实际降低成本数</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咨询费的发放及时率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律师及其他咨询费发放的及时程度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根据发放时间</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按时完成印刷数</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完成印刷任务效率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根据年度计划</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保障法律及其他相关政策权益</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保障我单位法律及其他相关政策权益</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保障了机关的正常运转</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机关运转情况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保障机关工作的正常运转</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根据律师服务及其他咨询以及印刷支出确保机关工作的正常运转</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保障了机关的正常运转</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机关运转情况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增强相关政策知识知晓率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增加业务人员对政策的理解</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人员了解度</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接受服务的人员满意程度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jc w:val="left"/>
        <w:outlineLvl w:val="1"/>
        <w:rPr>
          <w:rFonts w:hAnsi="宋体"/>
          <w:b/>
          <w:sz w:val="28"/>
        </w:rPr>
      </w:pPr>
      <w:r>
        <w:rPr>
          <w:rFonts w:ascii="方正仿宋_GBK" w:eastAsia="方正仿宋_GBK" w:hint="eastAsia"/>
          <w:b/>
          <w:sz w:val="28"/>
        </w:rPr>
        <w:t>30、预计2020年新增其他专项债券发行费、代理付息服务费、兑付费等绩效目标表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w:t>
            </w:r>
            <w:bookmarkStart w:id="16" w:name="_Toc31813779"/>
            <w:r>
              <w:rPr>
                <w:rFonts w:ascii="方正书宋_GBK" w:eastAsia="方正书宋_GBK" w:hint="eastAsia"/>
                <w:b/>
              </w:rPr>
              <w:t>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及时、足额拨付预计</w:t>
            </w:r>
            <w:r>
              <w:rPr>
                <w:rFonts w:ascii="方正书宋_GBK" w:eastAsia="方正书宋_GBK"/>
              </w:rPr>
              <w:t>2020</w:t>
            </w:r>
            <w:r>
              <w:rPr>
                <w:rFonts w:ascii="方正书宋_GBK" w:eastAsia="方正书宋_GBK" w:hint="eastAsia"/>
              </w:rPr>
              <w:t>年新增其他专</w:t>
            </w:r>
            <w:bookmarkEnd w:id="16"/>
            <w:r>
              <w:rPr>
                <w:rFonts w:ascii="方正书宋_GBK" w:eastAsia="方正书宋_GBK" w:hint="eastAsia"/>
              </w:rPr>
              <w:t>项债券发行费、代理付息服务费、兑付费等</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还款及时性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按照上级文件要求及时拨付债券资金，于到期日</w:t>
            </w:r>
            <w:r>
              <w:rPr>
                <w:rFonts w:ascii="方正书宋_GBK" w:eastAsia="方正书宋_GBK"/>
              </w:rPr>
              <w:t>15</w:t>
            </w:r>
            <w:r>
              <w:rPr>
                <w:rFonts w:ascii="方正书宋_GBK" w:eastAsia="方正书宋_GBK" w:hint="eastAsia"/>
              </w:rPr>
              <w:t>天前拨付</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w:t>
            </w:r>
            <w:r>
              <w:rPr>
                <w:rFonts w:ascii="方正书宋_GBK" w:eastAsia="方正书宋_GBK" w:hint="eastAsia"/>
              </w:rPr>
              <w:t>天</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资金到位率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按照上级文件要求，保证债券资金全部到位</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资金偿还率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w:t>
            </w:r>
            <w:r>
              <w:rPr>
                <w:rFonts w:ascii="方正书宋_GBK" w:eastAsia="方正书宋_GBK"/>
              </w:rPr>
              <w:t>100%</w:t>
            </w:r>
            <w:r>
              <w:rPr>
                <w:rFonts w:ascii="方正书宋_GBK" w:eastAsia="方正书宋_GBK" w:hint="eastAsia"/>
              </w:rPr>
              <w:t>足额拨付债券资金</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未发生债务违约事件</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按时拨付债券资金，不发生债务违约事件</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债务偿还和风险化解规划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保证财政平稳运行</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按时拨付债券资金，不发生债务风险事件</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债务偿还和风险化解规划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程序履行完整性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反映程序履行情况，履行全部拨款程序</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资金管理制度</w:t>
            </w:r>
          </w:p>
        </w:tc>
      </w:tr>
      <w:tr>
        <w:trPr>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上级财政满意度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按照上级文件要求及时拨付债券资金，避免在市财政汇总拨付债券资金时造成不良影响</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bl>
    <w:p>
      <w:pPr>
        <w:jc w:val="left"/>
        <w:outlineLvl w:val="1"/>
        <w:rPr>
          <w:rFonts w:ascii="方正仿宋_GBK" w:eastAsia="方正仿宋_GBK" w:hint="eastAsia"/>
          <w:b/>
          <w:sz w:val="28"/>
        </w:rPr>
      </w:pPr>
      <w:r>
        <w:rPr>
          <w:rFonts w:ascii="方正仿宋_GBK" w:eastAsia="方正仿宋_GBK" w:hint="eastAsia"/>
          <w:b/>
          <w:sz w:val="28"/>
        </w:rPr>
        <w:t>31、预计2020年新增其他专项债券利息绩效目标表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及时拨付预计</w:t>
            </w:r>
            <w:r>
              <w:rPr>
                <w:rFonts w:ascii="方正书宋_GBK" w:eastAsia="方正书宋_GBK"/>
              </w:rPr>
              <w:t>2020</w:t>
            </w:r>
            <w:r>
              <w:rPr>
                <w:rFonts w:ascii="方正书宋_GBK" w:eastAsia="方正书宋_GBK" w:hint="eastAsia"/>
              </w:rPr>
              <w:t>年新增其他专项债券利息</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还款及时性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按照上级文件要求及时拨付债券资金，于到期日</w:t>
            </w:r>
            <w:r>
              <w:rPr>
                <w:rFonts w:ascii="方正书宋_GBK" w:eastAsia="方正书宋_GBK"/>
              </w:rPr>
              <w:t>15</w:t>
            </w:r>
            <w:r>
              <w:rPr>
                <w:rFonts w:ascii="方正书宋_GBK" w:eastAsia="方正书宋_GBK" w:hint="eastAsia"/>
              </w:rPr>
              <w:t>天前拨付</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w:t>
            </w:r>
            <w:r>
              <w:rPr>
                <w:rFonts w:ascii="方正书宋_GBK" w:eastAsia="方正书宋_GBK" w:hint="eastAsia"/>
              </w:rPr>
              <w:t>天</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资金到位率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按照上级文件要求，保证债券资金全部到位</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资金偿还率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w:t>
            </w:r>
            <w:r>
              <w:rPr>
                <w:rFonts w:ascii="方正书宋_GBK" w:eastAsia="方正书宋_GBK"/>
              </w:rPr>
              <w:t>100%</w:t>
            </w:r>
            <w:r>
              <w:rPr>
                <w:rFonts w:ascii="方正书宋_GBK" w:eastAsia="方正书宋_GBK" w:hint="eastAsia"/>
              </w:rPr>
              <w:t>足额拨付债券资金</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未发生债务违约事件</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按时拨付债券资金，不发生债务违约事件</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债务偿还和风险化解规划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保证财政平稳运行</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按时拨付债券资金，不发生债务风险事件</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债务偿还和风险化解规划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程序履行完整性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反映程序履行情况，履行全部拨款程序</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资金管理制度</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上级财政满意度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按照上级文件要求及时拨付债券资金，避免在市财政汇总拨付债券资金时造成不良影响</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bl>
    <w:p>
      <w:pPr>
        <w:jc w:val="left"/>
        <w:outlineLvl w:val="1"/>
        <w:rPr>
          <w:rFonts w:hAnsi="宋体"/>
          <w:b/>
          <w:sz w:val="28"/>
        </w:rPr>
      </w:pPr>
      <w:r>
        <w:rPr>
          <w:rFonts w:ascii="方正仿宋_GBK" w:eastAsia="方正仿宋_GBK" w:hint="eastAsia"/>
          <w:b/>
          <w:sz w:val="28"/>
        </w:rPr>
        <w:t>32、预计2020年新增土地储备专项债券发行费、代理付息服务费、兑付费等绩效目标表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w:t>
            </w:r>
            <w:bookmarkStart w:id="17" w:name="_Toc31813782"/>
            <w:r>
              <w:rPr>
                <w:rFonts w:ascii="方正书宋_GBK" w:eastAsia="方正书宋_GBK" w:hint="eastAsia"/>
                <w:b/>
              </w:rPr>
              <w:t>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、按要求及时拨付预计</w:t>
            </w:r>
            <w:r>
              <w:rPr>
                <w:rFonts w:ascii="方正书宋_GBK" w:eastAsia="方正书宋_GBK"/>
              </w:rPr>
              <w:t>2020</w:t>
            </w:r>
            <w:r>
              <w:rPr>
                <w:rFonts w:ascii="方正书宋_GBK" w:eastAsia="方正书宋_GBK" w:hint="eastAsia"/>
              </w:rPr>
              <w:t>年新增土地储备专项债券发行费、代理付息服务费、</w:t>
            </w:r>
            <w:bookmarkEnd w:id="17"/>
            <w:r>
              <w:rPr>
                <w:rFonts w:ascii="方正书宋_GBK" w:eastAsia="方正书宋_GBK" w:hint="eastAsia"/>
              </w:rPr>
              <w:t>兑付费等</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还款及时性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按照上级文件要求及时拨付债券资金，于到期日</w:t>
            </w:r>
            <w:r>
              <w:rPr>
                <w:rFonts w:ascii="方正书宋_GBK" w:eastAsia="方正书宋_GBK"/>
              </w:rPr>
              <w:t>15</w:t>
            </w:r>
            <w:r>
              <w:rPr>
                <w:rFonts w:ascii="方正书宋_GBK" w:eastAsia="方正书宋_GBK" w:hint="eastAsia"/>
              </w:rPr>
              <w:t>天前拨付</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w:t>
            </w:r>
            <w:r>
              <w:rPr>
                <w:rFonts w:ascii="方正书宋_GBK" w:eastAsia="方正书宋_GBK" w:hint="eastAsia"/>
              </w:rPr>
              <w:t>天</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资金到位率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按照上级文件要求，保证债券资金全部到位</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资金偿还率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w:t>
            </w:r>
            <w:r>
              <w:rPr>
                <w:rFonts w:ascii="方正书宋_GBK" w:eastAsia="方正书宋_GBK"/>
              </w:rPr>
              <w:t>100%</w:t>
            </w:r>
            <w:r>
              <w:rPr>
                <w:rFonts w:ascii="方正书宋_GBK" w:eastAsia="方正书宋_GBK" w:hint="eastAsia"/>
              </w:rPr>
              <w:t>足额拨付债券资金</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未发生债务违约事件</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按时拨付债券资金，不发生债务违约事件</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债务偿还和风险化解规划</w:t>
            </w:r>
          </w:p>
        </w:tc>
      </w:tr>
      <w:tr>
        <w:trPr>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保证财政平稳运行</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按时拨付债券资金，不发生债务风险事件</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债务偿还和风险化解规划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程序履行完整性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反映程序履行情况，履行全部拨款程序</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资金管理制度</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上级财政满意度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按照上级文件要求及时拨付债券资金，避免在市财政汇总拨付债券资金时造成不良影响</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bl>
    <w:p>
      <w:pPr>
        <w:numPr>
          <w:ilvl w:val="0"/>
          <w:numId w:val="7"/>
        </w:numPr>
        <w:spacing w:line="300" w:lineRule="exact"/>
        <w:jc w:val="left"/>
        <w:rPr>
          <w:rFonts w:ascii="方正仿宋_GBK" w:eastAsia="方正仿宋_GBK" w:hint="eastAsia"/>
          <w:b/>
          <w:sz w:val="28"/>
        </w:rPr>
      </w:pPr>
      <w:r>
        <w:rPr>
          <w:rFonts w:ascii="方正仿宋_GBK" w:eastAsia="方正仿宋_GBK" w:hint="eastAsia"/>
          <w:b/>
          <w:sz w:val="28"/>
        </w:rPr>
        <w:t>预计2020年新增土地储备专项债券利息绩效目标表</w:t>
      </w:r>
    </w:p>
    <w:p>
      <w:pPr>
        <w:spacing w:line="300" w:lineRule="exact"/>
        <w:jc w:val="left"/>
        <w:rPr>
          <w:rFonts w:ascii="方正仿宋_GBK" w:eastAsia="方正仿宋_GBK" w:hint="eastAsia"/>
          <w:b/>
          <w:sz w:val="28"/>
        </w:rP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、按要求及时拨付</w:t>
            </w:r>
            <w:r>
              <w:rPr>
                <w:rFonts w:ascii="方正书宋_GBK" w:eastAsia="方正书宋_GBK"/>
              </w:rPr>
              <w:t>2020</w:t>
            </w:r>
            <w:r>
              <w:rPr>
                <w:rFonts w:ascii="方正书宋_GBK" w:eastAsia="方正书宋_GBK" w:hint="eastAsia"/>
              </w:rPr>
              <w:t>年新增土地储备专项债券利息。</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还款及时性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按照上级文件要求及时拨付债券资金，于到期日</w:t>
            </w:r>
            <w:r>
              <w:rPr>
                <w:rFonts w:ascii="方正书宋_GBK" w:eastAsia="方正书宋_GBK"/>
              </w:rPr>
              <w:t>15</w:t>
            </w:r>
            <w:r>
              <w:rPr>
                <w:rFonts w:ascii="方正书宋_GBK" w:eastAsia="方正书宋_GBK" w:hint="eastAsia"/>
              </w:rPr>
              <w:t>天前拨付</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w:t>
            </w:r>
            <w:r>
              <w:rPr>
                <w:rFonts w:ascii="方正书宋_GBK" w:eastAsia="方正书宋_GBK" w:hint="eastAsia"/>
              </w:rPr>
              <w:t>天</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资金到位率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按照上级文件要求，保证债券资金全部到位</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资金偿还率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w:t>
            </w:r>
            <w:r>
              <w:rPr>
                <w:rFonts w:ascii="方正书宋_GBK" w:eastAsia="方正书宋_GBK"/>
              </w:rPr>
              <w:t>100%</w:t>
            </w:r>
            <w:r>
              <w:rPr>
                <w:rFonts w:ascii="方正书宋_GBK" w:eastAsia="方正书宋_GBK" w:hint="eastAsia"/>
              </w:rPr>
              <w:t>足额拨付债券资金</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未发生债务违约事件</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按时拨付债券资金，不发生债务违约事件</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债务偿还和风险化解规划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保证财政平稳运行</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按时拨付债券资金，不发生债务风险事件</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债务偿还和风险化解规划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程序履行完整性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反映程序履行情况，履行全部拨款程序</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资金管理制度</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上级财政满意度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按照上级文件要求及时拨付债券资金，避免在市财政汇总拨付债券资金时造成不良影响</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bl>
    <w:p>
      <w:pPr>
        <w:jc w:val="left"/>
        <w:outlineLvl w:val="1"/>
        <w:rPr>
          <w:rFonts w:hAnsi="宋体"/>
          <w:b/>
          <w:sz w:val="28"/>
        </w:rPr>
      </w:pPr>
      <w:r>
        <w:rPr>
          <w:rFonts w:ascii="方正仿宋_GBK" w:eastAsia="方正仿宋_GBK" w:hint="eastAsia"/>
          <w:b/>
          <w:sz w:val="28"/>
        </w:rPr>
        <w:t>34、预算单位会计核算平台、内网、专网项目服务费绩效目标表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w:t>
            </w:r>
            <w:bookmarkStart w:id="18" w:name="_Toc31813784"/>
            <w:r>
              <w:rPr>
                <w:rFonts w:ascii="方正书宋_GBK" w:eastAsia="方正书宋_GBK" w:hint="eastAsia"/>
                <w:b/>
              </w:rPr>
              <w:t>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、完成平台系统升级。</w:t>
            </w:r>
            <w:r>
              <w:rPr>
                <w:rFonts w:ascii="方正书宋_GBK" w:eastAsia="方正书宋_GBK"/>
              </w:rPr>
              <w:t>2</w:t>
            </w:r>
            <w:r>
              <w:rPr>
                <w:rFonts w:ascii="方正书宋_GBK" w:eastAsia="方正书宋_GBK" w:hint="eastAsia"/>
              </w:rPr>
              <w:t>、提高保障能力和服务水平。</w:t>
            </w:r>
          </w:p>
        </w:tc>
        <w:bookmarkEnd w:id="18"/>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业务处理及时性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及时处理业务数量总处理数的比例</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0</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根据年度计划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办公自动化覆盖率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办公自动化覆盖范围占应覆盖范围</w:t>
            </w:r>
          </w:p>
        </w:tc>
        <w:tc>
          <w:tcPr>
            <w:tcW w:w="1276" w:type="dxa"/>
            <w:tcBorders>
              <w:tl2br w:val="nil"/>
              <w:tr2bl w:val="nil"/>
            </w:tcBorders>
            <w:vAlign w:val="center"/>
          </w:tcPr>
          <w:p>
            <w:pPr>
              <w:spacing w:line="300" w:lineRule="exact"/>
              <w:jc w:val="left"/>
              <w:rPr>
                <w:rFonts w:ascii="方正书宋_GBK" w:eastAsia="方正书宋_GBK" w:hint="eastAsia"/>
              </w:rPr>
            </w:pP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根据信息建设要求</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网络故障率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故障发生同期下降比例</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根据网络、软件正常运转情况</w:t>
            </w:r>
          </w:p>
        </w:tc>
      </w:tr>
      <w:tr>
        <w:trPr>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故障率降低</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故障同期发生比例下降</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根据网络、软件正常运转情况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长期使用性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能够长期保持网络畅通、软件正常使用</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根据网络、软件正常运转情况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系统网络服务水平</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业务保障能力提升情况</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针对业务保障能力的提升</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根据网络、软件正常运转情况</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工作人员对办公效率的满意程度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spacing w:line="300" w:lineRule="exact"/>
        <w:jc w:val="left"/>
        <w:rPr>
          <w:rFonts w:ascii="方正仿宋_GBK" w:eastAsia="方正仿宋_GBK" w:hint="eastAsia"/>
          <w:b/>
          <w:sz w:val="28"/>
        </w:rPr>
      </w:pPr>
    </w:p>
    <w:p>
      <w:pPr>
        <w:numPr>
          <w:ilvl w:val="0"/>
          <w:numId w:val="8"/>
        </w:numPr>
        <w:spacing w:line="300" w:lineRule="exact"/>
        <w:jc w:val="left"/>
        <w:rPr>
          <w:rFonts w:ascii="方正仿宋_GBK" w:eastAsia="方正仿宋_GBK" w:hint="eastAsia"/>
          <w:b/>
          <w:sz w:val="28"/>
        </w:rPr>
      </w:pPr>
      <w:r>
        <w:rPr>
          <w:rFonts w:ascii="方正仿宋_GBK" w:eastAsia="方正仿宋_GBK" w:hint="eastAsia"/>
          <w:b/>
          <w:sz w:val="28"/>
        </w:rPr>
        <w:t>原城市信用社职工工资、保险、遗属补助等绩效目标表</w:t>
      </w:r>
    </w:p>
    <w:p>
      <w:pPr>
        <w:spacing w:line="300" w:lineRule="exact"/>
        <w:jc w:val="left"/>
        <w:rPr>
          <w:rFonts w:ascii="方正仿宋_GBK" w:eastAsia="方正仿宋_GBK" w:hint="eastAsia"/>
          <w:b/>
          <w:sz w:val="28"/>
        </w:rP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、及时足额支付信用社职工工资、保险、遗属补助</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人员数量</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安置的人数</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0</w:t>
            </w:r>
            <w:r>
              <w:rPr>
                <w:rFonts w:ascii="方正书宋_GBK" w:eastAsia="方正书宋_GBK" w:hint="eastAsia"/>
              </w:rPr>
              <w:t>人</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实施方案</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工资发放及时率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工资发放的及时程度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工资发放情况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工资发放准确率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工资发放准确程度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工资发放情况</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安排就业人数</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解决就业人数，缓解就业压力</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0</w:t>
            </w:r>
            <w:r>
              <w:rPr>
                <w:rFonts w:ascii="方正书宋_GBK" w:eastAsia="方正书宋_GBK" w:hint="eastAsia"/>
              </w:rPr>
              <w:t>人</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实际人员情况</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工资消费贡献率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工资收入的消费能力</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实际消费水平</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基本生活保障情况</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为退役军人提供基本生活保障的情况</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0</w:t>
            </w:r>
            <w:r>
              <w:rPr>
                <w:rFonts w:ascii="方正书宋_GBK" w:eastAsia="方正书宋_GBK" w:hint="eastAsia"/>
              </w:rPr>
              <w:t>基本保障</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工资发放情况</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安置的人员满意度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人员对工资待遇的满意度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jc w:val="left"/>
        <w:outlineLvl w:val="1"/>
        <w:rPr>
          <w:rFonts w:ascii="方正仿宋_GBK" w:eastAsia="方正仿宋_GBK" w:hint="eastAsia"/>
          <w:b/>
          <w:sz w:val="28"/>
        </w:rPr>
      </w:pPr>
      <w:r>
        <w:rPr>
          <w:rFonts w:ascii="方正仿宋_GBK" w:eastAsia="方正仿宋_GBK" w:hint="eastAsia"/>
          <w:b/>
          <w:sz w:val="28"/>
        </w:rPr>
        <w:t>36、政策性粮食财务挂账占用贷款利息绩效目标表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w:t>
            </w:r>
            <w:bookmarkStart w:id="19" w:name="_Toc31813786"/>
            <w:r>
              <w:rPr>
                <w:rFonts w:ascii="方正书宋_GBK" w:eastAsia="方正书宋_GBK" w:hint="eastAsia"/>
                <w:b/>
              </w:rPr>
              <w:t>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依据文件及时足额上缴</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w:t>
            </w:r>
            <w:bookmarkEnd w:id="19"/>
            <w:r>
              <w:rPr>
                <w:rFonts w:ascii="方正书宋_GBK" w:eastAsia="方正书宋_GBK" w:hint="eastAsia"/>
                <w:b/>
              </w:rPr>
              <w:t>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利息补贴到位率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实际上缴占应上缴比率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区预算保障率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应上缴金额占区预算安排金额</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贷款占用率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当年贷款本金占上年贷款本金</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贷款供应断供次数</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发生</w:t>
            </w:r>
            <w:r>
              <w:rPr>
                <w:rFonts w:ascii="方正书宋_GBK" w:eastAsia="方正书宋_GBK"/>
              </w:rPr>
              <w:t>1</w:t>
            </w:r>
            <w:r>
              <w:rPr>
                <w:rFonts w:ascii="方正书宋_GBK" w:eastAsia="方正书宋_GBK" w:hint="eastAsia"/>
              </w:rPr>
              <w:t>次得分为</w:t>
            </w:r>
            <w:r>
              <w:rPr>
                <w:rFonts w:ascii="方正书宋_GBK" w:eastAsia="方正书宋_GBK"/>
              </w:rPr>
              <w:t>0</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&lt;1</w:t>
            </w:r>
          </w:p>
        </w:tc>
        <w:tc>
          <w:tcPr>
            <w:tcW w:w="1701" w:type="dxa"/>
            <w:tcBorders>
              <w:tl2br w:val="nil"/>
              <w:tr2bl w:val="nil"/>
            </w:tcBorders>
            <w:vAlign w:val="center"/>
          </w:tcPr>
          <w:p>
            <w:pPr>
              <w:spacing w:line="300" w:lineRule="exact"/>
              <w:jc w:val="left"/>
              <w:rPr>
                <w:rFonts w:ascii="方正书宋_GBK" w:eastAsia="方正书宋_GBK" w:hint="eastAsia"/>
              </w:rPr>
            </w:pP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因利息上缴不及时被上缴通报次数</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发生</w:t>
            </w:r>
            <w:r>
              <w:rPr>
                <w:rFonts w:ascii="方正书宋_GBK" w:eastAsia="方正书宋_GBK"/>
              </w:rPr>
              <w:t>1</w:t>
            </w:r>
            <w:r>
              <w:rPr>
                <w:rFonts w:ascii="方正书宋_GBK" w:eastAsia="方正书宋_GBK" w:hint="eastAsia"/>
              </w:rPr>
              <w:t>次得分为</w:t>
            </w:r>
            <w:r>
              <w:rPr>
                <w:rFonts w:ascii="方正书宋_GBK" w:eastAsia="方正书宋_GBK"/>
              </w:rPr>
              <w:t>0</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&lt;1</w:t>
            </w:r>
          </w:p>
        </w:tc>
        <w:tc>
          <w:tcPr>
            <w:tcW w:w="1701" w:type="dxa"/>
            <w:tcBorders>
              <w:tl2br w:val="nil"/>
              <w:tr2bl w:val="nil"/>
            </w:tcBorders>
            <w:vAlign w:val="center"/>
          </w:tcPr>
          <w:p>
            <w:pPr>
              <w:spacing w:line="300" w:lineRule="exact"/>
              <w:jc w:val="left"/>
              <w:rPr>
                <w:rFonts w:ascii="方正书宋_GBK" w:eastAsia="方正书宋_GBK" w:hint="eastAsia"/>
              </w:rPr>
            </w:pP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上缴及时率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反映上缴的及时性</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年工作计划</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上缴对象满意度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上缴对象对上缴情况和及时性</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p>
        </w:tc>
      </w:tr>
    </w:tbl>
    <w:p>
      <w:pPr>
        <w:jc w:val="left"/>
        <w:outlineLvl w:val="1"/>
        <w:rPr>
          <w:rFonts w:ascii="方正仿宋_GBK" w:eastAsia="方正仿宋_GBK" w:hint="eastAsia"/>
          <w:b/>
          <w:sz w:val="28"/>
        </w:rPr>
      </w:pPr>
      <w:r>
        <w:rPr>
          <w:rFonts w:ascii="方正仿宋_GBK" w:eastAsia="方正仿宋_GBK" w:hint="eastAsia"/>
          <w:b/>
          <w:sz w:val="28"/>
        </w:rPr>
        <w:t>37、政府一般债券发行费、代理付息服务费、兑付费等绩效目标表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w:t>
            </w:r>
            <w:bookmarkStart w:id="20" w:name="_Toc31813787"/>
            <w:r>
              <w:rPr>
                <w:rFonts w:ascii="方正书宋_GBK" w:eastAsia="方正书宋_GBK" w:hint="eastAsia"/>
                <w:b/>
              </w:rPr>
              <w:t>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、及时偿还政府一般债券发行费、代理付息服务费、兑付费</w:t>
            </w:r>
            <w:bookmarkEnd w:id="20"/>
            <w:r>
              <w:rPr>
                <w:rFonts w:ascii="方正书宋_GBK" w:eastAsia="方正书宋_GBK" w:hint="eastAsia"/>
              </w:rPr>
              <w:t>等，足额拨付债券利息资金。</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还款及时性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按照上级文件要求及时拨付债券资金，于到期日</w:t>
            </w:r>
            <w:r>
              <w:rPr>
                <w:rFonts w:ascii="方正书宋_GBK" w:eastAsia="方正书宋_GBK"/>
              </w:rPr>
              <w:t>15</w:t>
            </w:r>
            <w:r>
              <w:rPr>
                <w:rFonts w:ascii="方正书宋_GBK" w:eastAsia="方正书宋_GBK" w:hint="eastAsia"/>
              </w:rPr>
              <w:t>天前拨付</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w:t>
            </w:r>
            <w:r>
              <w:rPr>
                <w:rFonts w:ascii="方正书宋_GBK" w:eastAsia="方正书宋_GBK" w:hint="eastAsia"/>
              </w:rPr>
              <w:t>天</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资金到位率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按照上级文件要求，保证债券资金全部到位</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资金偿还率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w:t>
            </w:r>
            <w:r>
              <w:rPr>
                <w:rFonts w:ascii="方正书宋_GBK" w:eastAsia="方正书宋_GBK"/>
              </w:rPr>
              <w:t>100%</w:t>
            </w:r>
            <w:r>
              <w:rPr>
                <w:rFonts w:ascii="方正书宋_GBK" w:eastAsia="方正书宋_GBK" w:hint="eastAsia"/>
              </w:rPr>
              <w:t>足额拨付债券资金</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未发生债务违约事件</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按时拨付债券资金，不发生债务违约事件</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债务偿还和风险化解规划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保证财政平稳运行</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按时拨付债券资金，不发生债务风险事件</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债务偿还和风险化解规划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程序履行完整性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反映程序履行情况，履行全部拨款程序</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资金管理制度</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上级财政满意度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按照上级文件要求及时拨付债券资金，避免在市财政汇总拨付债券资金时造成不良影响</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bl>
    <w:p>
      <w:pPr>
        <w:jc w:val="left"/>
        <w:outlineLvl w:val="1"/>
        <w:rPr>
          <w:rFonts w:ascii="方正仿宋_GBK" w:eastAsia="方正仿宋_GBK" w:hint="eastAsia"/>
          <w:b/>
          <w:sz w:val="28"/>
        </w:rPr>
      </w:pPr>
      <w:r>
        <w:rPr>
          <w:rFonts w:ascii="方正仿宋_GBK" w:eastAsia="方正仿宋_GBK" w:hint="eastAsia"/>
          <w:b/>
          <w:sz w:val="28"/>
        </w:rPr>
        <w:t>38、政府一般债券利息绩效目标表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w:t>
            </w:r>
            <w:bookmarkStart w:id="21" w:name="_Toc31813788"/>
            <w:r>
              <w:rPr>
                <w:rFonts w:ascii="方正书宋_GBK" w:eastAsia="方正书宋_GBK" w:hint="eastAsia"/>
                <w:b/>
              </w:rPr>
              <w:t>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、及时偿还政府一般债券利</w:t>
            </w:r>
            <w:bookmarkEnd w:id="21"/>
            <w:r>
              <w:rPr>
                <w:rFonts w:ascii="方正书宋_GBK" w:eastAsia="方正书宋_GBK" w:hint="eastAsia"/>
              </w:rPr>
              <w:t>息，足额拨付债券利息资金。</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还款及时性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按照上级文件要求及时拨付债券资金，于到期日</w:t>
            </w:r>
            <w:r>
              <w:rPr>
                <w:rFonts w:ascii="方正书宋_GBK" w:eastAsia="方正书宋_GBK"/>
              </w:rPr>
              <w:t>15</w:t>
            </w:r>
            <w:r>
              <w:rPr>
                <w:rFonts w:ascii="方正书宋_GBK" w:eastAsia="方正书宋_GBK" w:hint="eastAsia"/>
              </w:rPr>
              <w:t>天前拨付</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w:t>
            </w:r>
            <w:r>
              <w:rPr>
                <w:rFonts w:ascii="方正书宋_GBK" w:eastAsia="方正书宋_GBK" w:hint="eastAsia"/>
              </w:rPr>
              <w:t>天</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年度工作计划</w:t>
            </w:r>
          </w:p>
        </w:tc>
      </w:tr>
      <w:tr>
        <w:trPr>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资金到位率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按照上级文件要求，保证债券资金全部到位</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资金偿还率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w:t>
            </w:r>
            <w:r>
              <w:rPr>
                <w:rFonts w:ascii="方正书宋_GBK" w:eastAsia="方正书宋_GBK"/>
              </w:rPr>
              <w:t>100%</w:t>
            </w:r>
            <w:r>
              <w:rPr>
                <w:rFonts w:ascii="方正书宋_GBK" w:eastAsia="方正书宋_GBK" w:hint="eastAsia"/>
              </w:rPr>
              <w:t>足额拨付债券资金</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程序履行完整性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反映程序履行情况，履行全部拨款程序</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资金管理制度</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未发生债务违约事件</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按时拨付债券资金，不发生债务违约事件</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债务偿还和风险化解规划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保证财政平稳运行</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按时拨付债券资金，不发生债务风险事件</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债务偿还和风险化解规划</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上级财政满意度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按照上级文件要求及时拨付债券资金，避免在市财政汇总拨付债券资金时造成不良影响</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bl>
    <w:p>
      <w:pPr>
        <w:jc w:val="left"/>
        <w:outlineLvl w:val="1"/>
        <w:rPr>
          <w:rFonts w:ascii="方正仿宋_GBK" w:eastAsia="方正仿宋_GBK" w:hint="eastAsia"/>
          <w:b/>
          <w:sz w:val="28"/>
        </w:rPr>
      </w:pPr>
      <w:r>
        <w:rPr>
          <w:rFonts w:ascii="方正仿宋_GBK" w:eastAsia="方正仿宋_GBK" w:hint="eastAsia"/>
          <w:b/>
          <w:sz w:val="28"/>
        </w:rPr>
        <w:t>39、政府专项债券发行费、代理付息服务费、兑付费等绩效目标表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w:t>
            </w:r>
            <w:bookmarkStart w:id="22" w:name="_Toc31813789"/>
            <w:r>
              <w:rPr>
                <w:rFonts w:ascii="方正书宋_GBK" w:eastAsia="方正书宋_GBK" w:hint="eastAsia"/>
                <w:b/>
              </w:rPr>
              <w:t>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及时、足额拨付专项债券发行费、代理付息服务费、兑付费等</w:t>
            </w:r>
            <w:bookmarkEnd w:id="22"/>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还款及时性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按照上级文件要求及时拨付债券资金，于到期日</w:t>
            </w:r>
            <w:r>
              <w:rPr>
                <w:rFonts w:ascii="方正书宋_GBK" w:eastAsia="方正书宋_GBK"/>
              </w:rPr>
              <w:t>15</w:t>
            </w:r>
            <w:r>
              <w:rPr>
                <w:rFonts w:ascii="方正书宋_GBK" w:eastAsia="方正书宋_GBK" w:hint="eastAsia"/>
              </w:rPr>
              <w:t>天前拨付</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w:t>
            </w:r>
            <w:r>
              <w:rPr>
                <w:rFonts w:ascii="方正书宋_GBK" w:eastAsia="方正书宋_GBK" w:hint="eastAsia"/>
              </w:rPr>
              <w:t>天</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资金到位率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按照上级文件要求，保证债券资金全部到位</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资金偿还率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w:t>
            </w:r>
            <w:r>
              <w:rPr>
                <w:rFonts w:ascii="方正书宋_GBK" w:eastAsia="方正书宋_GBK"/>
              </w:rPr>
              <w:t>100%</w:t>
            </w:r>
            <w:r>
              <w:rPr>
                <w:rFonts w:ascii="方正书宋_GBK" w:eastAsia="方正书宋_GBK" w:hint="eastAsia"/>
              </w:rPr>
              <w:t>足额拨付债券资金</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未发生债务违约事件</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按时拨付债券资金，不发生债务违约事件</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债务偿还和风险化解规划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保证财政平稳运行</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按时拨付债券资金，不发生债务风险事件</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债务偿还和风险化解规划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程序履行完整性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反映程序履行情况，履行全部拨款程序</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资金管理制度</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上级财政满意度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按照上级文件要求及时拨付债券资金，避免在市财政汇总拨付债券资金时造成不良影响</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bl>
    <w:p>
      <w:pPr>
        <w:jc w:val="left"/>
        <w:outlineLvl w:val="1"/>
        <w:rPr>
          <w:rFonts w:ascii="方正仿宋_GBK" w:eastAsia="方正仿宋_GBK" w:hint="eastAsia"/>
          <w:b/>
          <w:sz w:val="28"/>
        </w:rPr>
      </w:pPr>
      <w:r>
        <w:rPr>
          <w:rFonts w:ascii="方正仿宋_GBK" w:eastAsia="方正仿宋_GBK" w:hint="eastAsia"/>
          <w:b/>
          <w:sz w:val="28"/>
        </w:rPr>
        <w:t>40、政府专项债券利息绩效目标表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w:t>
            </w:r>
            <w:bookmarkStart w:id="23" w:name="_Toc31813790"/>
            <w:r>
              <w:rPr>
                <w:rFonts w:ascii="方正书宋_GBK" w:eastAsia="方正书宋_GBK" w:hint="eastAsia"/>
                <w:b/>
              </w:rPr>
              <w:t>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及时偿还专项债券利息费用。</w:t>
            </w:r>
            <w:bookmarkEnd w:id="23"/>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时效指标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还款及时性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按照上级文件要求及时拨付债券资金，于到期日</w:t>
            </w:r>
            <w:r>
              <w:rPr>
                <w:rFonts w:ascii="方正书宋_GBK" w:eastAsia="方正书宋_GBK"/>
              </w:rPr>
              <w:t>15</w:t>
            </w:r>
            <w:r>
              <w:rPr>
                <w:rFonts w:ascii="方正书宋_GBK" w:eastAsia="方正书宋_GBK" w:hint="eastAsia"/>
              </w:rPr>
              <w:t>天前拨付</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w:t>
            </w:r>
            <w:r>
              <w:rPr>
                <w:rFonts w:ascii="方正书宋_GBK" w:eastAsia="方正书宋_GBK" w:hint="eastAsia"/>
              </w:rPr>
              <w:t>天</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资金到位率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按照上级文件要求，保证债券资金全部到位</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资金偿还率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w:t>
            </w:r>
            <w:r>
              <w:rPr>
                <w:rFonts w:ascii="方正书宋_GBK" w:eastAsia="方正书宋_GBK"/>
              </w:rPr>
              <w:t>100%</w:t>
            </w:r>
            <w:r>
              <w:rPr>
                <w:rFonts w:ascii="方正书宋_GBK" w:eastAsia="方正书宋_GBK" w:hint="eastAsia"/>
              </w:rPr>
              <w:t>足额拨付债券资金</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未发生债务违约事件</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按时拨付债券资金，不发生债务违约事件</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债务偿还和风险化解规划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保证财政平稳运行</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按时拨付债券资金，不发生债务风险事件</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债务偿还和风险化解规划</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程序履行完整性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反映程序履行情况，履行全部拨款程序</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资金管理制度</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上级财政满意度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按照上级文件要求及时拨付债券资金，避免在市财政汇总拨付债券资金时造成不良影响</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年度工作计划</w:t>
            </w:r>
          </w:p>
        </w:tc>
      </w:tr>
    </w:tbl>
    <w:p>
      <w:pPr>
        <w:spacing w:line="300" w:lineRule="exact"/>
        <w:jc w:val="left"/>
        <w:rPr>
          <w:rFonts w:ascii="方正仿宋_GBK" w:eastAsia="方正仿宋_GBK" w:hint="eastAsia"/>
          <w:b/>
          <w:sz w:val="28"/>
        </w:rPr>
      </w:pPr>
    </w:p>
    <w:p>
      <w:pPr>
        <w:spacing w:line="300" w:lineRule="exact"/>
        <w:jc w:val="left"/>
        <w:rPr>
          <w:rFonts w:ascii="方正仿宋_GBK" w:eastAsia="方正仿宋_GBK" w:hint="eastAsia"/>
          <w:b/>
          <w:sz w:val="28"/>
        </w:rPr>
      </w:pPr>
      <w:r>
        <w:rPr>
          <w:rFonts w:ascii="方正仿宋_GBK" w:eastAsia="方正仿宋_GBK" w:hint="eastAsia"/>
          <w:b/>
          <w:sz w:val="28"/>
        </w:rPr>
        <w:t>41、综合治税税务评估审计费绩效目标表</w:t>
      </w:r>
    </w:p>
    <w:p>
      <w:pPr>
        <w:spacing w:line="300" w:lineRule="exact"/>
        <w:jc w:val="left"/>
        <w:rPr>
          <w:rFonts w:ascii="方正仿宋_GBK" w:eastAsia="方正仿宋_GBK" w:hint="eastAsia"/>
          <w:b/>
          <w:sz w:val="28"/>
        </w:rP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8278"/>
      </w:tblGrid>
      <w:tr>
        <w:trPr>
          <w:trHeight w:val="369"/>
        </w:trPr>
        <w:tc>
          <w:tcPr>
            <w:tcW w:w="1134" w:type="dxa"/>
            <w:tcBorders>
              <w:bottom w:val="nil"/>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进一步优化营商环境，维护公平的税收秩序</w:t>
            </w:r>
          </w:p>
        </w:tc>
      </w:tr>
    </w:tbl>
    <w:p>
      <w:pPr>
        <w:spacing w:line="14" w:lineRule="exact"/>
        <w:ind w:firstLineChars="200" w:firstLine="420"/>
        <w:jc w:val="center"/>
        <w:rPr>
          <w:rFonts w:hAnsi="宋体"/>
        </w:rPr>
      </w:pPr>
      <w:r>
        <w:rPr>
          <w:rFonts w:ascii="方正书宋_GBK" w:eastAsia="方正书宋_GBK"/>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税务检查完成情况</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组织税务检查的完成情况</w:t>
            </w:r>
          </w:p>
        </w:tc>
        <w:tc>
          <w:tcPr>
            <w:tcW w:w="1276"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rPr>
            </w:pP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数量指标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完成纳税评估企业的数量</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实际评估完成企业的个数</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5</w:t>
            </w:r>
          </w:p>
        </w:tc>
        <w:tc>
          <w:tcPr>
            <w:tcW w:w="1701" w:type="dxa"/>
            <w:tcBorders>
              <w:tl2br w:val="nil"/>
              <w:tr2bl w:val="nil"/>
            </w:tcBorders>
            <w:vAlign w:val="center"/>
          </w:tcPr>
          <w:p>
            <w:pPr>
              <w:spacing w:line="300" w:lineRule="exact"/>
              <w:jc w:val="left"/>
              <w:rPr>
                <w:rFonts w:ascii="方正书宋_GBK" w:eastAsia="方正书宋_GBK"/>
              </w:rPr>
            </w:pP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税务检查评估审计费的降低程度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税务检查评估审计费的降低程度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10</w:t>
            </w:r>
          </w:p>
        </w:tc>
        <w:tc>
          <w:tcPr>
            <w:tcW w:w="1701" w:type="dxa"/>
            <w:tcBorders>
              <w:tl2br w:val="nil"/>
              <w:tr2bl w:val="nil"/>
            </w:tcBorders>
            <w:vAlign w:val="center"/>
          </w:tcPr>
          <w:p>
            <w:pPr>
              <w:spacing w:line="300" w:lineRule="exact"/>
              <w:jc w:val="left"/>
              <w:rPr>
                <w:rFonts w:ascii="方正书宋_GBK" w:eastAsia="方正书宋_GBK"/>
              </w:rPr>
            </w:pPr>
          </w:p>
        </w:tc>
      </w:tr>
      <w:tr>
        <w:trPr>
          <w:cantSplit/>
          <w:trHeight w:val="369"/>
        </w:trPr>
        <w:tc>
          <w:tcPr>
            <w:tcW w:w="1134" w:type="dxa"/>
            <w:vMerge w:val="restart"/>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效果指标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确保业务工作正确</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评估审计项目不出现问题</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根据审计结果</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问题整改率</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根据评估报告完成补缴税款入库的比例</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根据整改结果</w:t>
            </w:r>
          </w:p>
        </w:tc>
      </w:tr>
      <w:tr>
        <w:trPr>
          <w:cantSplit/>
          <w:trHeight w:val="369"/>
        </w:trPr>
        <w:tc>
          <w:tcPr>
            <w:tcW w:w="1134" w:type="dxa"/>
            <w:vMerge/>
            <w:tcBorders>
              <w:tl2br w:val="nil"/>
              <w:tr2bl w:val="nil"/>
            </w:tcBorders>
            <w:vAlign w:val="center"/>
          </w:tcP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长期使用性</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能够长期较好地开展展税务检查工作的需求。</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0</w:t>
            </w:r>
            <w:r>
              <w:rPr>
                <w:rFonts w:ascii="方正书宋_GBK" w:eastAsia="方正书宋_GBK" w:hint="eastAsia"/>
              </w:rPr>
              <w:t>基本满足</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根据审计结果</w:t>
            </w:r>
          </w:p>
        </w:tc>
      </w:tr>
      <w:tr>
        <w:trPr>
          <w:cantSplit/>
          <w:trHeight w:val="369"/>
        </w:trPr>
        <w:tc>
          <w:tcPr>
            <w:tcW w:w="1134" w:type="dxa"/>
            <w:tcBorders>
              <w:tl2br w:val="nil"/>
              <w:tr2bl w:val="nil"/>
            </w:tcBorders>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vAlign w:val="center"/>
          </w:tcPr>
          <w:p>
            <w:pPr>
              <w:spacing w:line="300" w:lineRule="exact"/>
              <w:jc w:val="left"/>
              <w:rPr>
                <w:rFonts w:ascii="方正书宋_GBK" w:eastAsia="方正书宋_GBK"/>
              </w:rPr>
            </w:pPr>
            <w:r>
              <w:rPr>
                <w:rFonts w:ascii="方正书宋_GBK" w:eastAsia="方正书宋_GBK" w:hint="eastAsia"/>
              </w:rPr>
              <w:t>接受调查人员的满意程度</w:t>
            </w:r>
          </w:p>
        </w:tc>
        <w:tc>
          <w:tcPr>
            <w:tcW w:w="1276"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95</w:t>
            </w:r>
          </w:p>
        </w:tc>
        <w:tc>
          <w:tcPr>
            <w:tcW w:w="1701" w:type="dxa"/>
            <w:tcBorders>
              <w:tl2br w:val="nil"/>
              <w:tr2bl w:val="nil"/>
            </w:tcBorders>
            <w:vAlign w:val="center"/>
          </w:tcPr>
          <w:p>
            <w:pPr>
              <w:spacing w:line="300" w:lineRule="exact"/>
              <w:jc w:val="left"/>
              <w:rPr>
                <w:rFonts w:ascii="方正书宋_GBK" w:eastAsia="方正书宋_GBK" w:hint="eastAsia"/>
              </w:rPr>
            </w:pPr>
            <w:r>
              <w:rPr>
                <w:rFonts w:ascii="方正书宋_GBK" w:eastAsia="方正书宋_GBK" w:hint="eastAsia"/>
              </w:rPr>
              <w:t>调查问卷</w:t>
            </w:r>
          </w:p>
        </w:tc>
      </w:tr>
    </w:tbl>
    <w:p>
      <w:pPr>
        <w:autoSpaceDE w:val="0"/>
        <w:autoSpaceDN w:val="0"/>
        <w:adjustRightInd w:val="0"/>
        <w:snapToGrid w:val="0"/>
        <w:spacing w:line="560" w:lineRule="exact"/>
        <w:ind w:firstLineChars="250" w:firstLine="800"/>
        <w:jc w:val="left"/>
        <w:rPr>
          <w:rFonts w:ascii="仿宋_GB2312" w:eastAsia="仿宋_GB2312" w:hAnsi="黑体" w:hint="eastAsia"/>
          <w:color w:val="FF0000"/>
          <w:sz w:val="32"/>
          <w:szCs w:val="32"/>
        </w:rPr>
      </w:pPr>
      <w:r>
        <w:rPr>
          <w:rFonts w:ascii="仿宋_GB2312" w:eastAsia="仿宋_GB2312" w:hAnsi="黑体" w:hint="eastAsia"/>
          <w:b/>
          <w:sz w:val="32"/>
          <w:szCs w:val="32"/>
        </w:rPr>
        <w:t>六、政府采购预算信息</w:t>
      </w:r>
    </w:p>
    <w:p>
      <w:pPr>
        <w:adjustRightInd w:val="0"/>
        <w:snapToGrid w:val="0"/>
        <w:spacing w:line="560" w:lineRule="exact"/>
        <w:ind w:firstLineChars="150" w:firstLine="480"/>
        <w:rPr>
          <w:rFonts w:ascii="仿宋_GB2312" w:eastAsia="仿宋_GB2312" w:hAnsi="仿宋" w:hint="eastAsia"/>
          <w:sz w:val="32"/>
          <w:szCs w:val="32"/>
        </w:rPr>
      </w:pPr>
      <w:r>
        <w:rPr>
          <w:rFonts w:ascii="仿宋_GB2312" w:eastAsia="仿宋_GB2312" w:hAnsi="仿宋" w:hint="eastAsia"/>
          <w:color w:val="FF0000"/>
          <w:sz w:val="32"/>
          <w:szCs w:val="32"/>
        </w:rPr>
        <w:t xml:space="preserve">  </w:t>
      </w:r>
      <w:r>
        <w:rPr>
          <w:rFonts w:ascii="仿宋_GB2312" w:eastAsia="仿宋_GB2312" w:hAnsi="仿宋" w:hint="eastAsia"/>
          <w:sz w:val="32"/>
          <w:szCs w:val="32"/>
        </w:rPr>
        <w:t xml:space="preserve"> 2020年此项目无数据</w:t>
      </w:r>
    </w:p>
    <w:p>
      <w:pPr>
        <w:autoSpaceDE w:val="0"/>
        <w:autoSpaceDN w:val="0"/>
        <w:adjustRightInd w:val="0"/>
        <w:snapToGrid w:val="0"/>
        <w:spacing w:line="560" w:lineRule="exact"/>
        <w:ind w:firstLineChars="200" w:firstLine="640"/>
        <w:jc w:val="left"/>
        <w:rPr>
          <w:rFonts w:ascii="仿宋_GB2312" w:eastAsia="仿宋_GB2312" w:hAnsi="黑体" w:hint="eastAsia"/>
          <w:sz w:val="32"/>
          <w:szCs w:val="32"/>
        </w:rPr>
      </w:pPr>
      <w:r>
        <w:rPr>
          <w:rFonts w:ascii="仿宋_GB2312" w:eastAsia="仿宋_GB2312" w:hAnsi="黑体" w:hint="eastAsia"/>
          <w:b/>
          <w:sz w:val="32"/>
          <w:szCs w:val="32"/>
        </w:rPr>
        <w:t>七、国有资产信息</w:t>
      </w:r>
    </w:p>
    <w:p>
      <w:pPr>
        <w:spacing w:beforeLines="50" w:before="156" w:line="360" w:lineRule="auto"/>
        <w:ind w:firstLineChars="200" w:firstLine="640"/>
        <w:rPr>
          <w:rFonts w:ascii="仿宋_GB2312" w:eastAsia="仿宋_GB2312" w:hAnsi="黑体" w:hint="eastAsia"/>
          <w:b/>
          <w:sz w:val="32"/>
          <w:szCs w:val="32"/>
        </w:rPr>
      </w:pPr>
      <w:r>
        <w:rPr>
          <w:rFonts w:ascii="仿宋_GB2312" w:eastAsia="仿宋_GB2312" w:hAnsi="仿宋" w:hint="eastAsia"/>
          <w:sz w:val="32"/>
          <w:szCs w:val="32"/>
        </w:rPr>
        <w:t>我单位2019年底固定资产原值743.82万元</w:t>
      </w:r>
      <w:r>
        <w:rPr>
          <w:rFonts w:eastAsia="仿宋"/>
          <w:sz w:val="32"/>
          <w:szCs w:val="32"/>
        </w:rPr>
        <w:t>（详见下表）</w:t>
      </w:r>
      <w:r>
        <w:rPr>
          <w:rFonts w:ascii="仿宋" w:eastAsia="仿宋" w:hAnsi="仿宋" w:hint="eastAsia"/>
          <w:sz w:val="32"/>
          <w:szCs w:val="32"/>
        </w:rPr>
        <w:t>。</w:t>
      </w:r>
    </w:p>
    <w:tbl>
      <w:tblPr>
        <w:jc w:val="left"/>
        <w:tblInd w:w="93"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847"/>
        <w:gridCol w:w="946"/>
        <w:gridCol w:w="4357"/>
      </w:tblGrid>
      <w:tr>
        <w:trPr>
          <w:trHeight w:val="846"/>
        </w:trPr>
        <w:tc>
          <w:tcPr>
            <w:tcW w:w="9150" w:type="dxa"/>
            <w:gridSpan w:val="3"/>
            <w:tcBorders>
              <w:top w:val="nil"/>
              <w:left w:val="nil"/>
              <w:bottom w:val="nil"/>
              <w:right w:val="nil"/>
              <w:tl2br w:val="nil"/>
              <w:tr2bl w:val="nil"/>
            </w:tcBorders>
            <w:vAlign w:val="center"/>
          </w:tcPr>
          <w:p>
            <w:pPr>
              <w:widowControl/>
              <w:jc w:val="center"/>
              <w:rPr>
                <w:rFonts w:ascii="宋体" w:cs="宋体"/>
                <w:b/>
                <w:bCs/>
                <w:kern w:val="0"/>
                <w:sz w:val="32"/>
                <w:szCs w:val="32"/>
              </w:rPr>
            </w:pPr>
            <w:r>
              <w:rPr>
                <w:rFonts w:ascii="宋体" w:cs="宋体" w:hAnsi="宋体" w:hint="eastAsia"/>
                <w:b/>
                <w:bCs/>
                <w:kern w:val="0"/>
                <w:sz w:val="32"/>
                <w:szCs w:val="32"/>
              </w:rPr>
              <w:t>部门固定资产占用情况表</w:t>
            </w:r>
          </w:p>
        </w:tc>
      </w:tr>
      <w:tr>
        <w:trPr>
          <w:trHeight w:val="463"/>
        </w:trPr>
        <w:tc>
          <w:tcPr>
            <w:tcW w:w="4793" w:type="dxa"/>
            <w:gridSpan w:val="2"/>
            <w:tcBorders>
              <w:top w:val="nil"/>
              <w:left w:val="nil"/>
              <w:bottom w:val="nil"/>
              <w:right w:val="nil"/>
              <w:tl2br w:val="nil"/>
              <w:tr2bl w:val="nil"/>
            </w:tcBorders>
            <w:vAlign w:val="center"/>
          </w:tcPr>
          <w:p>
            <w:pPr>
              <w:widowControl/>
              <w:jc w:val="left"/>
              <w:rPr>
                <w:rFonts w:eastAsia="仿宋"/>
                <w:kern w:val="0"/>
                <w:sz w:val="22"/>
              </w:rPr>
            </w:pPr>
            <w:r>
              <w:rPr>
                <w:rFonts w:ascii="仿宋_GB2312" w:eastAsia="仿宋_GB2312" w:hAnsi="仿宋" w:hint="eastAsia"/>
                <w:sz w:val="32"/>
                <w:szCs w:val="32"/>
              </w:rPr>
              <w:t>编制部门：</w:t>
            </w:r>
            <w:r>
              <w:rPr>
                <w:rFonts w:ascii="宋体" w:cs="宋体" w:hAnsi="宋体" w:hint="eastAsia"/>
                <w:b/>
                <w:bCs/>
                <w:kern w:val="0"/>
                <w:sz w:val="32"/>
                <w:szCs w:val="32"/>
              </w:rPr>
              <w:t>唐山市丰南区财政局</w:t>
            </w:r>
          </w:p>
        </w:tc>
        <w:tc>
          <w:tcPr>
            <w:tcW w:w="4357" w:type="dxa"/>
            <w:tcBorders>
              <w:top w:val="nil"/>
              <w:left w:val="nil"/>
              <w:bottom w:val="nil"/>
              <w:right w:val="nil"/>
              <w:tl2br w:val="nil"/>
              <w:tr2bl w:val="nil"/>
            </w:tcBorders>
            <w:vAlign w:val="center"/>
          </w:tcPr>
          <w:p>
            <w:pPr>
              <w:widowControl/>
              <w:jc w:val="left"/>
              <w:rPr>
                <w:rFonts w:ascii="仿宋_GB2312" w:eastAsia="仿宋_GB2312" w:hAnsi="仿宋" w:hint="eastAsia"/>
                <w:sz w:val="32"/>
                <w:szCs w:val="32"/>
              </w:rPr>
            </w:pPr>
            <w:r>
              <w:rPr>
                <w:rFonts w:ascii="仿宋_GB2312" w:eastAsia="仿宋_GB2312" w:hAnsi="仿宋" w:hint="eastAsia"/>
                <w:sz w:val="32"/>
                <w:szCs w:val="32"/>
              </w:rPr>
              <w:t>截止时间：2019年12月31日</w:t>
            </w:r>
          </w:p>
        </w:tc>
      </w:tr>
      <w:tr>
        <w:trPr>
          <w:trHeight w:val="397"/>
        </w:trPr>
        <w:tc>
          <w:tcPr>
            <w:tcW w:w="3847"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宋体" w:cs="宋体"/>
                <w:b/>
                <w:bCs/>
                <w:kern w:val="0"/>
                <w:sz w:val="22"/>
              </w:rPr>
            </w:pPr>
            <w:r>
              <w:rPr>
                <w:rFonts w:ascii="宋体" w:cs="宋体" w:hAnsi="宋体" w:hint="eastAsia"/>
                <w:b/>
                <w:bCs/>
                <w:kern w:val="0"/>
                <w:sz w:val="22"/>
              </w:rPr>
              <w:t>项目</w:t>
            </w:r>
          </w:p>
        </w:tc>
        <w:tc>
          <w:tcPr>
            <w:tcW w:w="946" w:type="dxa"/>
            <w:tcBorders>
              <w:top w:val="single" w:sz="4" w:space="0" w:color="auto"/>
              <w:left w:val="nil"/>
              <w:bottom w:val="single" w:sz="4" w:space="0" w:color="auto"/>
              <w:right w:val="single" w:sz="4" w:space="0" w:color="auto"/>
              <w:tl2br w:val="nil"/>
              <w:tr2bl w:val="nil"/>
            </w:tcBorders>
            <w:vAlign w:val="center"/>
          </w:tcPr>
          <w:p>
            <w:pPr>
              <w:widowControl/>
              <w:jc w:val="center"/>
              <w:rPr>
                <w:rFonts w:ascii="宋体" w:cs="宋体"/>
                <w:b/>
                <w:bCs/>
                <w:kern w:val="0"/>
                <w:sz w:val="22"/>
              </w:rPr>
            </w:pPr>
            <w:r>
              <w:rPr>
                <w:rFonts w:ascii="宋体" w:cs="宋体" w:hAnsi="宋体" w:hint="eastAsia"/>
                <w:b/>
                <w:bCs/>
                <w:kern w:val="0"/>
                <w:sz w:val="22"/>
              </w:rPr>
              <w:t>数量</w:t>
            </w:r>
          </w:p>
        </w:tc>
        <w:tc>
          <w:tcPr>
            <w:tcW w:w="4357" w:type="dxa"/>
            <w:tcBorders>
              <w:top w:val="single" w:sz="4" w:space="0" w:color="auto"/>
              <w:left w:val="nil"/>
              <w:bottom w:val="single" w:sz="4" w:space="0" w:color="auto"/>
              <w:right w:val="single" w:sz="4" w:space="0" w:color="auto"/>
              <w:tl2br w:val="nil"/>
              <w:tr2bl w:val="nil"/>
            </w:tcBorders>
            <w:vAlign w:val="center"/>
          </w:tcPr>
          <w:p>
            <w:pPr>
              <w:widowControl/>
              <w:jc w:val="center"/>
              <w:rPr>
                <w:rFonts w:ascii="宋体" w:cs="宋体" w:hAnsi="宋体" w:hint="eastAsia"/>
                <w:b/>
                <w:bCs/>
                <w:kern w:val="0"/>
                <w:sz w:val="22"/>
                <w:szCs w:val="22"/>
              </w:rPr>
            </w:pPr>
            <w:r>
              <w:rPr>
                <w:rFonts w:ascii="宋体" w:cs="宋体" w:hAnsi="宋体" w:hint="eastAsia"/>
                <w:b/>
                <w:bCs/>
                <w:kern w:val="0"/>
                <w:sz w:val="22"/>
                <w:szCs w:val="22"/>
              </w:rPr>
              <w:t>价值（金额单位：万元）</w:t>
            </w:r>
          </w:p>
        </w:tc>
      </w:tr>
      <w:tr>
        <w:trPr>
          <w:trHeight w:val="350"/>
        </w:trPr>
        <w:tc>
          <w:tcPr>
            <w:tcW w:w="3847" w:type="dxa"/>
            <w:tcBorders>
              <w:top w:val="nil"/>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hAnsi="仿宋" w:hint="eastAsia"/>
                <w:sz w:val="32"/>
                <w:szCs w:val="32"/>
              </w:rPr>
            </w:pPr>
            <w:r>
              <w:rPr>
                <w:rFonts w:ascii="仿宋_GB2312" w:eastAsia="仿宋_GB2312" w:hAnsi="仿宋" w:hint="eastAsia"/>
                <w:sz w:val="32"/>
                <w:szCs w:val="32"/>
              </w:rPr>
              <w:t>资产总额</w:t>
            </w:r>
          </w:p>
        </w:tc>
        <w:tc>
          <w:tcPr>
            <w:tcW w:w="946" w:type="dxa"/>
            <w:tcBorders>
              <w:top w:val="nil"/>
              <w:left w:val="nil"/>
              <w:bottom w:val="single" w:sz="4" w:space="0" w:color="auto"/>
              <w:right w:val="single" w:sz="4" w:space="0" w:color="auto"/>
              <w:tl2br w:val="nil"/>
              <w:tr2bl w:val="nil"/>
            </w:tcBorders>
            <w:vAlign w:val="center"/>
          </w:tcPr>
          <w:p>
            <w:pPr>
              <w:widowControl/>
              <w:jc w:val="center"/>
              <w:rPr>
                <w:rFonts w:ascii="仿宋_GB2312" w:eastAsia="仿宋_GB2312" w:hAnsi="仿宋" w:hint="eastAsia"/>
                <w:sz w:val="32"/>
                <w:szCs w:val="32"/>
              </w:rPr>
            </w:pPr>
            <w:r>
              <w:rPr>
                <w:rFonts w:ascii="仿宋_GB2312" w:eastAsia="仿宋_GB2312" w:hAnsi="仿宋" w:hint="eastAsia"/>
                <w:sz w:val="32"/>
                <w:szCs w:val="32"/>
              </w:rPr>
              <w:t>——</w:t>
            </w:r>
          </w:p>
        </w:tc>
        <w:tc>
          <w:tcPr>
            <w:tcW w:w="4357" w:type="dxa"/>
            <w:tcBorders>
              <w:top w:val="nil"/>
              <w:left w:val="nil"/>
              <w:bottom w:val="single" w:sz="4" w:space="0" w:color="auto"/>
              <w:right w:val="single" w:sz="4" w:space="0" w:color="auto"/>
              <w:tl2br w:val="nil"/>
              <w:tr2bl w:val="nil"/>
            </w:tcBorders>
            <w:vAlign w:val="center"/>
          </w:tcPr>
          <w:p>
            <w:pPr>
              <w:widowControl/>
              <w:jc w:val="center"/>
              <w:rPr>
                <w:rFonts w:ascii="仿宋_GB2312" w:eastAsia="仿宋_GB2312" w:hAnsi="仿宋" w:hint="eastAsia"/>
                <w:sz w:val="32"/>
                <w:szCs w:val="32"/>
              </w:rPr>
            </w:pPr>
            <w:r>
              <w:rPr>
                <w:rFonts w:ascii="仿宋_GB2312" w:eastAsia="仿宋_GB2312" w:hAnsi="仿宋" w:hint="eastAsia"/>
                <w:sz w:val="32"/>
                <w:szCs w:val="32"/>
              </w:rPr>
              <w:t>743.82</w:t>
            </w:r>
          </w:p>
        </w:tc>
      </w:tr>
      <w:tr>
        <w:trPr>
          <w:trHeight w:val="539"/>
        </w:trPr>
        <w:tc>
          <w:tcPr>
            <w:tcW w:w="3847" w:type="dxa"/>
            <w:tcBorders>
              <w:top w:val="nil"/>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hAnsi="仿宋" w:hint="eastAsia"/>
                <w:sz w:val="32"/>
                <w:szCs w:val="32"/>
              </w:rPr>
            </w:pPr>
            <w:r>
              <w:rPr>
                <w:rFonts w:ascii="仿宋_GB2312" w:eastAsia="仿宋_GB2312" w:hAnsi="仿宋" w:hint="eastAsia"/>
                <w:sz w:val="32"/>
                <w:szCs w:val="32"/>
              </w:rPr>
              <w:t>1、房屋（平方米）</w:t>
            </w:r>
          </w:p>
        </w:tc>
        <w:tc>
          <w:tcPr>
            <w:tcW w:w="946" w:type="dxa"/>
            <w:tcBorders>
              <w:top w:val="nil"/>
              <w:left w:val="nil"/>
              <w:bottom w:val="single" w:sz="4" w:space="0" w:color="auto"/>
              <w:right w:val="single" w:sz="4" w:space="0" w:color="auto"/>
              <w:tl2br w:val="nil"/>
              <w:tr2bl w:val="nil"/>
            </w:tcBorders>
            <w:vAlign w:val="center"/>
          </w:tcPr>
          <w:p>
            <w:pPr>
              <w:widowControl/>
              <w:jc w:val="center"/>
              <w:rPr>
                <w:rFonts w:ascii="仿宋_GB2312" w:eastAsia="仿宋_GB2312" w:hAnsi="仿宋" w:hint="eastAsia"/>
                <w:sz w:val="32"/>
                <w:szCs w:val="32"/>
              </w:rPr>
            </w:pPr>
            <w:r>
              <w:rPr>
                <w:rFonts w:ascii="仿宋_GB2312" w:eastAsia="仿宋_GB2312" w:hAnsi="仿宋" w:hint="eastAsia"/>
                <w:sz w:val="32"/>
                <w:szCs w:val="32"/>
              </w:rPr>
              <w:t>0</w:t>
            </w:r>
          </w:p>
        </w:tc>
        <w:tc>
          <w:tcPr>
            <w:tcW w:w="4357" w:type="dxa"/>
            <w:tcBorders>
              <w:top w:val="nil"/>
              <w:left w:val="nil"/>
              <w:bottom w:val="single" w:sz="4" w:space="0" w:color="auto"/>
              <w:right w:val="single" w:sz="4" w:space="0" w:color="auto"/>
              <w:tl2br w:val="nil"/>
              <w:tr2bl w:val="nil"/>
            </w:tcBorders>
            <w:vAlign w:val="center"/>
          </w:tcPr>
          <w:p>
            <w:pPr>
              <w:widowControl/>
              <w:jc w:val="center"/>
              <w:rPr>
                <w:rFonts w:ascii="仿宋_GB2312" w:eastAsia="仿宋_GB2312" w:hAnsi="仿宋" w:hint="eastAsia"/>
                <w:sz w:val="32"/>
                <w:szCs w:val="32"/>
              </w:rPr>
            </w:pPr>
            <w:r>
              <w:rPr>
                <w:rFonts w:ascii="仿宋_GB2312" w:eastAsia="仿宋_GB2312" w:hAnsi="仿宋" w:hint="eastAsia"/>
                <w:sz w:val="32"/>
                <w:szCs w:val="32"/>
              </w:rPr>
              <w:t>0</w:t>
            </w:r>
          </w:p>
        </w:tc>
      </w:tr>
      <w:tr>
        <w:trPr>
          <w:trHeight w:val="616"/>
        </w:trPr>
        <w:tc>
          <w:tcPr>
            <w:tcW w:w="3847" w:type="dxa"/>
            <w:tcBorders>
              <w:top w:val="nil"/>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hAnsi="仿宋" w:hint="eastAsia"/>
                <w:sz w:val="32"/>
                <w:szCs w:val="32"/>
              </w:rPr>
            </w:pPr>
            <w:r>
              <w:rPr>
                <w:rFonts w:ascii="仿宋_GB2312" w:eastAsia="仿宋_GB2312" w:hAnsi="仿宋" w:hint="eastAsia"/>
                <w:sz w:val="32"/>
                <w:szCs w:val="32"/>
              </w:rPr>
              <w:t>其中：办公用房（平方米）</w:t>
            </w:r>
          </w:p>
        </w:tc>
        <w:tc>
          <w:tcPr>
            <w:tcW w:w="946" w:type="dxa"/>
            <w:tcBorders>
              <w:top w:val="nil"/>
              <w:left w:val="nil"/>
              <w:bottom w:val="single" w:sz="4" w:space="0" w:color="auto"/>
              <w:right w:val="single" w:sz="4" w:space="0" w:color="auto"/>
              <w:tl2br w:val="nil"/>
              <w:tr2bl w:val="nil"/>
            </w:tcBorders>
            <w:vAlign w:val="center"/>
          </w:tcPr>
          <w:p>
            <w:pPr>
              <w:widowControl/>
              <w:jc w:val="center"/>
              <w:rPr>
                <w:rFonts w:ascii="仿宋_GB2312" w:eastAsia="仿宋_GB2312" w:hAnsi="仿宋" w:hint="eastAsia"/>
                <w:sz w:val="32"/>
                <w:szCs w:val="32"/>
              </w:rPr>
            </w:pPr>
            <w:r>
              <w:rPr>
                <w:rFonts w:ascii="仿宋_GB2312" w:eastAsia="仿宋_GB2312" w:hAnsi="仿宋" w:hint="eastAsia"/>
                <w:sz w:val="32"/>
                <w:szCs w:val="32"/>
              </w:rPr>
              <w:t>0</w:t>
            </w:r>
          </w:p>
        </w:tc>
        <w:tc>
          <w:tcPr>
            <w:tcW w:w="4357" w:type="dxa"/>
            <w:tcBorders>
              <w:top w:val="nil"/>
              <w:left w:val="nil"/>
              <w:bottom w:val="single" w:sz="4" w:space="0" w:color="auto"/>
              <w:right w:val="single" w:sz="4" w:space="0" w:color="auto"/>
              <w:tl2br w:val="nil"/>
              <w:tr2bl w:val="nil"/>
            </w:tcBorders>
            <w:vAlign w:val="center"/>
          </w:tcPr>
          <w:p>
            <w:pPr>
              <w:widowControl/>
              <w:jc w:val="center"/>
              <w:rPr>
                <w:rFonts w:ascii="仿宋_GB2312" w:eastAsia="仿宋_GB2312" w:hAnsi="仿宋" w:hint="eastAsia"/>
                <w:sz w:val="32"/>
                <w:szCs w:val="32"/>
              </w:rPr>
            </w:pPr>
            <w:r>
              <w:rPr>
                <w:rFonts w:ascii="仿宋_GB2312" w:eastAsia="仿宋_GB2312" w:hAnsi="仿宋" w:hint="eastAsia"/>
                <w:sz w:val="32"/>
                <w:szCs w:val="32"/>
              </w:rPr>
              <w:t>0</w:t>
            </w:r>
          </w:p>
        </w:tc>
      </w:tr>
      <w:tr>
        <w:trPr>
          <w:trHeight w:val="463"/>
        </w:trPr>
        <w:tc>
          <w:tcPr>
            <w:tcW w:w="3847" w:type="dxa"/>
            <w:tcBorders>
              <w:top w:val="nil"/>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hAnsi="仿宋" w:hint="eastAsia"/>
                <w:sz w:val="32"/>
                <w:szCs w:val="32"/>
              </w:rPr>
            </w:pPr>
            <w:r>
              <w:rPr>
                <w:rFonts w:ascii="仿宋_GB2312" w:eastAsia="仿宋_GB2312" w:hAnsi="仿宋" w:hint="eastAsia"/>
                <w:sz w:val="32"/>
                <w:szCs w:val="32"/>
              </w:rPr>
              <w:t>2、车辆（台、辆）</w:t>
            </w:r>
          </w:p>
        </w:tc>
        <w:tc>
          <w:tcPr>
            <w:tcW w:w="946" w:type="dxa"/>
            <w:tcBorders>
              <w:top w:val="nil"/>
              <w:left w:val="nil"/>
              <w:bottom w:val="single" w:sz="4" w:space="0" w:color="auto"/>
              <w:right w:val="single" w:sz="4" w:space="0" w:color="auto"/>
              <w:tl2br w:val="nil"/>
              <w:tr2bl w:val="nil"/>
            </w:tcBorders>
            <w:vAlign w:val="center"/>
          </w:tcPr>
          <w:p>
            <w:pPr>
              <w:widowControl/>
              <w:jc w:val="center"/>
              <w:rPr>
                <w:rFonts w:ascii="仿宋_GB2312" w:eastAsia="仿宋_GB2312" w:hAnsi="仿宋" w:hint="eastAsia"/>
                <w:sz w:val="32"/>
                <w:szCs w:val="32"/>
              </w:rPr>
            </w:pPr>
            <w:r>
              <w:rPr>
                <w:rFonts w:ascii="仿宋_GB2312" w:eastAsia="仿宋_GB2312" w:hAnsi="仿宋" w:hint="eastAsia"/>
                <w:sz w:val="32"/>
                <w:szCs w:val="32"/>
              </w:rPr>
              <w:t>3</w:t>
            </w:r>
          </w:p>
        </w:tc>
        <w:tc>
          <w:tcPr>
            <w:tcW w:w="4357" w:type="dxa"/>
            <w:tcBorders>
              <w:top w:val="nil"/>
              <w:left w:val="nil"/>
              <w:bottom w:val="single" w:sz="4" w:space="0" w:color="auto"/>
              <w:right w:val="single" w:sz="4" w:space="0" w:color="auto"/>
              <w:tl2br w:val="nil"/>
              <w:tr2bl w:val="nil"/>
            </w:tcBorders>
            <w:vAlign w:val="center"/>
          </w:tcPr>
          <w:p>
            <w:pPr>
              <w:widowControl/>
              <w:jc w:val="center"/>
              <w:rPr>
                <w:rFonts w:ascii="仿宋_GB2312" w:eastAsia="仿宋_GB2312" w:hAnsi="仿宋" w:hint="eastAsia"/>
                <w:sz w:val="32"/>
                <w:szCs w:val="32"/>
              </w:rPr>
            </w:pPr>
            <w:r>
              <w:rPr>
                <w:rFonts w:ascii="仿宋_GB2312" w:eastAsia="仿宋_GB2312" w:hAnsi="仿宋" w:hint="eastAsia"/>
                <w:sz w:val="32"/>
                <w:szCs w:val="32"/>
              </w:rPr>
              <w:t>57.6</w:t>
            </w:r>
          </w:p>
        </w:tc>
      </w:tr>
      <w:tr>
        <w:trPr>
          <w:trHeight w:val="691"/>
        </w:trPr>
        <w:tc>
          <w:tcPr>
            <w:tcW w:w="3847" w:type="dxa"/>
            <w:tcBorders>
              <w:top w:val="nil"/>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hAnsi="仿宋" w:hint="eastAsia"/>
                <w:sz w:val="32"/>
                <w:szCs w:val="32"/>
              </w:rPr>
            </w:pPr>
            <w:r>
              <w:rPr>
                <w:rFonts w:ascii="仿宋_GB2312" w:eastAsia="仿宋_GB2312" w:hAnsi="仿宋" w:hint="eastAsia"/>
                <w:sz w:val="32"/>
                <w:szCs w:val="32"/>
              </w:rPr>
              <w:t>3、单价在20万元以上设备</w:t>
            </w:r>
          </w:p>
        </w:tc>
        <w:tc>
          <w:tcPr>
            <w:tcW w:w="946" w:type="dxa"/>
            <w:tcBorders>
              <w:top w:val="nil"/>
              <w:left w:val="nil"/>
              <w:bottom w:val="single" w:sz="4" w:space="0" w:color="auto"/>
              <w:right w:val="single" w:sz="4" w:space="0" w:color="auto"/>
              <w:tl2br w:val="nil"/>
              <w:tr2bl w:val="nil"/>
            </w:tcBorders>
            <w:vAlign w:val="center"/>
          </w:tcPr>
          <w:p>
            <w:pPr>
              <w:widowControl/>
              <w:jc w:val="center"/>
              <w:rPr>
                <w:rFonts w:ascii="仿宋_GB2312" w:eastAsia="仿宋_GB2312" w:hAnsi="仿宋" w:hint="eastAsia"/>
                <w:sz w:val="32"/>
                <w:szCs w:val="32"/>
              </w:rPr>
            </w:pPr>
            <w:r>
              <w:rPr>
                <w:rFonts w:ascii="仿宋_GB2312" w:eastAsia="仿宋_GB2312" w:hAnsi="仿宋" w:hint="eastAsia"/>
                <w:sz w:val="32"/>
                <w:szCs w:val="32"/>
              </w:rPr>
              <w:t>——</w:t>
            </w:r>
          </w:p>
        </w:tc>
        <w:tc>
          <w:tcPr>
            <w:tcW w:w="4357" w:type="dxa"/>
            <w:tcBorders>
              <w:top w:val="nil"/>
              <w:left w:val="nil"/>
              <w:bottom w:val="single" w:sz="4" w:space="0" w:color="auto"/>
              <w:right w:val="single" w:sz="4" w:space="0" w:color="auto"/>
              <w:tl2br w:val="nil"/>
              <w:tr2bl w:val="nil"/>
            </w:tcBorders>
            <w:vAlign w:val="center"/>
          </w:tcPr>
          <w:p>
            <w:pPr>
              <w:widowControl/>
              <w:jc w:val="center"/>
              <w:rPr>
                <w:rFonts w:ascii="仿宋_GB2312" w:eastAsia="仿宋_GB2312" w:hAnsi="仿宋" w:hint="eastAsia"/>
                <w:sz w:val="32"/>
                <w:szCs w:val="32"/>
              </w:rPr>
            </w:pPr>
            <w:r>
              <w:rPr>
                <w:rFonts w:ascii="仿宋_GB2312" w:eastAsia="仿宋_GB2312" w:hAnsi="仿宋" w:hint="eastAsia"/>
                <w:sz w:val="32"/>
                <w:szCs w:val="32"/>
              </w:rPr>
              <w:t>0</w:t>
            </w:r>
          </w:p>
        </w:tc>
      </w:tr>
      <w:tr>
        <w:trPr>
          <w:trHeight w:val="390"/>
        </w:trPr>
        <w:tc>
          <w:tcPr>
            <w:tcW w:w="3847" w:type="dxa"/>
            <w:tcBorders>
              <w:top w:val="nil"/>
              <w:left w:val="single" w:sz="4" w:space="0" w:color="auto"/>
              <w:bottom w:val="single" w:sz="4" w:space="0" w:color="auto"/>
              <w:right w:val="single" w:sz="4" w:space="0" w:color="auto"/>
              <w:tl2br w:val="nil"/>
              <w:tr2bl w:val="nil"/>
            </w:tcBorders>
            <w:vAlign w:val="center"/>
          </w:tcPr>
          <w:p>
            <w:pPr>
              <w:widowControl/>
              <w:jc w:val="center"/>
              <w:rPr>
                <w:rFonts w:ascii="仿宋_GB2312" w:eastAsia="仿宋_GB2312" w:hAnsi="仿宋" w:hint="eastAsia"/>
                <w:sz w:val="32"/>
                <w:szCs w:val="32"/>
              </w:rPr>
            </w:pPr>
            <w:r>
              <w:rPr>
                <w:rFonts w:ascii="仿宋_GB2312" w:eastAsia="仿宋_GB2312" w:hAnsi="仿宋" w:hint="eastAsia"/>
                <w:sz w:val="32"/>
                <w:szCs w:val="32"/>
              </w:rPr>
              <w:t>4、其他固定资产</w:t>
            </w:r>
          </w:p>
        </w:tc>
        <w:tc>
          <w:tcPr>
            <w:tcW w:w="946" w:type="dxa"/>
            <w:tcBorders>
              <w:top w:val="nil"/>
              <w:left w:val="nil"/>
              <w:bottom w:val="single" w:sz="4" w:space="0" w:color="auto"/>
              <w:right w:val="single" w:sz="4" w:space="0" w:color="auto"/>
              <w:tl2br w:val="nil"/>
              <w:tr2bl w:val="nil"/>
            </w:tcBorders>
            <w:vAlign w:val="center"/>
          </w:tcPr>
          <w:p>
            <w:pPr>
              <w:widowControl/>
              <w:jc w:val="center"/>
              <w:rPr>
                <w:rFonts w:ascii="仿宋_GB2312" w:eastAsia="仿宋_GB2312" w:hAnsi="仿宋" w:hint="eastAsia"/>
                <w:sz w:val="32"/>
                <w:szCs w:val="32"/>
              </w:rPr>
            </w:pPr>
            <w:r>
              <w:rPr>
                <w:rFonts w:ascii="仿宋_GB2312" w:eastAsia="仿宋_GB2312" w:hAnsi="仿宋" w:hint="eastAsia"/>
                <w:sz w:val="32"/>
                <w:szCs w:val="32"/>
              </w:rPr>
              <w:t>——</w:t>
            </w:r>
          </w:p>
        </w:tc>
        <w:tc>
          <w:tcPr>
            <w:tcW w:w="4357" w:type="dxa"/>
            <w:tcBorders>
              <w:top w:val="nil"/>
              <w:left w:val="nil"/>
              <w:bottom w:val="single" w:sz="4" w:space="0" w:color="auto"/>
              <w:right w:val="single" w:sz="4" w:space="0" w:color="auto"/>
              <w:tl2br w:val="nil"/>
              <w:tr2bl w:val="nil"/>
            </w:tcBorders>
            <w:vAlign w:val="center"/>
          </w:tcPr>
          <w:p>
            <w:pPr>
              <w:widowControl/>
              <w:jc w:val="center"/>
              <w:rPr>
                <w:rFonts w:ascii="仿宋_GB2312" w:eastAsia="仿宋_GB2312" w:hAnsi="仿宋" w:hint="eastAsia"/>
                <w:sz w:val="32"/>
                <w:szCs w:val="32"/>
              </w:rPr>
            </w:pPr>
            <w:r>
              <w:rPr>
                <w:rFonts w:ascii="仿宋_GB2312" w:eastAsia="仿宋_GB2312" w:hAnsi="仿宋" w:hint="eastAsia"/>
                <w:sz w:val="32"/>
                <w:szCs w:val="32"/>
              </w:rPr>
              <w:t>686.22</w:t>
            </w:r>
          </w:p>
        </w:tc>
      </w:tr>
    </w:tbl>
    <w:p>
      <w:pPr>
        <w:adjustRightInd w:val="0"/>
        <w:snapToGrid w:val="0"/>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2020年我单位拟购置办公设备37万元，</w:t>
      </w:r>
      <w:r>
        <w:rPr>
          <w:rFonts w:eastAsia="仿宋"/>
          <w:sz w:val="32"/>
          <w:szCs w:val="32"/>
        </w:rPr>
        <w:t>主要为计算机、</w:t>
      </w:r>
      <w:r>
        <w:rPr>
          <w:rFonts w:ascii="仿宋_GB2312" w:eastAsia="仿宋_GB2312" w:hAnsi="仿宋" w:hint="eastAsia"/>
          <w:sz w:val="32"/>
          <w:szCs w:val="32"/>
        </w:rPr>
        <w:t>打印机、复印机、办公桌椅等</w:t>
      </w:r>
      <w:r>
        <w:rPr>
          <w:rFonts w:ascii="仿宋_GB2312" w:eastAsia="仿宋_GB2312" w:hAnsi="仿宋" w:hint="eastAsia"/>
          <w:color w:val="FF0000"/>
          <w:sz w:val="32"/>
          <w:szCs w:val="32"/>
        </w:rPr>
        <w:t>。</w:t>
      </w:r>
    </w:p>
    <w:p>
      <w:pPr>
        <w:autoSpaceDE w:val="0"/>
        <w:autoSpaceDN w:val="0"/>
        <w:adjustRightInd w:val="0"/>
        <w:snapToGrid w:val="0"/>
        <w:spacing w:line="560" w:lineRule="exact"/>
        <w:ind w:firstLineChars="200" w:firstLine="640"/>
        <w:jc w:val="left"/>
        <w:rPr>
          <w:rFonts w:ascii="仿宋_GB2312" w:eastAsia="仿宋_GB2312" w:hAnsi="黑体" w:hint="eastAsia"/>
          <w:color w:val="FF0000"/>
          <w:sz w:val="32"/>
          <w:szCs w:val="32"/>
        </w:rPr>
      </w:pPr>
      <w:r>
        <w:rPr>
          <w:rFonts w:ascii="仿宋_GB2312" w:eastAsia="仿宋_GB2312" w:hAnsi="黑体" w:hint="eastAsia"/>
          <w:b/>
          <w:sz w:val="32"/>
          <w:szCs w:val="32"/>
        </w:rPr>
        <w:t>八、专业名词解释</w:t>
      </w:r>
    </w:p>
    <w:p>
      <w:pPr>
        <w:adjustRightInd w:val="0"/>
        <w:snapToGrid w:val="0"/>
        <w:spacing w:line="560" w:lineRule="exact"/>
        <w:rPr>
          <w:rFonts w:ascii="仿宋_GB2312" w:eastAsia="仿宋_GB2312" w:hint="eastAsia"/>
          <w:sz w:val="32"/>
          <w:szCs w:val="32"/>
        </w:rPr>
      </w:pPr>
      <w:r>
        <w:rPr>
          <w:rFonts w:ascii="仿宋_GB2312" w:eastAsia="仿宋_GB2312" w:hint="eastAsia"/>
          <w:b/>
          <w:sz w:val="32"/>
          <w:szCs w:val="32"/>
        </w:rPr>
        <w:t xml:space="preserve">  </w:t>
      </w:r>
      <w:r>
        <w:rPr>
          <w:rFonts w:ascii="仿宋_GB2312" w:eastAsia="仿宋_GB2312" w:hAnsi="黑体" w:hint="eastAsia"/>
          <w:sz w:val="32"/>
          <w:szCs w:val="32"/>
        </w:rPr>
        <w:t xml:space="preserve">  基本支出</w:t>
      </w:r>
      <w:r>
        <w:rPr>
          <w:rFonts w:ascii="仿宋_GB2312" w:eastAsia="仿宋_GB2312" w:hint="eastAsia"/>
          <w:b/>
          <w:sz w:val="32"/>
          <w:szCs w:val="32"/>
        </w:rPr>
        <w:t>：</w:t>
      </w:r>
      <w:r>
        <w:rPr>
          <w:rFonts w:ascii="仿宋_GB2312" w:eastAsia="仿宋_GB2312" w:hAnsi="仿宋" w:hint="eastAsia"/>
          <w:sz w:val="32"/>
          <w:szCs w:val="32"/>
        </w:rPr>
        <w:t>为保障机构正常运转，完成日常工作任务，而发生的人员支出和公用支出。</w:t>
      </w:r>
    </w:p>
    <w:p>
      <w:pPr>
        <w:adjustRightInd w:val="0"/>
        <w:snapToGrid w:val="0"/>
        <w:spacing w:line="560" w:lineRule="exact"/>
        <w:rPr>
          <w:rFonts w:ascii="仿宋_GB2312" w:eastAsia="仿宋_GB2312" w:hAnsi="仿宋" w:hint="eastAsia"/>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 </w:t>
      </w:r>
      <w:r>
        <w:rPr>
          <w:rFonts w:ascii="仿宋_GB2312" w:eastAsia="仿宋_GB2312" w:hAnsi="黑体" w:hint="eastAsia"/>
          <w:sz w:val="32"/>
          <w:szCs w:val="32"/>
        </w:rPr>
        <w:t>项目支出</w:t>
      </w:r>
      <w:r>
        <w:rPr>
          <w:rFonts w:ascii="仿宋_GB2312" w:eastAsia="仿宋_GB2312" w:hint="eastAsia"/>
          <w:b/>
          <w:sz w:val="32"/>
          <w:szCs w:val="32"/>
        </w:rPr>
        <w:t>：</w:t>
      </w:r>
      <w:r>
        <w:rPr>
          <w:rFonts w:ascii="仿宋_GB2312" w:eastAsia="仿宋_GB2312" w:hAnsi="仿宋" w:hint="eastAsia"/>
          <w:sz w:val="32"/>
          <w:szCs w:val="32"/>
        </w:rPr>
        <w:t>为完成特定行政任务和事业发展目标而发生的费用</w:t>
      </w:r>
      <w:r>
        <w:rPr>
          <w:rFonts w:ascii="仿宋_GB2312" w:eastAsia="仿宋_GB2312" w:hint="eastAsia"/>
          <w:sz w:val="32"/>
          <w:szCs w:val="32"/>
        </w:rPr>
        <w:t xml:space="preserve">。    </w:t>
      </w:r>
    </w:p>
    <w:p>
      <w:pPr>
        <w:numPr>
          <w:ilvl w:val="0"/>
          <w:numId w:val="9"/>
        </w:numPr>
        <w:adjustRightInd w:val="0"/>
        <w:snapToGrid w:val="0"/>
        <w:spacing w:line="560" w:lineRule="exact"/>
        <w:ind w:left="0" w:firstLine="600"/>
        <w:rPr>
          <w:rFonts w:ascii="仿宋_GB2312" w:eastAsia="仿宋_GB2312" w:hAnsi="黑体" w:hint="eastAsia"/>
          <w:b/>
          <w:sz w:val="32"/>
          <w:szCs w:val="32"/>
        </w:rPr>
      </w:pPr>
      <w:r>
        <w:rPr>
          <w:rFonts w:ascii="仿宋_GB2312" w:eastAsia="仿宋_GB2312" w:hAnsi="黑体" w:hint="eastAsia"/>
          <w:b/>
          <w:sz w:val="32"/>
          <w:szCs w:val="32"/>
        </w:rPr>
        <w:t>其他情况说明</w:t>
      </w:r>
    </w:p>
    <w:p>
      <w:pPr>
        <w:adjustRightInd w:val="0"/>
        <w:snapToGrid w:val="0"/>
        <w:spacing w:line="560" w:lineRule="exact"/>
        <w:rPr>
          <w:rFonts w:ascii="仿宋_GB2312" w:eastAsia="仿宋_GB2312" w:hAnsi="仿宋" w:hint="eastAsia"/>
          <w:sz w:val="32"/>
          <w:szCs w:val="32"/>
        </w:rPr>
      </w:pPr>
      <w:r>
        <w:rPr>
          <w:rFonts w:ascii="仿宋_GB2312" w:eastAsia="仿宋_GB2312" w:hAnsi="仿宋" w:hint="eastAsia"/>
          <w:sz w:val="32"/>
          <w:szCs w:val="32"/>
        </w:rPr>
        <w:t xml:space="preserve">   部门预算政府性基金预算财政拨款支出表，本单位政府性基金6503.5万元为政府债务管理支出。</w:t>
      </w:r>
    </w:p>
    <w:p>
      <w:pPr>
        <w:adjustRightInd w:val="0"/>
        <w:snapToGrid w:val="0"/>
        <w:spacing w:line="560" w:lineRule="exact"/>
        <w:ind w:firstLine="600"/>
        <w:rPr>
          <w:rFonts w:ascii="仿宋_GB2312" w:eastAsia="仿宋_GB2312" w:hAnsi="黑体" w:hint="eastAsia"/>
          <w:sz w:val="32"/>
          <w:szCs w:val="32"/>
        </w:rPr>
      </w:pPr>
      <w:r>
        <w:rPr>
          <w:rFonts w:ascii="仿宋_GB2312" w:eastAsia="仿宋_GB2312" w:hAnsi="仿宋" w:hint="eastAsia"/>
          <w:sz w:val="32"/>
          <w:szCs w:val="32"/>
        </w:rPr>
        <w:t>部门预算国有资本经营预算财政拨款支出表，此表无数据，因本单位不涉及国有资本经营，因此无数据。</w:t>
      </w:r>
    </w:p>
    <w:p/>
    <w:sectPr>
      <w:pgSz w:w="11907" w:h="16839"/>
      <w:pgMar w:top="1984" w:right="1304" w:bottom="1134" w:left="1304" w:header="851" w:footer="992" w:gutter="0"/>
      <w:pgNumType w:start="3"/>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auto"/>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黑体">
    <w:altName w:val="微软雅黑"/>
    <w:panose1 w:val="02010609060101010101"/>
    <w:charset w:val="86"/>
    <w:family w:val="auto"/>
    <w:pitch w:val="variable"/>
    <w:sig w:usb0="800002BF" w:usb1="38CF7CFA" w:usb2="00000016" w:usb3="00000000" w:csb0="00040001" w:csb1="00000000"/>
  </w:font>
  <w:font w:name="宋体">
    <w:altName w:val="方正书宋_GBK"/>
    <w:panose1 w:val="02010600030101010101"/>
    <w:charset w:val="86"/>
    <w:family w:val="auto"/>
    <w:pitch w:val="variable"/>
    <w:sig w:usb0="00000003" w:usb1="080E0000" w:usb2="00000000" w:usb3="00000000" w:csb0="00040001" w:csb1="00000000"/>
  </w:font>
  <w:font w:name="方正书宋_GBK">
    <w:altName w:val="微软雅黑"/>
    <w:panose1 w:val="02000000000000000000"/>
    <w:charset w:val="86"/>
    <w:family w:val="script"/>
    <w:pitch w:val="variable"/>
    <w:sig w:usb0="00000001" w:usb1="08000000" w:usb2="00000000" w:usb3="00000000" w:csb0="00040000" w:csb1="00000000"/>
  </w:font>
  <w:font w:name="方正仿宋_GBK">
    <w:altName w:val="微软雅黑"/>
    <w:panose1 w:val="02000000000000000000"/>
    <w:charset w:val="86"/>
    <w:family w:val="script"/>
    <w:pitch w:val="variable"/>
    <w:sig w:usb0="00000001" w:usb1="08000000" w:usb2="00000000" w:usb3="00000000" w:csb0="00040000" w:csb1="00000000"/>
  </w:font>
  <w:font w:name="Arial Unicode MS">
    <w:altName w:val="Times New Roman"/>
    <w:panose1 w:val="00000000000000000000"/>
    <w:charset w:val="00"/>
    <w:family w:val="auto"/>
    <w:pitch w:val="variable"/>
    <w:sig w:usb0="00000000" w:usb1="00000000" w:usb2="00000000" w:usb3="00000000" w:csb0="00000000" w:csb1="00000000"/>
  </w:font>
  <w:font w:name="Times New Roman">
    <w:altName w:val="DejaVu Sans"/>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outside" w:y="1" w:anchorLock="0"/>
      <w:tabs>
        <w:tab w:val="center" w:pos="4153"/>
        <w:tab w:val="right" w:pos="8306"/>
      </w:tabs>
      <w:rPr>
        <w:rStyle w:val="17"/>
      </w:rPr>
    </w:pPr>
    <w:r>
      <w:rPr>
        <w:rStyle w:val="17"/>
      </w:rPr>
      <w:fldChar w:fldCharType="begin"/>
    </w:r>
    <w:r>
      <w:rPr>
        <w:rStyle w:val="17"/>
      </w:rPr>
      <w:instrText xml:space="preserve">PAGE  </w:instrText>
    </w:r>
    <w:r>
      <w:fldChar w:fldCharType="separate"/>
    </w:r>
    <w:r>
      <w:rPr>
        <w:rStyle w:val="17"/>
        <w:lang w:val="en-US" w:eastAsia="zh-CN"/>
      </w:rPr>
      <w:t>3</w:t>
    </w:r>
    <w:r>
      <w:fldChar w:fldCharType="end"/>
    </w:r>
  </w:p>
  <w:p>
    <w:pPr>
      <w:pStyle w:val="16"/>
      <w:tabs>
        <w:tab w:val="center" w:pos="4153"/>
        <w:tab w:val="right" w:pos="8306"/>
      </w:tabs>
      <w:ind w:right="360" w:firstLine="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0000011"/>
    <w:multiLevelType w:val="singleLevel"/>
    <w:tmpl w:val="00000011"/>
    <w:lvl w:ilvl="0">
      <w:start w:val="1"/>
      <w:numFmt w:val="chineseCounting"/>
      <w:lvlRestart w:val="0"/>
      <w:suff w:val="nothing"/>
      <w:lvlText w:val="%1、"/>
      <w:lvlJc w:val="left"/>
      <w:pPr>
        <w:ind w:left="0" w:hanging="0"/>
      </w:pPr>
      <w:rPr>
        <w:rFonts w:hint="eastAsia"/>
      </w:rPr>
    </w:lvl>
  </w:abstractNum>
  <w:abstractNum w:abstractNumId="1">
    <w:nsid w:val="00000013"/>
    <w:multiLevelType w:val="singleLevel"/>
    <w:tmpl w:val="00000013"/>
    <w:lvl w:ilvl="0">
      <w:start w:val="3"/>
      <w:numFmt w:val="chineseCounting"/>
      <w:lvlRestart w:val="0"/>
      <w:suff w:val="nothing"/>
      <w:lvlText w:val="%1、"/>
      <w:lvlJc w:val="left"/>
      <w:pPr>
        <w:ind w:left="0" w:hanging="0"/>
      </w:pPr>
    </w:lvl>
  </w:abstractNum>
  <w:abstractNum w:abstractNumId="2">
    <w:nsid w:val="0000000F"/>
    <w:multiLevelType w:val="singleLevel"/>
    <w:tmpl w:val="0000000F"/>
    <w:lvl w:ilvl="0">
      <w:start w:val="12"/>
      <w:numFmt w:val="decimal"/>
      <w:lvlRestart w:val="0"/>
      <w:suff w:val="nothing"/>
      <w:lvlText w:val="%1、"/>
      <w:lvlJc w:val="left"/>
      <w:pPr>
        <w:ind w:left="0" w:hanging="0"/>
      </w:pPr>
    </w:lvl>
  </w:abstractNum>
  <w:abstractNum w:abstractNumId="3">
    <w:nsid w:val="0000000B"/>
    <w:multiLevelType w:val="singleLevel"/>
    <w:tmpl w:val="0000000B"/>
    <w:lvl w:ilvl="0">
      <w:start w:val="14"/>
      <w:numFmt w:val="decimal"/>
      <w:lvlRestart w:val="0"/>
      <w:suff w:val="nothing"/>
      <w:lvlText w:val="%1、"/>
      <w:lvlJc w:val="left"/>
      <w:pPr>
        <w:ind w:left="0" w:hanging="0"/>
      </w:pPr>
    </w:lvl>
  </w:abstractNum>
  <w:abstractNum w:abstractNumId="4">
    <w:nsid w:val="00000006"/>
    <w:multiLevelType w:val="singleLevel"/>
    <w:tmpl w:val="00000006"/>
    <w:lvl w:ilvl="0">
      <w:start w:val="21"/>
      <w:numFmt w:val="decimal"/>
      <w:lvlRestart w:val="0"/>
      <w:suff w:val="nothing"/>
      <w:lvlText w:val="%1、"/>
      <w:lvlJc w:val="left"/>
      <w:pPr>
        <w:ind w:left="0" w:hanging="0"/>
      </w:pPr>
    </w:lvl>
  </w:abstractNum>
  <w:abstractNum w:abstractNumId="5">
    <w:nsid w:val="00000012"/>
    <w:multiLevelType w:val="singleLevel"/>
    <w:tmpl w:val="00000012"/>
    <w:lvl w:ilvl="0">
      <w:start w:val="27"/>
      <w:numFmt w:val="decimal"/>
      <w:lvlRestart w:val="0"/>
      <w:suff w:val="nothing"/>
      <w:lvlText w:val="%1、"/>
      <w:lvlJc w:val="left"/>
      <w:pPr>
        <w:ind w:left="0" w:hanging="0"/>
      </w:pPr>
    </w:lvl>
  </w:abstractNum>
  <w:abstractNum w:abstractNumId="6">
    <w:nsid w:val="00000009"/>
    <w:multiLevelType w:val="singleLevel"/>
    <w:tmpl w:val="00000009"/>
    <w:lvl w:ilvl="0">
      <w:start w:val="33"/>
      <w:numFmt w:val="decimal"/>
      <w:lvlRestart w:val="0"/>
      <w:suff w:val="nothing"/>
      <w:lvlText w:val="%1、"/>
      <w:lvlJc w:val="left"/>
      <w:pPr>
        <w:ind w:left="0" w:hanging="0"/>
      </w:pPr>
    </w:lvl>
  </w:abstractNum>
  <w:abstractNum w:abstractNumId="7">
    <w:nsid w:val="00000004"/>
    <w:multiLevelType w:val="singleLevel"/>
    <w:tmpl w:val="00000004"/>
    <w:lvl w:ilvl="0">
      <w:start w:val="35"/>
      <w:numFmt w:val="decimal"/>
      <w:lvlRestart w:val="0"/>
      <w:suff w:val="nothing"/>
      <w:lvlText w:val="%1、"/>
      <w:lvlJc w:val="left"/>
      <w:pPr>
        <w:ind w:left="0" w:hanging="0"/>
      </w:pPr>
    </w:lvl>
  </w:abstractNum>
  <w:abstractNum w:abstractNumId="8">
    <w:nsid w:val="0000000D"/>
    <w:multiLevelType w:val="singleLevel"/>
    <w:tmpl w:val="0000000D"/>
    <w:lvl w:ilvl="0">
      <w:start w:val="9"/>
      <w:numFmt w:val="chineseCounting"/>
      <w:lvlRestart w:val="0"/>
      <w:suff w:val="nothing"/>
      <w:lvlText w:val="%1、"/>
      <w:lvlJc w:val="left"/>
      <w:pPr>
        <w:ind w:left="0" w:hanging="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header"/>
    <w:basedOn w:val="0"/>
    <w:pPr>
      <w:widowControl w:val="0"/>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rFonts w:ascii="Times New Roman" w:eastAsia="宋体" w:cs="Times New Roman" w:hAnsi="Times New Roman"/>
      <w:kern w:val="2"/>
      <w:sz w:val="18"/>
      <w:szCs w:val="20"/>
      <w:lang w:val="en-US" w:eastAsia="zh-CN" w:bidi="ar-SA"/>
    </w:rPr>
  </w:style>
  <w:style w:type="paragraph" w:styleId="16">
    <w:name w:val="footer"/>
    <w:basedOn w:val="0"/>
    <w:pPr>
      <w:widowControl w:val="0"/>
      <w:tabs>
        <w:tab w:val="center" w:pos="4153"/>
        <w:tab w:val="right" w:pos="8306"/>
      </w:tabs>
      <w:snapToGrid w:val="0"/>
      <w:jc w:val="left"/>
    </w:pPr>
    <w:rPr>
      <w:rFonts w:ascii="Times New Roman" w:eastAsia="宋体" w:cs="Times New Roman" w:hAnsi="Times New Roman"/>
      <w:kern w:val="2"/>
      <w:sz w:val="18"/>
      <w:szCs w:val="20"/>
      <w:lang w:val="en-US" w:eastAsia="zh-CN" w:bidi="ar-SA"/>
    </w:rPr>
  </w:style>
  <w:style w:type="character" w:styleId="17">
    <w:name w:val="page number"/>
    <w:basedOn w:val="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4647CC25-E722-452E-9DD7-D85C7E56278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39</Pages>
  <Words>0</Words>
  <Characters>19203</Characters>
  <Lines>0</Lines>
  <Paragraphs>299</Paragraphs>
  <CharactersWithSpaces>25605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admin2021</dc:creator>
  <cp:lastModifiedBy>Administrator</cp:lastModifiedBy>
  <cp:revision>1</cp:revision>
  <dcterms:created xsi:type="dcterms:W3CDTF">2023-06-05T07:59:51Z</dcterms:created>
  <dcterms:modified xsi:type="dcterms:W3CDTF">2024-11-08T02:04:09Z</dcterms:modified>
</cp:coreProperties>
</file>