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r>
        <w:rPr>
          <w:rFonts w:hint="eastAsia"/>
          <w:lang w:val="en-US" w:eastAsia="zh-CN"/>
        </w:rPr>
        <w:t>0</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21</w:t>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一、唐山市丰南区就业服务中心本级收支预算</w:t>
      </w:r>
      <w:r>
        <w:tab/>
      </w:r>
      <w:r>
        <w:rPr>
          <w:rFonts w:hint="eastAsia"/>
          <w:lang w:val="en-US" w:eastAsia="zh-CN"/>
        </w:rPr>
        <w:t>3</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bookmarkStart w:id="29" w:name="_GoBack"/>
      <w:bookmarkEnd w:id="29"/>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28258"/>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311.64</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265.24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311.64</w:t>
            </w:r>
          </w:p>
        </w:tc>
        <w:tc>
          <w:tcPr>
            <w:tcW w:w="4535" w:type="dxa"/>
            <w:vAlign w:val="center"/>
          </w:tcPr>
          <w:p>
            <w:pPr>
              <w:pStyle w:val="29"/>
            </w:pPr>
            <w:r>
              <w:t>本年支出合计</w:t>
            </w:r>
          </w:p>
        </w:tc>
        <w:tc>
          <w:tcPr>
            <w:tcW w:w="2126" w:type="dxa"/>
            <w:vAlign w:val="center"/>
          </w:tcPr>
          <w:p>
            <w:pPr>
              <w:pStyle w:val="30"/>
            </w:pPr>
            <w:r>
              <w:t>311.64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311.64</w:t>
            </w:r>
          </w:p>
        </w:tc>
        <w:tc>
          <w:tcPr>
            <w:tcW w:w="4535" w:type="dxa"/>
            <w:vAlign w:val="center"/>
          </w:tcPr>
          <w:p>
            <w:pPr>
              <w:pStyle w:val="29"/>
            </w:pPr>
            <w:r>
              <w:t>支出总计</w:t>
            </w:r>
          </w:p>
        </w:tc>
        <w:tc>
          <w:tcPr>
            <w:tcW w:w="2126" w:type="dxa"/>
            <w:vAlign w:val="center"/>
          </w:tcPr>
          <w:p>
            <w:pPr>
              <w:pStyle w:val="30"/>
            </w:pPr>
            <w:r>
              <w:t>311.64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18127"/>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410唐山市丰南区就业服务中心</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311.64</w:t>
            </w:r>
          </w:p>
        </w:tc>
        <w:tc>
          <w:tcPr>
            <w:tcW w:w="1134" w:type="dxa"/>
            <w:vAlign w:val="center"/>
          </w:tcPr>
          <w:p>
            <w:pPr>
              <w:pStyle w:val="30"/>
            </w:pPr>
            <w:r>
              <w:t>311.64</w:t>
            </w:r>
          </w:p>
        </w:tc>
        <w:tc>
          <w:tcPr>
            <w:tcW w:w="1134" w:type="dxa"/>
            <w:vAlign w:val="center"/>
          </w:tcPr>
          <w:p>
            <w:pPr>
              <w:pStyle w:val="30"/>
            </w:pPr>
            <w:r>
              <w:t>311.64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265.24</w:t>
            </w:r>
          </w:p>
        </w:tc>
        <w:tc>
          <w:tcPr>
            <w:tcW w:w="1134" w:type="dxa"/>
            <w:vAlign w:val="center"/>
          </w:tcPr>
          <w:p>
            <w:pPr>
              <w:pStyle w:val="28"/>
            </w:pPr>
            <w:r>
              <w:t>265.24</w:t>
            </w:r>
          </w:p>
        </w:tc>
        <w:tc>
          <w:tcPr>
            <w:tcW w:w="1134" w:type="dxa"/>
            <w:vAlign w:val="center"/>
          </w:tcPr>
          <w:p>
            <w:pPr>
              <w:pStyle w:val="28"/>
            </w:pPr>
            <w:r>
              <w:t>265.24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219.84</w:t>
            </w:r>
          </w:p>
        </w:tc>
        <w:tc>
          <w:tcPr>
            <w:tcW w:w="1134" w:type="dxa"/>
            <w:vAlign w:val="center"/>
          </w:tcPr>
          <w:p>
            <w:pPr>
              <w:pStyle w:val="28"/>
            </w:pPr>
            <w:r>
              <w:t>219.84</w:t>
            </w:r>
          </w:p>
        </w:tc>
        <w:tc>
          <w:tcPr>
            <w:tcW w:w="1134" w:type="dxa"/>
            <w:vAlign w:val="center"/>
          </w:tcPr>
          <w:p>
            <w:pPr>
              <w:pStyle w:val="28"/>
            </w:pPr>
            <w:r>
              <w:t>219.84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2080101</w:t>
            </w:r>
          </w:p>
        </w:tc>
        <w:tc>
          <w:tcPr>
            <w:tcW w:w="1559" w:type="dxa"/>
            <w:vAlign w:val="center"/>
          </w:tcPr>
          <w:p>
            <w:pPr>
              <w:pStyle w:val="27"/>
            </w:pPr>
            <w:r>
              <w:t>行政运行</w:t>
            </w:r>
          </w:p>
        </w:tc>
        <w:tc>
          <w:tcPr>
            <w:tcW w:w="1134" w:type="dxa"/>
            <w:vAlign w:val="center"/>
          </w:tcPr>
          <w:p>
            <w:pPr>
              <w:pStyle w:val="28"/>
            </w:pPr>
            <w:r>
              <w:t>215.64</w:t>
            </w:r>
          </w:p>
        </w:tc>
        <w:tc>
          <w:tcPr>
            <w:tcW w:w="1134" w:type="dxa"/>
            <w:vAlign w:val="center"/>
          </w:tcPr>
          <w:p>
            <w:pPr>
              <w:pStyle w:val="28"/>
            </w:pPr>
            <w:r>
              <w:t>215.64</w:t>
            </w:r>
          </w:p>
        </w:tc>
        <w:tc>
          <w:tcPr>
            <w:tcW w:w="1134" w:type="dxa"/>
            <w:vAlign w:val="center"/>
          </w:tcPr>
          <w:p>
            <w:pPr>
              <w:pStyle w:val="28"/>
            </w:pPr>
            <w:r>
              <w:t>215.64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2080106</w:t>
            </w:r>
          </w:p>
        </w:tc>
        <w:tc>
          <w:tcPr>
            <w:tcW w:w="1559" w:type="dxa"/>
            <w:vAlign w:val="center"/>
          </w:tcPr>
          <w:p>
            <w:pPr>
              <w:pStyle w:val="27"/>
            </w:pPr>
            <w:r>
              <w:t>就业管理事务</w:t>
            </w:r>
          </w:p>
        </w:tc>
        <w:tc>
          <w:tcPr>
            <w:tcW w:w="1134" w:type="dxa"/>
            <w:vAlign w:val="center"/>
          </w:tcPr>
          <w:p>
            <w:pPr>
              <w:pStyle w:val="28"/>
            </w:pPr>
            <w:r>
              <w:t>4.20</w:t>
            </w:r>
          </w:p>
        </w:tc>
        <w:tc>
          <w:tcPr>
            <w:tcW w:w="1134" w:type="dxa"/>
            <w:vAlign w:val="center"/>
          </w:tcPr>
          <w:p>
            <w:pPr>
              <w:pStyle w:val="28"/>
            </w:pPr>
            <w:r>
              <w:t>4.20</w:t>
            </w:r>
          </w:p>
        </w:tc>
        <w:tc>
          <w:tcPr>
            <w:tcW w:w="1134" w:type="dxa"/>
            <w:vAlign w:val="center"/>
          </w:tcPr>
          <w:p>
            <w:pPr>
              <w:pStyle w:val="28"/>
            </w:pPr>
            <w:r>
              <w:t>4.20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45.40</w:t>
            </w:r>
          </w:p>
        </w:tc>
        <w:tc>
          <w:tcPr>
            <w:tcW w:w="1134" w:type="dxa"/>
            <w:vAlign w:val="center"/>
          </w:tcPr>
          <w:p>
            <w:pPr>
              <w:pStyle w:val="28"/>
            </w:pPr>
            <w:r>
              <w:t>45.40</w:t>
            </w:r>
          </w:p>
        </w:tc>
        <w:tc>
          <w:tcPr>
            <w:tcW w:w="1134" w:type="dxa"/>
            <w:vAlign w:val="center"/>
          </w:tcPr>
          <w:p>
            <w:pPr>
              <w:pStyle w:val="28"/>
            </w:pPr>
            <w:r>
              <w:t>45.40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2080502</w:t>
            </w:r>
          </w:p>
        </w:tc>
        <w:tc>
          <w:tcPr>
            <w:tcW w:w="1559" w:type="dxa"/>
            <w:vAlign w:val="center"/>
          </w:tcPr>
          <w:p>
            <w:pPr>
              <w:pStyle w:val="27"/>
            </w:pPr>
            <w:r>
              <w:t>事业单位离退休</w:t>
            </w:r>
          </w:p>
        </w:tc>
        <w:tc>
          <w:tcPr>
            <w:tcW w:w="1134" w:type="dxa"/>
            <w:vAlign w:val="center"/>
          </w:tcPr>
          <w:p>
            <w:pPr>
              <w:pStyle w:val="28"/>
            </w:pPr>
            <w:r>
              <w:t>18.22</w:t>
            </w:r>
          </w:p>
        </w:tc>
        <w:tc>
          <w:tcPr>
            <w:tcW w:w="1134" w:type="dxa"/>
            <w:vAlign w:val="center"/>
          </w:tcPr>
          <w:p>
            <w:pPr>
              <w:pStyle w:val="28"/>
            </w:pPr>
            <w:r>
              <w:t>18.22</w:t>
            </w:r>
          </w:p>
        </w:tc>
        <w:tc>
          <w:tcPr>
            <w:tcW w:w="1134" w:type="dxa"/>
            <w:vAlign w:val="center"/>
          </w:tcPr>
          <w:p>
            <w:pPr>
              <w:pStyle w:val="28"/>
            </w:pPr>
            <w:r>
              <w:t>18.22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27.18</w:t>
            </w:r>
          </w:p>
        </w:tc>
        <w:tc>
          <w:tcPr>
            <w:tcW w:w="1134" w:type="dxa"/>
            <w:vAlign w:val="center"/>
          </w:tcPr>
          <w:p>
            <w:pPr>
              <w:pStyle w:val="28"/>
            </w:pPr>
            <w:r>
              <w:t>27.18</w:t>
            </w:r>
          </w:p>
        </w:tc>
        <w:tc>
          <w:tcPr>
            <w:tcW w:w="1134" w:type="dxa"/>
            <w:vAlign w:val="center"/>
          </w:tcPr>
          <w:p>
            <w:pPr>
              <w:pStyle w:val="28"/>
            </w:pPr>
            <w:r>
              <w:t>27.18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2101102</w:t>
            </w:r>
          </w:p>
        </w:tc>
        <w:tc>
          <w:tcPr>
            <w:tcW w:w="1559" w:type="dxa"/>
            <w:vAlign w:val="center"/>
          </w:tcPr>
          <w:p>
            <w:pPr>
              <w:pStyle w:val="27"/>
            </w:pPr>
            <w:r>
              <w:t>事业单位医疗</w:t>
            </w:r>
          </w:p>
        </w:tc>
        <w:tc>
          <w:tcPr>
            <w:tcW w:w="1134" w:type="dxa"/>
            <w:vAlign w:val="center"/>
          </w:tcPr>
          <w:p>
            <w:pPr>
              <w:pStyle w:val="28"/>
            </w:pPr>
            <w:r>
              <w:t>12.32</w:t>
            </w:r>
          </w:p>
        </w:tc>
        <w:tc>
          <w:tcPr>
            <w:tcW w:w="1134" w:type="dxa"/>
            <w:vAlign w:val="center"/>
          </w:tcPr>
          <w:p>
            <w:pPr>
              <w:pStyle w:val="28"/>
            </w:pPr>
            <w:r>
              <w:t>12.32</w:t>
            </w:r>
          </w:p>
        </w:tc>
        <w:tc>
          <w:tcPr>
            <w:tcW w:w="1134" w:type="dxa"/>
            <w:vAlign w:val="center"/>
          </w:tcPr>
          <w:p>
            <w:pPr>
              <w:pStyle w:val="28"/>
            </w:pPr>
            <w:r>
              <w:t>12.32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13.59</w:t>
            </w:r>
          </w:p>
        </w:tc>
        <w:tc>
          <w:tcPr>
            <w:tcW w:w="1134" w:type="dxa"/>
            <w:vAlign w:val="center"/>
          </w:tcPr>
          <w:p>
            <w:pPr>
              <w:pStyle w:val="28"/>
            </w:pPr>
            <w:r>
              <w:t>13.59</w:t>
            </w:r>
          </w:p>
        </w:tc>
        <w:tc>
          <w:tcPr>
            <w:tcW w:w="1134" w:type="dxa"/>
            <w:vAlign w:val="center"/>
          </w:tcPr>
          <w:p>
            <w:pPr>
              <w:pStyle w:val="28"/>
            </w:pPr>
            <w:r>
              <w:t>13.59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364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311.64</w:t>
            </w:r>
          </w:p>
        </w:tc>
        <w:tc>
          <w:tcPr>
            <w:tcW w:w="1361" w:type="dxa"/>
            <w:vAlign w:val="center"/>
          </w:tcPr>
          <w:p>
            <w:pPr>
              <w:pStyle w:val="30"/>
            </w:pPr>
            <w:r>
              <w:t>307.44</w:t>
            </w:r>
          </w:p>
        </w:tc>
        <w:tc>
          <w:tcPr>
            <w:tcW w:w="1361" w:type="dxa"/>
            <w:vAlign w:val="center"/>
          </w:tcPr>
          <w:p>
            <w:pPr>
              <w:pStyle w:val="30"/>
            </w:pPr>
            <w:r>
              <w:t>4.20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265.24</w:t>
            </w:r>
          </w:p>
        </w:tc>
        <w:tc>
          <w:tcPr>
            <w:tcW w:w="1361" w:type="dxa"/>
            <w:vAlign w:val="center"/>
          </w:tcPr>
          <w:p>
            <w:pPr>
              <w:pStyle w:val="28"/>
            </w:pPr>
            <w:r>
              <w:t>261.04</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219.84</w:t>
            </w:r>
          </w:p>
        </w:tc>
        <w:tc>
          <w:tcPr>
            <w:tcW w:w="1361" w:type="dxa"/>
            <w:vAlign w:val="center"/>
          </w:tcPr>
          <w:p>
            <w:pPr>
              <w:pStyle w:val="28"/>
            </w:pPr>
            <w:r>
              <w:t>215.64</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2080101</w:t>
            </w:r>
          </w:p>
        </w:tc>
        <w:tc>
          <w:tcPr>
            <w:tcW w:w="4535" w:type="dxa"/>
            <w:vAlign w:val="center"/>
          </w:tcPr>
          <w:p>
            <w:pPr>
              <w:pStyle w:val="27"/>
            </w:pPr>
            <w:r>
              <w:t>行政运行</w:t>
            </w:r>
          </w:p>
        </w:tc>
        <w:tc>
          <w:tcPr>
            <w:tcW w:w="1361" w:type="dxa"/>
            <w:vAlign w:val="center"/>
          </w:tcPr>
          <w:p>
            <w:pPr>
              <w:pStyle w:val="28"/>
            </w:pPr>
            <w:r>
              <w:t>215.64</w:t>
            </w:r>
          </w:p>
        </w:tc>
        <w:tc>
          <w:tcPr>
            <w:tcW w:w="1361" w:type="dxa"/>
            <w:vAlign w:val="center"/>
          </w:tcPr>
          <w:p>
            <w:pPr>
              <w:pStyle w:val="28"/>
            </w:pPr>
            <w:r>
              <w:t>215.64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2080106</w:t>
            </w:r>
          </w:p>
        </w:tc>
        <w:tc>
          <w:tcPr>
            <w:tcW w:w="4535" w:type="dxa"/>
            <w:vAlign w:val="center"/>
          </w:tcPr>
          <w:p>
            <w:pPr>
              <w:pStyle w:val="27"/>
            </w:pPr>
            <w:r>
              <w:t>就业管理事务</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45.40</w:t>
            </w:r>
          </w:p>
        </w:tc>
        <w:tc>
          <w:tcPr>
            <w:tcW w:w="1361" w:type="dxa"/>
            <w:vAlign w:val="center"/>
          </w:tcPr>
          <w:p>
            <w:pPr>
              <w:pStyle w:val="28"/>
            </w:pPr>
            <w:r>
              <w:t>45.40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2080502</w:t>
            </w:r>
          </w:p>
        </w:tc>
        <w:tc>
          <w:tcPr>
            <w:tcW w:w="4535" w:type="dxa"/>
            <w:vAlign w:val="center"/>
          </w:tcPr>
          <w:p>
            <w:pPr>
              <w:pStyle w:val="27"/>
            </w:pPr>
            <w:r>
              <w:t>事业单位离退休</w:t>
            </w:r>
          </w:p>
        </w:tc>
        <w:tc>
          <w:tcPr>
            <w:tcW w:w="1361" w:type="dxa"/>
            <w:vAlign w:val="center"/>
          </w:tcPr>
          <w:p>
            <w:pPr>
              <w:pStyle w:val="28"/>
            </w:pPr>
            <w:r>
              <w:t>18.22</w:t>
            </w:r>
          </w:p>
        </w:tc>
        <w:tc>
          <w:tcPr>
            <w:tcW w:w="1361" w:type="dxa"/>
            <w:vAlign w:val="center"/>
          </w:tcPr>
          <w:p>
            <w:pPr>
              <w:pStyle w:val="28"/>
            </w:pPr>
            <w:r>
              <w:t>18.22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27.18</w:t>
            </w:r>
          </w:p>
        </w:tc>
        <w:tc>
          <w:tcPr>
            <w:tcW w:w="1361" w:type="dxa"/>
            <w:vAlign w:val="center"/>
          </w:tcPr>
          <w:p>
            <w:pPr>
              <w:pStyle w:val="28"/>
            </w:pPr>
            <w:r>
              <w:t>27.18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25.91</w:t>
            </w:r>
          </w:p>
        </w:tc>
        <w:tc>
          <w:tcPr>
            <w:tcW w:w="1361" w:type="dxa"/>
            <w:vAlign w:val="center"/>
          </w:tcPr>
          <w:p>
            <w:pPr>
              <w:pStyle w:val="28"/>
            </w:pPr>
            <w:r>
              <w:t>25.91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25.91</w:t>
            </w:r>
          </w:p>
        </w:tc>
        <w:tc>
          <w:tcPr>
            <w:tcW w:w="1361" w:type="dxa"/>
            <w:vAlign w:val="center"/>
          </w:tcPr>
          <w:p>
            <w:pPr>
              <w:pStyle w:val="28"/>
            </w:pPr>
            <w:r>
              <w:t>25.91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2101102</w:t>
            </w:r>
          </w:p>
        </w:tc>
        <w:tc>
          <w:tcPr>
            <w:tcW w:w="4535" w:type="dxa"/>
            <w:vAlign w:val="center"/>
          </w:tcPr>
          <w:p>
            <w:pPr>
              <w:pStyle w:val="27"/>
            </w:pPr>
            <w:r>
              <w:t>事业单位医疗</w:t>
            </w:r>
          </w:p>
        </w:tc>
        <w:tc>
          <w:tcPr>
            <w:tcW w:w="1361" w:type="dxa"/>
            <w:vAlign w:val="center"/>
          </w:tcPr>
          <w:p>
            <w:pPr>
              <w:pStyle w:val="28"/>
            </w:pPr>
            <w:r>
              <w:t>12.32</w:t>
            </w:r>
          </w:p>
        </w:tc>
        <w:tc>
          <w:tcPr>
            <w:tcW w:w="1361" w:type="dxa"/>
            <w:vAlign w:val="center"/>
          </w:tcPr>
          <w:p>
            <w:pPr>
              <w:pStyle w:val="28"/>
            </w:pPr>
            <w:r>
              <w:t>12.32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13.59</w:t>
            </w:r>
          </w:p>
        </w:tc>
        <w:tc>
          <w:tcPr>
            <w:tcW w:w="1361" w:type="dxa"/>
            <w:vAlign w:val="center"/>
          </w:tcPr>
          <w:p>
            <w:pPr>
              <w:pStyle w:val="28"/>
            </w:pPr>
            <w:r>
              <w:t>13.59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18957"/>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311.64</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265.24</w:t>
            </w:r>
          </w:p>
        </w:tc>
        <w:tc>
          <w:tcPr>
            <w:tcW w:w="1474" w:type="dxa"/>
            <w:vAlign w:val="center"/>
          </w:tcPr>
          <w:p>
            <w:pPr>
              <w:pStyle w:val="28"/>
            </w:pPr>
            <w:r>
              <w:t>265.24</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25.91</w:t>
            </w:r>
          </w:p>
        </w:tc>
        <w:tc>
          <w:tcPr>
            <w:tcW w:w="1474" w:type="dxa"/>
            <w:vAlign w:val="center"/>
          </w:tcPr>
          <w:p>
            <w:pPr>
              <w:pStyle w:val="28"/>
            </w:pPr>
            <w:r>
              <w:t>25.91</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20.49</w:t>
            </w:r>
          </w:p>
        </w:tc>
        <w:tc>
          <w:tcPr>
            <w:tcW w:w="1474" w:type="dxa"/>
            <w:vAlign w:val="center"/>
          </w:tcPr>
          <w:p>
            <w:pPr>
              <w:pStyle w:val="28"/>
            </w:pPr>
            <w:r>
              <w:t>20.49</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311.64</w:t>
            </w:r>
          </w:p>
        </w:tc>
        <w:tc>
          <w:tcPr>
            <w:tcW w:w="3402" w:type="dxa"/>
            <w:vAlign w:val="center"/>
          </w:tcPr>
          <w:p>
            <w:pPr>
              <w:pStyle w:val="29"/>
            </w:pPr>
            <w:r>
              <w:t>本年支出合计</w:t>
            </w:r>
          </w:p>
        </w:tc>
        <w:tc>
          <w:tcPr>
            <w:tcW w:w="1474" w:type="dxa"/>
            <w:vAlign w:val="center"/>
          </w:tcPr>
          <w:p>
            <w:pPr>
              <w:pStyle w:val="30"/>
            </w:pPr>
            <w:r>
              <w:t>311.64</w:t>
            </w:r>
          </w:p>
        </w:tc>
        <w:tc>
          <w:tcPr>
            <w:tcW w:w="1474" w:type="dxa"/>
            <w:vAlign w:val="center"/>
          </w:tcPr>
          <w:p>
            <w:pPr>
              <w:pStyle w:val="30"/>
            </w:pPr>
            <w:r>
              <w:t>311.64</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311.64</w:t>
            </w:r>
          </w:p>
        </w:tc>
        <w:tc>
          <w:tcPr>
            <w:tcW w:w="3402" w:type="dxa"/>
            <w:vAlign w:val="center"/>
          </w:tcPr>
          <w:p>
            <w:pPr>
              <w:pStyle w:val="29"/>
            </w:pPr>
            <w:r>
              <w:t>支出总计</w:t>
            </w:r>
          </w:p>
        </w:tc>
        <w:tc>
          <w:tcPr>
            <w:tcW w:w="1474" w:type="dxa"/>
            <w:vAlign w:val="center"/>
          </w:tcPr>
          <w:p>
            <w:pPr>
              <w:pStyle w:val="30"/>
            </w:pPr>
            <w:r>
              <w:t>311.64</w:t>
            </w:r>
          </w:p>
        </w:tc>
        <w:tc>
          <w:tcPr>
            <w:tcW w:w="1474" w:type="dxa"/>
            <w:vAlign w:val="center"/>
          </w:tcPr>
          <w:p>
            <w:pPr>
              <w:pStyle w:val="30"/>
            </w:pPr>
            <w:r>
              <w:t>311.64</w:t>
            </w:r>
          </w:p>
        </w:tc>
        <w:tc>
          <w:tcPr>
            <w:tcW w:w="1474" w:type="dxa"/>
            <w:vAlign w:val="center"/>
          </w:tcPr>
          <w:p>
            <w:pPr>
              <w:pStyle w:val="30"/>
            </w:pPr>
          </w:p>
        </w:tc>
        <w:tc>
          <w:tcPr>
            <w:tcW w:w="1474" w:type="dxa"/>
            <w:vAlign w:val="center"/>
          </w:tcPr>
          <w:p>
            <w:pPr>
              <w:pStyle w:val="3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5060"/>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311.64</w:t>
            </w:r>
          </w:p>
        </w:tc>
        <w:tc>
          <w:tcPr>
            <w:tcW w:w="2551" w:type="dxa"/>
            <w:vAlign w:val="center"/>
          </w:tcPr>
          <w:p>
            <w:pPr>
              <w:pStyle w:val="30"/>
            </w:pPr>
            <w:r>
              <w:t>307.44</w:t>
            </w:r>
          </w:p>
        </w:tc>
        <w:tc>
          <w:tcPr>
            <w:tcW w:w="2551" w:type="dxa"/>
            <w:vAlign w:val="center"/>
          </w:tcPr>
          <w:p>
            <w:pPr>
              <w:pStyle w:val="30"/>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265.24</w:t>
            </w:r>
          </w:p>
        </w:tc>
        <w:tc>
          <w:tcPr>
            <w:tcW w:w="2551" w:type="dxa"/>
            <w:vAlign w:val="center"/>
          </w:tcPr>
          <w:p>
            <w:pPr>
              <w:pStyle w:val="28"/>
            </w:pPr>
            <w:r>
              <w:t>261.04</w:t>
            </w: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219.84</w:t>
            </w:r>
          </w:p>
        </w:tc>
        <w:tc>
          <w:tcPr>
            <w:tcW w:w="2551" w:type="dxa"/>
            <w:vAlign w:val="center"/>
          </w:tcPr>
          <w:p>
            <w:pPr>
              <w:pStyle w:val="28"/>
            </w:pPr>
            <w:r>
              <w:t>215.64</w:t>
            </w: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2080101</w:t>
            </w:r>
          </w:p>
        </w:tc>
        <w:tc>
          <w:tcPr>
            <w:tcW w:w="4535" w:type="dxa"/>
            <w:vAlign w:val="center"/>
          </w:tcPr>
          <w:p>
            <w:pPr>
              <w:pStyle w:val="27"/>
            </w:pPr>
            <w:r>
              <w:t>行政运行</w:t>
            </w:r>
          </w:p>
        </w:tc>
        <w:tc>
          <w:tcPr>
            <w:tcW w:w="2551" w:type="dxa"/>
            <w:vAlign w:val="center"/>
          </w:tcPr>
          <w:p>
            <w:pPr>
              <w:pStyle w:val="28"/>
            </w:pPr>
            <w:r>
              <w:t>215.64</w:t>
            </w:r>
          </w:p>
        </w:tc>
        <w:tc>
          <w:tcPr>
            <w:tcW w:w="2551" w:type="dxa"/>
            <w:vAlign w:val="center"/>
          </w:tcPr>
          <w:p>
            <w:pPr>
              <w:pStyle w:val="28"/>
            </w:pPr>
            <w:r>
              <w:t>215.64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2080106</w:t>
            </w:r>
          </w:p>
        </w:tc>
        <w:tc>
          <w:tcPr>
            <w:tcW w:w="4535" w:type="dxa"/>
            <w:vAlign w:val="center"/>
          </w:tcPr>
          <w:p>
            <w:pPr>
              <w:pStyle w:val="27"/>
            </w:pPr>
            <w:r>
              <w:t>就业管理事务</w:t>
            </w:r>
          </w:p>
        </w:tc>
        <w:tc>
          <w:tcPr>
            <w:tcW w:w="2551" w:type="dxa"/>
            <w:vAlign w:val="center"/>
          </w:tcPr>
          <w:p>
            <w:pPr>
              <w:pStyle w:val="28"/>
            </w:pPr>
            <w:r>
              <w:t>4.20</w:t>
            </w:r>
          </w:p>
        </w:tc>
        <w:tc>
          <w:tcPr>
            <w:tcW w:w="2551" w:type="dxa"/>
            <w:vAlign w:val="center"/>
          </w:tcPr>
          <w:p>
            <w:pPr>
              <w:pStyle w:val="28"/>
            </w:pP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45.40</w:t>
            </w:r>
          </w:p>
        </w:tc>
        <w:tc>
          <w:tcPr>
            <w:tcW w:w="2551" w:type="dxa"/>
            <w:vAlign w:val="center"/>
          </w:tcPr>
          <w:p>
            <w:pPr>
              <w:pStyle w:val="28"/>
            </w:pPr>
            <w:r>
              <w:t>45.40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2080502</w:t>
            </w:r>
          </w:p>
        </w:tc>
        <w:tc>
          <w:tcPr>
            <w:tcW w:w="4535" w:type="dxa"/>
            <w:vAlign w:val="center"/>
          </w:tcPr>
          <w:p>
            <w:pPr>
              <w:pStyle w:val="27"/>
            </w:pPr>
            <w:r>
              <w:t>事业单位离退休</w:t>
            </w:r>
          </w:p>
        </w:tc>
        <w:tc>
          <w:tcPr>
            <w:tcW w:w="2551" w:type="dxa"/>
            <w:vAlign w:val="center"/>
          </w:tcPr>
          <w:p>
            <w:pPr>
              <w:pStyle w:val="28"/>
            </w:pPr>
            <w:r>
              <w:t>18.22</w:t>
            </w:r>
          </w:p>
        </w:tc>
        <w:tc>
          <w:tcPr>
            <w:tcW w:w="2551" w:type="dxa"/>
            <w:vAlign w:val="center"/>
          </w:tcPr>
          <w:p>
            <w:pPr>
              <w:pStyle w:val="28"/>
            </w:pPr>
            <w:r>
              <w:t>18.22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27.18</w:t>
            </w:r>
          </w:p>
        </w:tc>
        <w:tc>
          <w:tcPr>
            <w:tcW w:w="2551" w:type="dxa"/>
            <w:vAlign w:val="center"/>
          </w:tcPr>
          <w:p>
            <w:pPr>
              <w:pStyle w:val="28"/>
            </w:pPr>
            <w:r>
              <w:t>27.18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25.91</w:t>
            </w:r>
          </w:p>
        </w:tc>
        <w:tc>
          <w:tcPr>
            <w:tcW w:w="2551" w:type="dxa"/>
            <w:vAlign w:val="center"/>
          </w:tcPr>
          <w:p>
            <w:pPr>
              <w:pStyle w:val="28"/>
            </w:pPr>
            <w:r>
              <w:t>25.91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25.91</w:t>
            </w:r>
          </w:p>
        </w:tc>
        <w:tc>
          <w:tcPr>
            <w:tcW w:w="2551" w:type="dxa"/>
            <w:vAlign w:val="center"/>
          </w:tcPr>
          <w:p>
            <w:pPr>
              <w:pStyle w:val="28"/>
            </w:pPr>
            <w:r>
              <w:t>25.91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2101102</w:t>
            </w:r>
          </w:p>
        </w:tc>
        <w:tc>
          <w:tcPr>
            <w:tcW w:w="4535" w:type="dxa"/>
            <w:vAlign w:val="center"/>
          </w:tcPr>
          <w:p>
            <w:pPr>
              <w:pStyle w:val="27"/>
            </w:pPr>
            <w:r>
              <w:t>事业单位医疗</w:t>
            </w:r>
          </w:p>
        </w:tc>
        <w:tc>
          <w:tcPr>
            <w:tcW w:w="2551" w:type="dxa"/>
            <w:vAlign w:val="center"/>
          </w:tcPr>
          <w:p>
            <w:pPr>
              <w:pStyle w:val="28"/>
            </w:pPr>
            <w:r>
              <w:t>12.32</w:t>
            </w:r>
          </w:p>
        </w:tc>
        <w:tc>
          <w:tcPr>
            <w:tcW w:w="2551" w:type="dxa"/>
            <w:vAlign w:val="center"/>
          </w:tcPr>
          <w:p>
            <w:pPr>
              <w:pStyle w:val="28"/>
            </w:pPr>
            <w:r>
              <w:t>12.32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13.59</w:t>
            </w:r>
          </w:p>
        </w:tc>
        <w:tc>
          <w:tcPr>
            <w:tcW w:w="2551" w:type="dxa"/>
            <w:vAlign w:val="center"/>
          </w:tcPr>
          <w:p>
            <w:pPr>
              <w:pStyle w:val="28"/>
            </w:pPr>
            <w:r>
              <w:t>13.59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5798"/>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307.44</w:t>
            </w:r>
          </w:p>
        </w:tc>
        <w:tc>
          <w:tcPr>
            <w:tcW w:w="2551" w:type="dxa"/>
            <w:vAlign w:val="center"/>
          </w:tcPr>
          <w:p>
            <w:pPr>
              <w:pStyle w:val="30"/>
            </w:pPr>
            <w:r>
              <w:t>274.06</w:t>
            </w:r>
          </w:p>
        </w:tc>
        <w:tc>
          <w:tcPr>
            <w:tcW w:w="2551" w:type="dxa"/>
            <w:vAlign w:val="center"/>
          </w:tcPr>
          <w:p>
            <w:pPr>
              <w:pStyle w:val="30"/>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255.53</w:t>
            </w:r>
          </w:p>
        </w:tc>
        <w:tc>
          <w:tcPr>
            <w:tcW w:w="2551" w:type="dxa"/>
            <w:vAlign w:val="center"/>
          </w:tcPr>
          <w:p>
            <w:pPr>
              <w:pStyle w:val="28"/>
            </w:pPr>
            <w:r>
              <w:t>255.53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84.63</w:t>
            </w:r>
          </w:p>
        </w:tc>
        <w:tc>
          <w:tcPr>
            <w:tcW w:w="2551" w:type="dxa"/>
            <w:vAlign w:val="center"/>
          </w:tcPr>
          <w:p>
            <w:pPr>
              <w:pStyle w:val="28"/>
            </w:pPr>
            <w:r>
              <w:t>84.63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88.52</w:t>
            </w:r>
          </w:p>
        </w:tc>
        <w:tc>
          <w:tcPr>
            <w:tcW w:w="2551" w:type="dxa"/>
            <w:vAlign w:val="center"/>
          </w:tcPr>
          <w:p>
            <w:pPr>
              <w:pStyle w:val="28"/>
            </w:pPr>
            <w:r>
              <w:t>88.52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6.41</w:t>
            </w:r>
          </w:p>
        </w:tc>
        <w:tc>
          <w:tcPr>
            <w:tcW w:w="2551" w:type="dxa"/>
            <w:vAlign w:val="center"/>
          </w:tcPr>
          <w:p>
            <w:pPr>
              <w:pStyle w:val="28"/>
            </w:pPr>
            <w:r>
              <w:t>6.41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27.18</w:t>
            </w:r>
          </w:p>
        </w:tc>
        <w:tc>
          <w:tcPr>
            <w:tcW w:w="2551" w:type="dxa"/>
            <w:vAlign w:val="center"/>
          </w:tcPr>
          <w:p>
            <w:pPr>
              <w:pStyle w:val="28"/>
            </w:pPr>
            <w:r>
              <w:t>27.18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12.32</w:t>
            </w:r>
          </w:p>
        </w:tc>
        <w:tc>
          <w:tcPr>
            <w:tcW w:w="2551" w:type="dxa"/>
            <w:vAlign w:val="center"/>
          </w:tcPr>
          <w:p>
            <w:pPr>
              <w:pStyle w:val="28"/>
            </w:pPr>
            <w:r>
              <w:t>12.32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13.59</w:t>
            </w:r>
          </w:p>
        </w:tc>
        <w:tc>
          <w:tcPr>
            <w:tcW w:w="2551" w:type="dxa"/>
            <w:vAlign w:val="center"/>
          </w:tcPr>
          <w:p>
            <w:pPr>
              <w:pStyle w:val="28"/>
            </w:pPr>
            <w:r>
              <w:t>13.59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2.39</w:t>
            </w:r>
          </w:p>
        </w:tc>
        <w:tc>
          <w:tcPr>
            <w:tcW w:w="2551" w:type="dxa"/>
            <w:vAlign w:val="center"/>
          </w:tcPr>
          <w:p>
            <w:pPr>
              <w:pStyle w:val="28"/>
            </w:pPr>
            <w:r>
              <w:t>2.39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33.38</w:t>
            </w:r>
          </w:p>
        </w:tc>
        <w:tc>
          <w:tcPr>
            <w:tcW w:w="2551" w:type="dxa"/>
            <w:vAlign w:val="center"/>
          </w:tcPr>
          <w:p>
            <w:pPr>
              <w:pStyle w:val="28"/>
            </w:pPr>
          </w:p>
        </w:tc>
        <w:tc>
          <w:tcPr>
            <w:tcW w:w="2551" w:type="dxa"/>
            <w:vAlign w:val="center"/>
          </w:tcPr>
          <w:p>
            <w:pPr>
              <w:pStyle w:val="28"/>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4.36</w:t>
            </w:r>
          </w:p>
        </w:tc>
        <w:tc>
          <w:tcPr>
            <w:tcW w:w="2551" w:type="dxa"/>
            <w:vAlign w:val="center"/>
          </w:tcPr>
          <w:p>
            <w:pPr>
              <w:pStyle w:val="28"/>
            </w:pPr>
          </w:p>
        </w:tc>
        <w:tc>
          <w:tcPr>
            <w:tcW w:w="2551" w:type="dxa"/>
            <w:vAlign w:val="center"/>
          </w:tcPr>
          <w:p>
            <w:pPr>
              <w:pStyle w:val="28"/>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9.90</w:t>
            </w:r>
          </w:p>
        </w:tc>
        <w:tc>
          <w:tcPr>
            <w:tcW w:w="2551" w:type="dxa"/>
            <w:vAlign w:val="center"/>
          </w:tcPr>
          <w:p>
            <w:pPr>
              <w:pStyle w:val="28"/>
            </w:pPr>
          </w:p>
        </w:tc>
        <w:tc>
          <w:tcPr>
            <w:tcW w:w="2551" w:type="dxa"/>
            <w:vAlign w:val="center"/>
          </w:tcPr>
          <w:p>
            <w:pPr>
              <w:pStyle w:val="28"/>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0.50</w:t>
            </w:r>
          </w:p>
        </w:tc>
        <w:tc>
          <w:tcPr>
            <w:tcW w:w="2551" w:type="dxa"/>
            <w:vAlign w:val="center"/>
          </w:tcPr>
          <w:p>
            <w:pPr>
              <w:pStyle w:val="28"/>
            </w:pPr>
          </w:p>
        </w:tc>
        <w:tc>
          <w:tcPr>
            <w:tcW w:w="2551" w:type="dxa"/>
            <w:vAlign w:val="center"/>
          </w:tcPr>
          <w:p>
            <w:pPr>
              <w:pStyle w:val="2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0.50</w:t>
            </w:r>
          </w:p>
        </w:tc>
        <w:tc>
          <w:tcPr>
            <w:tcW w:w="2551" w:type="dxa"/>
            <w:vAlign w:val="center"/>
          </w:tcPr>
          <w:p>
            <w:pPr>
              <w:pStyle w:val="28"/>
            </w:pPr>
          </w:p>
        </w:tc>
        <w:tc>
          <w:tcPr>
            <w:tcW w:w="2551" w:type="dxa"/>
            <w:vAlign w:val="center"/>
          </w:tcPr>
          <w:p>
            <w:pPr>
              <w:pStyle w:val="2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0.30</w:t>
            </w:r>
          </w:p>
        </w:tc>
        <w:tc>
          <w:tcPr>
            <w:tcW w:w="2551" w:type="dxa"/>
            <w:vAlign w:val="center"/>
          </w:tcPr>
          <w:p>
            <w:pPr>
              <w:pStyle w:val="28"/>
            </w:pPr>
          </w:p>
        </w:tc>
        <w:tc>
          <w:tcPr>
            <w:tcW w:w="2551" w:type="dxa"/>
            <w:vAlign w:val="center"/>
          </w:tcPr>
          <w:p>
            <w:pPr>
              <w:pStyle w:val="2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3.45</w:t>
            </w:r>
          </w:p>
        </w:tc>
        <w:tc>
          <w:tcPr>
            <w:tcW w:w="2551" w:type="dxa"/>
            <w:vAlign w:val="center"/>
          </w:tcPr>
          <w:p>
            <w:pPr>
              <w:pStyle w:val="28"/>
            </w:pPr>
          </w:p>
        </w:tc>
        <w:tc>
          <w:tcPr>
            <w:tcW w:w="2551" w:type="dxa"/>
            <w:vAlign w:val="center"/>
          </w:tcPr>
          <w:p>
            <w:pPr>
              <w:pStyle w:val="28"/>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1.93</w:t>
            </w:r>
          </w:p>
        </w:tc>
        <w:tc>
          <w:tcPr>
            <w:tcW w:w="2551" w:type="dxa"/>
            <w:vAlign w:val="center"/>
          </w:tcPr>
          <w:p>
            <w:pPr>
              <w:pStyle w:val="28"/>
            </w:pPr>
          </w:p>
        </w:tc>
        <w:tc>
          <w:tcPr>
            <w:tcW w:w="2551" w:type="dxa"/>
            <w:vAlign w:val="center"/>
          </w:tcPr>
          <w:p>
            <w:pPr>
              <w:pStyle w:val="28"/>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11.62</w:t>
            </w:r>
          </w:p>
        </w:tc>
        <w:tc>
          <w:tcPr>
            <w:tcW w:w="2551" w:type="dxa"/>
            <w:vAlign w:val="center"/>
          </w:tcPr>
          <w:p>
            <w:pPr>
              <w:pStyle w:val="28"/>
            </w:pPr>
          </w:p>
        </w:tc>
        <w:tc>
          <w:tcPr>
            <w:tcW w:w="2551" w:type="dxa"/>
            <w:vAlign w:val="center"/>
          </w:tcPr>
          <w:p>
            <w:pPr>
              <w:pStyle w:val="28"/>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0.82</w:t>
            </w:r>
          </w:p>
        </w:tc>
        <w:tc>
          <w:tcPr>
            <w:tcW w:w="2551" w:type="dxa"/>
            <w:vAlign w:val="center"/>
          </w:tcPr>
          <w:p>
            <w:pPr>
              <w:pStyle w:val="28"/>
            </w:pPr>
          </w:p>
        </w:tc>
        <w:tc>
          <w:tcPr>
            <w:tcW w:w="2551" w:type="dxa"/>
            <w:vAlign w:val="center"/>
          </w:tcPr>
          <w:p>
            <w:pPr>
              <w:pStyle w:val="28"/>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18.53</w:t>
            </w:r>
          </w:p>
        </w:tc>
        <w:tc>
          <w:tcPr>
            <w:tcW w:w="2551" w:type="dxa"/>
            <w:vAlign w:val="center"/>
          </w:tcPr>
          <w:p>
            <w:pPr>
              <w:pStyle w:val="28"/>
            </w:pPr>
            <w:r>
              <w:t>18.53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18.22</w:t>
            </w:r>
          </w:p>
        </w:tc>
        <w:tc>
          <w:tcPr>
            <w:tcW w:w="2551" w:type="dxa"/>
            <w:vAlign w:val="center"/>
          </w:tcPr>
          <w:p>
            <w:pPr>
              <w:pStyle w:val="28"/>
            </w:pPr>
            <w:r>
              <w:t>18.22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0.31</w:t>
            </w:r>
          </w:p>
        </w:tc>
        <w:tc>
          <w:tcPr>
            <w:tcW w:w="2551" w:type="dxa"/>
            <w:vAlign w:val="center"/>
          </w:tcPr>
          <w:p>
            <w:pPr>
              <w:pStyle w:val="28"/>
            </w:pPr>
            <w:r>
              <w:t>0.31</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13883"/>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18330"/>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186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410唐山市丰南区就业服务中心</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0.80</w:t>
            </w:r>
          </w:p>
        </w:tc>
        <w:tc>
          <w:tcPr>
            <w:tcW w:w="2381" w:type="dxa"/>
            <w:vAlign w:val="center"/>
          </w:tcPr>
          <w:p>
            <w:pPr>
              <w:pStyle w:val="30"/>
            </w:pPr>
            <w:r>
              <w:t>0.80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0.30</w:t>
            </w:r>
          </w:p>
        </w:tc>
        <w:tc>
          <w:tcPr>
            <w:tcW w:w="2381" w:type="dxa"/>
            <w:vAlign w:val="center"/>
          </w:tcPr>
          <w:p>
            <w:pPr>
              <w:pStyle w:val="28"/>
            </w:pPr>
            <w:r>
              <w:t>0.30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0.30</w:t>
            </w:r>
          </w:p>
        </w:tc>
        <w:tc>
          <w:tcPr>
            <w:tcW w:w="2381" w:type="dxa"/>
            <w:vAlign w:val="center"/>
          </w:tcPr>
          <w:p>
            <w:pPr>
              <w:pStyle w:val="28"/>
            </w:pPr>
            <w:r>
              <w:t>0.30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0.50</w:t>
            </w:r>
          </w:p>
        </w:tc>
        <w:tc>
          <w:tcPr>
            <w:tcW w:w="2381" w:type="dxa"/>
            <w:vAlign w:val="center"/>
          </w:tcPr>
          <w:p>
            <w:pPr>
              <w:pStyle w:val="28"/>
            </w:pPr>
            <w:r>
              <w:t>0.50</w:t>
            </w:r>
          </w:p>
        </w:tc>
        <w:tc>
          <w:tcPr>
            <w:tcW w:w="2381" w:type="dxa"/>
            <w:vAlign w:val="center"/>
          </w:tcPr>
          <w:p>
            <w:pPr>
              <w:pStyle w:val="28"/>
            </w:pPr>
          </w:p>
        </w:tc>
        <w:tc>
          <w:tcPr>
            <w:tcW w:w="2381" w:type="dxa"/>
            <w:vAlign w:val="center"/>
          </w:tcPr>
          <w:p>
            <w:pPr>
              <w:pStyle w:val="2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唐山市丰南区就业服务中心2022年部门预算信息公开情况说明</w:t>
      </w:r>
    </w:p>
    <w:p>
      <w:pPr>
        <w:jc w:val="center"/>
        <w:rPr>
          <w:rFonts w:hint="eastAsia" w:ascii="方正小标宋_GBK" w:eastAsia="方正小标宋_GBK"/>
          <w:color w:val="auto"/>
          <w:sz w:val="44"/>
          <w:lang w:eastAsia="zh-CN"/>
        </w:rPr>
      </w:pPr>
    </w:p>
    <w:p>
      <w:pPr>
        <w:jc w:val="center"/>
        <w:rPr>
          <w:rFonts w:hint="eastAsia" w:ascii="方正小标宋_GBK" w:eastAsia="方正小标宋_GBK"/>
          <w:color w:val="auto"/>
          <w:sz w:val="44"/>
          <w:lang w:eastAsia="zh-CN"/>
        </w:rPr>
      </w:pPr>
      <w:r>
        <w:rPr>
          <w:rFonts w:hint="eastAsia" w:ascii="方正小标宋_GBK" w:eastAsia="方正小标宋_GBK"/>
          <w:color w:val="auto"/>
          <w:sz w:val="44"/>
          <w:lang w:eastAsia="zh-CN"/>
        </w:rPr>
        <w:t>唐山市丰南区就业服务中心</w:t>
      </w:r>
    </w:p>
    <w:p>
      <w:pPr>
        <w:jc w:val="center"/>
        <w:rPr>
          <w:rFonts w:ascii="Times New Roman" w:hAnsi="宋体"/>
          <w:color w:val="000000" w:themeColor="text1"/>
          <w:sz w:val="44"/>
        </w:rPr>
      </w:pPr>
      <w:r>
        <w:rPr>
          <w:rFonts w:hint="eastAsia" w:ascii="方正小标宋_GBK" w:eastAsia="方正小标宋_GBK"/>
          <w:color w:val="000000" w:themeColor="text1"/>
          <w:sz w:val="44"/>
        </w:rPr>
        <w:t>2022年部门预算信息公开情况说明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按照《预算法》、《地方预决算公开操作规程》和《河北省省级预算公开办法》规定，现将丰南区</w:t>
      </w:r>
      <w:r>
        <w:rPr>
          <w:rFonts w:hint="eastAsia" w:ascii="Times New Roman" w:eastAsia="方正仿宋_GBK"/>
          <w:color w:val="000000" w:themeColor="text1"/>
          <w:sz w:val="28"/>
          <w:lang w:eastAsia="zh-CN"/>
        </w:rPr>
        <w:t>就业服务中心</w:t>
      </w:r>
      <w:r>
        <w:rPr>
          <w:rFonts w:hint="eastAsia" w:ascii="Times New Roman" w:eastAsia="方正仿宋_GBK"/>
          <w:color w:val="000000" w:themeColor="text1"/>
          <w:sz w:val="28"/>
        </w:rPr>
        <w:t>2022年部门预算公开如下：</w:t>
      </w:r>
    </w:p>
    <w:p>
      <w:pPr>
        <w:spacing w:beforeLines="50" w:afterLines="50"/>
        <w:ind w:firstLine="640" w:firstLineChars="200"/>
        <w:jc w:val="left"/>
        <w:outlineLvl w:val="2"/>
        <w:rPr>
          <w:rFonts w:ascii="Times New Roman" w:hAnsi="宋体"/>
          <w:color w:val="000000" w:themeColor="text1"/>
          <w:sz w:val="32"/>
        </w:rPr>
      </w:pPr>
      <w:bookmarkStart w:id="9" w:name="_Toc66435805"/>
      <w:bookmarkStart w:id="10" w:name="_Toc29857"/>
      <w:r>
        <w:rPr>
          <w:rFonts w:hint="eastAsia" w:ascii="黑体" w:hAnsi="黑体" w:eastAsia="黑体"/>
          <w:color w:val="000000" w:themeColor="text1"/>
          <w:sz w:val="32"/>
        </w:rPr>
        <w:t>一、部门职责及机构设置情况</w:t>
      </w:r>
      <w:bookmarkEnd w:id="9"/>
      <w:bookmarkEnd w:id="10"/>
    </w:p>
    <w:p>
      <w:pPr>
        <w:pStyle w:val="32"/>
      </w:pPr>
      <w:r>
        <w:rPr>
          <w:rFonts w:hint="eastAsia" w:ascii="方正楷体_GBK" w:eastAsia="方正楷体_GBK"/>
          <w:b/>
          <w:color w:val="000000" w:themeColor="text1"/>
          <w:sz w:val="32"/>
        </w:rPr>
        <w:t>部门职责：</w:t>
      </w:r>
      <w:bookmarkStart w:id="11" w:name="_Toc66435806"/>
    </w:p>
    <w:p>
      <w:pPr>
        <w:pStyle w:val="32"/>
      </w:pPr>
      <w:r>
        <w:t>1、负责辖区内劳动力就业统筹规划和管理。负责下岗失业人员统一管理以及国家内外劳务输出和境外人员来唐就业的管理。</w:t>
      </w:r>
    </w:p>
    <w:p>
      <w:pPr>
        <w:pStyle w:val="32"/>
      </w:pPr>
      <w:r>
        <w:t>2、负责城乡新生劳动力就业、创业培训，负责下岗职工、失业人员的转业转岗培训。</w:t>
      </w:r>
    </w:p>
    <w:p>
      <w:pPr>
        <w:pStyle w:val="32"/>
      </w:pPr>
      <w:r>
        <w:t>3、负责就业指导、职业介绍、劳动人事代理、劳务派遣管理。</w:t>
      </w:r>
    </w:p>
    <w:p>
      <w:pPr>
        <w:pStyle w:val="32"/>
      </w:pPr>
      <w:r>
        <w:t>4、负责全区劳动就业服务企业综合管理。</w:t>
      </w:r>
    </w:p>
    <w:p>
      <w:pPr>
        <w:pStyle w:val="32"/>
      </w:pPr>
      <w:r>
        <w:t>5、会同有关部门对下岗职工、失业人员从事个体经营和合伙就业的服务型企业、社区就业实体各项优惠政策的落实、考核工作。</w:t>
      </w:r>
    </w:p>
    <w:p>
      <w:pPr>
        <w:pStyle w:val="32"/>
      </w:pPr>
      <w:r>
        <w:t>6、负责全区失业人员管理，职业介绍补贴资金和培训补贴资金的管理工作，负责下岗职工基本生活费、失业人员失业救济金的管理工作。</w:t>
      </w:r>
    </w:p>
    <w:p>
      <w:pPr>
        <w:pStyle w:val="32"/>
      </w:pPr>
      <w:r>
        <w:t>7、负责就业信息网络建设及用工信息采集、整理和发布。</w:t>
      </w:r>
    </w:p>
    <w:p>
      <w:pPr>
        <w:pStyle w:val="32"/>
      </w:pPr>
      <w:r>
        <w:t>8、指导各街道、区直单位和企业的就业服务工作进行统计并提供咨询服务等公益服务职能。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唐山市丰南区就业服务中心本级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Lines="50" w:afterLines="50"/>
        <w:ind w:firstLine="640" w:firstLineChars="200"/>
        <w:jc w:val="left"/>
        <w:outlineLvl w:val="2"/>
        <w:rPr>
          <w:rFonts w:ascii="Times New Roman" w:hAnsi="宋体"/>
          <w:color w:val="000000" w:themeColor="text1"/>
          <w:sz w:val="32"/>
        </w:rPr>
      </w:pPr>
      <w:bookmarkStart w:id="12" w:name="_Toc20958"/>
      <w:r>
        <w:rPr>
          <w:rFonts w:hint="eastAsia" w:ascii="黑体" w:hAnsi="黑体" w:eastAsia="黑体"/>
          <w:color w:val="000000" w:themeColor="text1"/>
          <w:sz w:val="32"/>
        </w:rPr>
        <w:t>二、部门预算安排的总体情况</w:t>
      </w:r>
      <w:bookmarkEnd w:id="11"/>
      <w:bookmarkEnd w:id="12"/>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按照预算管理有关规定，目前我区部门预算的编制实行综合预算管理，即全部收入和支出都反映在预算中。丰南区XX机关及所属事业单位的收支包含在部门预算中。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274.06</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33.38</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4.2</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10.52</w:t>
      </w:r>
      <w:r>
        <w:rPr>
          <w:rFonts w:hint="eastAsia" w:ascii="Times New Roman" w:eastAsia="方正仿宋_GBK"/>
          <w:color w:val="000000" w:themeColor="text1"/>
          <w:sz w:val="28"/>
        </w:rPr>
        <w:t>万元，其中：人员经费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9.9</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0.62</w:t>
      </w:r>
      <w:r>
        <w:rPr>
          <w:rFonts w:hint="eastAsia" w:ascii="Times New Roman" w:eastAsia="方正仿宋_GBK"/>
          <w:color w:val="000000" w:themeColor="text1"/>
          <w:sz w:val="28"/>
        </w:rPr>
        <w:t>万元，项目经费</w:t>
      </w:r>
      <w:r>
        <w:rPr>
          <w:rFonts w:hint="eastAsia" w:ascii="Times New Roman" w:eastAsia="方正仿宋_GBK"/>
          <w:color w:val="auto"/>
          <w:sz w:val="28"/>
        </w:rPr>
        <w:t>无增减变化</w:t>
      </w:r>
      <w:r>
        <w:rPr>
          <w:rFonts w:hint="eastAsia" w:ascii="Times New Roman" w:eastAsia="方正仿宋_GBK"/>
          <w:color w:val="000000" w:themeColor="text1"/>
          <w:sz w:val="28"/>
        </w:rPr>
        <w:t>。</w:t>
      </w:r>
    </w:p>
    <w:p>
      <w:pPr>
        <w:spacing w:beforeLines="50" w:afterLines="50"/>
        <w:ind w:firstLine="640" w:firstLineChars="200"/>
        <w:jc w:val="left"/>
        <w:outlineLvl w:val="2"/>
        <w:rPr>
          <w:rFonts w:ascii="Times New Roman" w:hAnsi="宋体"/>
          <w:color w:val="000000" w:themeColor="text1"/>
          <w:sz w:val="32"/>
        </w:rPr>
      </w:pPr>
      <w:bookmarkStart w:id="13" w:name="_Toc66435807"/>
      <w:bookmarkStart w:id="14" w:name="_Toc22666"/>
      <w:r>
        <w:rPr>
          <w:rFonts w:hint="eastAsia" w:ascii="黑体" w:hAnsi="黑体" w:eastAsia="黑体"/>
          <w:color w:val="000000" w:themeColor="text1"/>
          <w:sz w:val="32"/>
          <w:highlight w:val="none"/>
        </w:rPr>
        <w:t>三、机关运行经费安排情况</w:t>
      </w:r>
      <w:bookmarkEnd w:id="13"/>
      <w:bookmarkEnd w:id="14"/>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37.58</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办公及印刷费、邮电费、差旅费、工会费、福利费、移动通讯补贴、交通补贴及其他费用</w:t>
      </w:r>
      <w:r>
        <w:rPr>
          <w:rFonts w:hint="eastAsia" w:ascii="Times New Roman" w:eastAsia="方正仿宋_GBK"/>
          <w:color w:val="000000" w:themeColor="text1"/>
          <w:sz w:val="28"/>
        </w:rPr>
        <w:t>等支出。</w:t>
      </w:r>
    </w:p>
    <w:p>
      <w:pPr>
        <w:spacing w:beforeLines="50" w:afterLines="50"/>
        <w:ind w:firstLine="640" w:firstLineChars="200"/>
        <w:jc w:val="left"/>
        <w:outlineLvl w:val="2"/>
        <w:rPr>
          <w:rFonts w:ascii="Times New Roman" w:hAnsi="宋体"/>
          <w:color w:val="FF0000"/>
          <w:sz w:val="32"/>
        </w:rPr>
      </w:pPr>
      <w:bookmarkStart w:id="15" w:name="_Toc66435808"/>
      <w:bookmarkStart w:id="16" w:name="_Toc23050"/>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15"/>
      <w:bookmarkEnd w:id="16"/>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0.8</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FF0000"/>
          <w:sz w:val="28"/>
        </w:rPr>
      </w:pPr>
      <w:bookmarkStart w:id="17" w:name="OLE_LINK1"/>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0.3</w:t>
      </w:r>
      <w:r>
        <w:rPr>
          <w:rFonts w:hint="eastAsia" w:ascii="Times New Roman" w:eastAsia="方正仿宋_GBK"/>
          <w:color w:val="000000" w:themeColor="text1"/>
          <w:sz w:val="28"/>
        </w:rPr>
        <w:t>万元，</w:t>
      </w:r>
      <w:bookmarkEnd w:id="17"/>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0.5万元，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bookmarkStart w:id="18" w:name="_Toc66435809"/>
      <w:bookmarkStart w:id="19" w:name="_Toc754"/>
      <w:r>
        <w:rPr>
          <w:rFonts w:hint="eastAsia" w:ascii="黑体" w:hAnsi="黑体" w:eastAsia="黑体"/>
          <w:color w:val="000000" w:themeColor="text1"/>
          <w:sz w:val="32"/>
        </w:rPr>
        <w:t>五、预算绩效信息</w:t>
      </w:r>
      <w:bookmarkEnd w:id="18"/>
      <w:bookmarkEnd w:id="19"/>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3"/>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4"/>
      </w:pPr>
      <w:r>
        <w:rPr>
          <w:rFonts w:hint="eastAsia"/>
          <w:lang w:val="en-US" w:eastAsia="zh-CN"/>
        </w:rPr>
        <w:t>1、</w:t>
      </w:r>
      <w:r>
        <w:t>负责中心工作事务正常运行，及档案管理，做好综合后勤保障。</w:t>
      </w:r>
    </w:p>
    <w:p>
      <w:pPr>
        <w:pStyle w:val="34"/>
      </w:pPr>
      <w:r>
        <w:t>绩效目标：确保中心工作事务正常运行，做好综合后勤保障及档案管理。</w:t>
      </w:r>
    </w:p>
    <w:p>
      <w:pPr>
        <w:pStyle w:val="34"/>
      </w:pPr>
      <w:r>
        <w:t>绩效指标：</w:t>
      </w:r>
    </w:p>
    <w:p>
      <w:pPr>
        <w:pStyle w:val="34"/>
      </w:pPr>
      <w:r>
        <w:t>政策宣传品发放率、档案规范管理率均达到百分之90以上</w:t>
      </w:r>
    </w:p>
    <w:p>
      <w:pPr>
        <w:pStyle w:val="34"/>
      </w:pPr>
      <w:r>
        <w:rPr>
          <w:rFonts w:hint="eastAsia"/>
          <w:lang w:val="en-US" w:eastAsia="zh-CN"/>
        </w:rPr>
        <w:t>2、</w:t>
      </w:r>
      <w:r>
        <w:t>促进高校毕业生、失业人员等在内的全体劳动者充分就业，保持就业形势的基本稳定。</w:t>
      </w:r>
    </w:p>
    <w:p>
      <w:pPr>
        <w:pStyle w:val="34"/>
      </w:pPr>
      <w:r>
        <w:rPr>
          <w:rFonts w:hint="eastAsia"/>
          <w:lang w:eastAsia="zh-CN"/>
        </w:rPr>
        <w:t>（</w:t>
      </w:r>
      <w:r>
        <w:rPr>
          <w:rFonts w:hint="eastAsia"/>
          <w:lang w:val="en-US" w:eastAsia="zh-CN"/>
        </w:rPr>
        <w:t>1</w:t>
      </w:r>
      <w:r>
        <w:rPr>
          <w:rFonts w:hint="eastAsia"/>
          <w:lang w:eastAsia="zh-CN"/>
        </w:rPr>
        <w:t>）</w:t>
      </w:r>
      <w:r>
        <w:t xml:space="preserve">.就业创业扶持政策实施     </w:t>
      </w:r>
    </w:p>
    <w:p>
      <w:pPr>
        <w:pStyle w:val="34"/>
      </w:pPr>
      <w:r>
        <w:t>绩效目标：健全公共就业服务体系，按照统一规划指导公共就业创业服务信息管理，实施免费的公共就业服务</w:t>
      </w:r>
    </w:p>
    <w:p>
      <w:pPr>
        <w:pStyle w:val="34"/>
      </w:pPr>
      <w:r>
        <w:t>绩效指标：</w:t>
      </w:r>
    </w:p>
    <w:p>
      <w:pPr>
        <w:pStyle w:val="34"/>
      </w:pPr>
      <w:r>
        <w:t>创业项目征集补贴、场地租金补贴、创业孵化基地各项补贴发放率达到百分之90以上</w:t>
      </w:r>
    </w:p>
    <w:p>
      <w:pPr>
        <w:pStyle w:val="34"/>
      </w:pPr>
      <w:r>
        <w:t>就业见习岗位征集数量达到180</w:t>
      </w:r>
    </w:p>
    <w:p>
      <w:pPr>
        <w:pStyle w:val="34"/>
      </w:pPr>
      <w:r>
        <w:rPr>
          <w:rFonts w:hint="eastAsia"/>
          <w:lang w:eastAsia="zh-CN"/>
        </w:rPr>
        <w:t>（</w:t>
      </w:r>
      <w:r>
        <w:rPr>
          <w:rFonts w:hint="eastAsia"/>
          <w:lang w:val="en-US" w:eastAsia="zh-CN"/>
        </w:rPr>
        <w:t>2</w:t>
      </w:r>
      <w:r>
        <w:rPr>
          <w:rFonts w:hint="eastAsia"/>
          <w:lang w:eastAsia="zh-CN"/>
        </w:rPr>
        <w:t>）</w:t>
      </w:r>
      <w:r>
        <w:t>.就业服务体系建设</w:t>
      </w:r>
    </w:p>
    <w:p>
      <w:pPr>
        <w:pStyle w:val="34"/>
      </w:pPr>
      <w:r>
        <w:t>绩效目标：建立健全职业指导、职业介绍、人力资源市场、开展人力资源服务、就业服务指导。实施免费的公共就业服务</w:t>
      </w:r>
    </w:p>
    <w:p>
      <w:pPr>
        <w:pStyle w:val="34"/>
      </w:pPr>
      <w:r>
        <w:t>绩效指标：</w:t>
      </w:r>
    </w:p>
    <w:p>
      <w:pPr>
        <w:pStyle w:val="34"/>
      </w:pPr>
      <w:r>
        <w:t>为需要提供服务的失业人员提供免费的就业服务指导次数、组织招聘会次数、征集参加招聘会企业家数达到要求</w:t>
      </w:r>
    </w:p>
    <w:p>
      <w:pPr>
        <w:pStyle w:val="34"/>
      </w:pPr>
      <w:r>
        <w:t>就业服务对象满意度、职业介绍满意度达到百分之80</w:t>
      </w:r>
    </w:p>
    <w:p>
      <w:pPr>
        <w:pStyle w:val="34"/>
      </w:pPr>
      <w:r>
        <w:rPr>
          <w:rFonts w:hint="eastAsia"/>
          <w:lang w:eastAsia="zh-CN"/>
        </w:rPr>
        <w:t>（</w:t>
      </w:r>
      <w:r>
        <w:rPr>
          <w:rFonts w:hint="eastAsia"/>
          <w:lang w:val="en-US" w:eastAsia="zh-CN"/>
        </w:rPr>
        <w:t>3</w:t>
      </w:r>
      <w:r>
        <w:rPr>
          <w:rFonts w:hint="eastAsia"/>
          <w:lang w:eastAsia="zh-CN"/>
        </w:rPr>
        <w:t>）</w:t>
      </w:r>
      <w:r>
        <w:t>.职业培训能力建设</w:t>
      </w:r>
    </w:p>
    <w:p>
      <w:pPr>
        <w:pStyle w:val="34"/>
      </w:pPr>
      <w:r>
        <w:t>绩效目标：落实职业劳动能力鉴定政策，按国家和区政府要求推动职业能力建设，开展职业培训能力建设相关工作。提高劳动者素质，打造我区职业技术工人队伍，实现稳定就业。</w:t>
      </w:r>
    </w:p>
    <w:p>
      <w:pPr>
        <w:pStyle w:val="34"/>
      </w:pPr>
      <w:r>
        <w:t>绩效指标：</w:t>
      </w:r>
    </w:p>
    <w:p>
      <w:pPr>
        <w:pStyle w:val="34"/>
      </w:pPr>
      <w:r>
        <w:t>职业鉴定、创业培训、职业技能培训人数达到要求</w:t>
      </w:r>
    </w:p>
    <w:p>
      <w:pPr>
        <w:pStyle w:val="34"/>
      </w:pPr>
      <w:r>
        <w:t>创业、技能培训学员满意度达到百分之80</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5"/>
      </w:pPr>
      <w:r>
        <w:t>1</w:t>
      </w:r>
      <w:r>
        <w:rPr>
          <w:rFonts w:hint="eastAsia"/>
          <w:lang w:eastAsia="zh-CN"/>
        </w:rPr>
        <w:t>、</w:t>
      </w:r>
      <w:r>
        <w:t>完善制度建设</w:t>
      </w:r>
    </w:p>
    <w:p>
      <w:pPr>
        <w:pStyle w:val="35"/>
      </w:pPr>
      <w:r>
        <w:t>制定完善预算绩效管理制度、就业资金管理办法、工作保障制度等，为全年预算绩效目标的实现奠定制度基础</w:t>
      </w:r>
    </w:p>
    <w:p>
      <w:pPr>
        <w:pStyle w:val="35"/>
      </w:pPr>
      <w:r>
        <w:t>2</w:t>
      </w:r>
      <w:r>
        <w:rPr>
          <w:rFonts w:hint="eastAsia"/>
          <w:lang w:eastAsia="zh-CN"/>
        </w:rPr>
        <w:t>、</w:t>
      </w:r>
      <w:r>
        <w:t>加强支出管理</w:t>
      </w:r>
    </w:p>
    <w:p>
      <w:pPr>
        <w:pStyle w:val="35"/>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5"/>
      </w:pPr>
      <w:r>
        <w:t>3</w:t>
      </w:r>
      <w:r>
        <w:rPr>
          <w:rFonts w:hint="eastAsia"/>
          <w:lang w:eastAsia="zh-CN"/>
        </w:rPr>
        <w:t>、</w:t>
      </w:r>
      <w:r>
        <w:t>加强绩效运行监控</w:t>
      </w:r>
    </w:p>
    <w:p>
      <w:pPr>
        <w:pStyle w:val="35"/>
      </w:pPr>
      <w:r>
        <w:t>按要求开展绩效运行监控，发现问题及时采取措施，确保绩效目标如期保质实现。</w:t>
      </w:r>
    </w:p>
    <w:p>
      <w:pPr>
        <w:pStyle w:val="35"/>
      </w:pPr>
      <w:r>
        <w:t>4</w:t>
      </w:r>
      <w:r>
        <w:rPr>
          <w:rFonts w:hint="eastAsia"/>
          <w:lang w:eastAsia="zh-CN"/>
        </w:rPr>
        <w:t>、</w:t>
      </w:r>
      <w:r>
        <w:t>做好绩效自评</w:t>
      </w:r>
    </w:p>
    <w:p>
      <w:pPr>
        <w:pStyle w:val="35"/>
      </w:pPr>
      <w:r>
        <w:t>按要求开展上年度部门预算绩效自评和重点评价工作，对评价中发现的问题及时整改，调整优化支出结构，提高财政资金使用效益。</w:t>
      </w:r>
    </w:p>
    <w:p>
      <w:pPr>
        <w:pStyle w:val="35"/>
      </w:pPr>
      <w:r>
        <w:t>5</w:t>
      </w:r>
      <w:r>
        <w:rPr>
          <w:rFonts w:hint="eastAsia"/>
          <w:lang w:eastAsia="zh-CN"/>
        </w:rPr>
        <w:t>、</w:t>
      </w:r>
      <w:r>
        <w:t>规范财务资产管理</w:t>
      </w:r>
    </w:p>
    <w:p>
      <w:pPr>
        <w:pStyle w:val="35"/>
      </w:pPr>
      <w:r>
        <w:t>完善财务管理制度，严格审批程序，加强固定资产登记、使用和报废处置管理，做到支出合理，物尽其用。</w:t>
      </w:r>
    </w:p>
    <w:p>
      <w:pPr>
        <w:pStyle w:val="35"/>
      </w:pPr>
      <w:r>
        <w:t>6</w:t>
      </w:r>
      <w:r>
        <w:rPr>
          <w:rFonts w:hint="eastAsia"/>
          <w:lang w:eastAsia="zh-CN"/>
        </w:rPr>
        <w:t>、</w:t>
      </w:r>
      <w:r>
        <w:t>加强内部监督</w:t>
      </w:r>
    </w:p>
    <w:p>
      <w:pPr>
        <w:pStyle w:val="3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5"/>
      </w:pPr>
      <w:r>
        <w:t>7</w:t>
      </w:r>
      <w:r>
        <w:rPr>
          <w:rFonts w:hint="eastAsia"/>
          <w:lang w:eastAsia="zh-CN"/>
        </w:rPr>
        <w:t>、</w:t>
      </w:r>
      <w:r>
        <w:t>加强宣传培训调研等</w:t>
      </w:r>
    </w:p>
    <w:p>
      <w:pPr>
        <w:pStyle w:val="35"/>
        <w:rPr>
          <w:rFonts w:ascii="Times New Roman" w:eastAsia="方正仿宋_GBK"/>
          <w:color w:val="000000" w:themeColor="text1"/>
          <w:sz w:val="28"/>
        </w:rPr>
      </w:pPr>
      <w:r>
        <w:t>加强人员培训，提高本部门职工业务素质；加强调研，提出优化财政资金配置、提高资金使用效益的意见意见；加大宣传力度，强化预算绩效管理意识，促进预算绩效管理水平进一步提升。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rPr>
          <w:rFonts w:ascii="Times New Roman" w:hAnsi="宋体"/>
        </w:rPr>
      </w:pPr>
    </w:p>
    <w:p>
      <w:pPr>
        <w:ind w:firstLine="560"/>
        <w:rPr>
          <w:rFonts w:ascii="Times New Roman" w:hAnsi="宋体"/>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1、印刷费绩效目标表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印刷业务完成率</w:t>
            </w:r>
          </w:p>
        </w:tc>
        <w:tc>
          <w:tcPr>
            <w:tcW w:w="2835" w:type="dxa"/>
            <w:vAlign w:val="center"/>
          </w:tcPr>
          <w:p>
            <w:pPr>
              <w:pStyle w:val="27"/>
            </w:pPr>
            <w:r>
              <w:t>印刷业务完成率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为群众提供优质政务服务完成率</w:t>
            </w:r>
          </w:p>
        </w:tc>
        <w:tc>
          <w:tcPr>
            <w:tcW w:w="2835" w:type="dxa"/>
            <w:vAlign w:val="center"/>
          </w:tcPr>
          <w:p>
            <w:pPr>
              <w:pStyle w:val="27"/>
            </w:pPr>
            <w:r>
              <w:t>为群众提供优质政务服务案件数量占申请政务服务数量的比例</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各项任务完成及时率（%）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公共服务水平提升情况</w:t>
            </w:r>
          </w:p>
        </w:tc>
        <w:tc>
          <w:tcPr>
            <w:tcW w:w="2835" w:type="dxa"/>
            <w:vAlign w:val="center"/>
          </w:tcPr>
          <w:p>
            <w:pPr>
              <w:pStyle w:val="27"/>
            </w:pPr>
            <w:r>
              <w:t>公共服务水平提升情况</w:t>
            </w:r>
          </w:p>
        </w:tc>
        <w:tc>
          <w:tcPr>
            <w:tcW w:w="2551" w:type="dxa"/>
            <w:vAlign w:val="center"/>
          </w:tcPr>
          <w:p>
            <w:pPr>
              <w:pStyle w:val="27"/>
            </w:pPr>
            <w:r>
              <w:t>逐步提升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保障业务工作情况</w:t>
            </w:r>
          </w:p>
        </w:tc>
        <w:tc>
          <w:tcPr>
            <w:tcW w:w="2835" w:type="dxa"/>
            <w:vAlign w:val="center"/>
          </w:tcPr>
          <w:p>
            <w:pPr>
              <w:pStyle w:val="27"/>
            </w:pPr>
            <w:r>
              <w:t>保障业务工作情况</w:t>
            </w:r>
          </w:p>
        </w:tc>
        <w:tc>
          <w:tcPr>
            <w:tcW w:w="2551" w:type="dxa"/>
            <w:vAlign w:val="center"/>
          </w:tcPr>
          <w:p>
            <w:pPr>
              <w:pStyle w:val="27"/>
            </w:pPr>
            <w:r>
              <w:t>有效保障各项工作正常开展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群众满意度</w:t>
            </w:r>
          </w:p>
        </w:tc>
        <w:tc>
          <w:tcPr>
            <w:tcW w:w="2835" w:type="dxa"/>
            <w:vAlign w:val="center"/>
          </w:tcPr>
          <w:p>
            <w:pPr>
              <w:pStyle w:val="27"/>
            </w:pPr>
            <w:r>
              <w:t>群众对政策宣传的满意度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rPr>
          <w:rFonts w:ascii="Times New Roman" w:hAnsi="宋体"/>
        </w:rPr>
      </w:pPr>
    </w:p>
    <w:p>
      <w:pPr>
        <w:spacing w:beforeLines="50" w:afterLines="50"/>
        <w:ind w:firstLine="640" w:firstLineChars="200"/>
        <w:outlineLvl w:val="2"/>
        <w:rPr>
          <w:rFonts w:ascii="Times New Roman" w:hAnsi="宋体"/>
          <w:color w:val="000000" w:themeColor="text1"/>
          <w:sz w:val="32"/>
        </w:rPr>
      </w:pPr>
      <w:bookmarkStart w:id="20" w:name="_Toc66435810"/>
      <w:bookmarkStart w:id="21" w:name="_Toc30257"/>
      <w:r>
        <w:rPr>
          <w:rFonts w:hint="eastAsia" w:ascii="黑体" w:eastAsia="黑体"/>
          <w:color w:val="000000" w:themeColor="text1"/>
          <w:sz w:val="32"/>
        </w:rPr>
        <w:t>六、政府采购预算情况</w:t>
      </w:r>
      <w:bookmarkEnd w:id="20"/>
      <w:bookmarkEnd w:id="21"/>
    </w:p>
    <w:p>
      <w:pPr>
        <w:spacing w:before="0" w:after="0" w:line="500" w:lineRule="exact"/>
        <w:ind w:firstLine="560"/>
        <w:jc w:val="left"/>
        <w:outlineLvl w:val="9"/>
        <w:rPr>
          <w:rFonts w:hint="eastAsia" w:ascii="Times New Roman" w:hAnsi="Times New Roman" w:eastAsia="方正仿宋_GBK" w:cs="Times New Roman"/>
          <w:b w:val="0"/>
          <w:color w:val="000000"/>
          <w:sz w:val="28"/>
        </w:rPr>
      </w:pPr>
      <w:bookmarkStart w:id="22" w:name="_Toc66435811"/>
      <w:r>
        <w:rPr>
          <w:rFonts w:hint="eastAsia" w:ascii="Times New Roman" w:hAnsi="Times New Roman" w:eastAsia="方正仿宋_GBK" w:cs="Times New Roman"/>
          <w:b w:val="0"/>
          <w:color w:val="000000"/>
          <w:sz w:val="28"/>
        </w:rPr>
        <w:t>2022年此项目无数据</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2022年，唐山市丰南区就业服务中心安排政府采购预算0.00万元。具体内容见下表。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410唐山市丰南区就业服务中心</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7"/>
            </w:pPr>
          </w:p>
        </w:tc>
        <w:tc>
          <w:tcPr>
            <w:tcW w:w="964" w:type="dxa"/>
            <w:vAlign w:val="center"/>
          </w:tcPr>
          <w:p>
            <w:pPr>
              <w:pStyle w:val="28"/>
            </w:pPr>
          </w:p>
        </w:tc>
        <w:tc>
          <w:tcPr>
            <w:tcW w:w="1134" w:type="dxa"/>
            <w:vAlign w:val="center"/>
          </w:tcPr>
          <w:p>
            <w:pPr>
              <w:pStyle w:val="27"/>
            </w:pPr>
          </w:p>
        </w:tc>
        <w:tc>
          <w:tcPr>
            <w:tcW w:w="1134" w:type="dxa"/>
            <w:vAlign w:val="center"/>
          </w:tcPr>
          <w:p>
            <w:pPr>
              <w:pStyle w:val="27"/>
            </w:pPr>
          </w:p>
        </w:tc>
        <w:tc>
          <w:tcPr>
            <w:tcW w:w="709" w:type="dxa"/>
            <w:vAlign w:val="center"/>
          </w:tcPr>
          <w:p>
            <w:pPr>
              <w:pStyle w:val="26"/>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line="500" w:lineRule="exact"/>
        <w:ind w:firstLine="560" w:firstLineChars="200"/>
        <w:jc w:val="left"/>
        <w:rPr>
          <w:rFonts w:hint="eastAsia" w:ascii="Times New Roman" w:eastAsia="方正仿宋_GBK"/>
          <w:color w:val="auto"/>
          <w:sz w:val="28"/>
        </w:rPr>
      </w:pPr>
    </w:p>
    <w:p>
      <w:pPr>
        <w:spacing w:beforeLines="50" w:afterLines="50"/>
        <w:ind w:firstLine="640" w:firstLineChars="200"/>
        <w:jc w:val="left"/>
        <w:outlineLvl w:val="2"/>
        <w:rPr>
          <w:rFonts w:ascii="Times New Roman" w:hAnsi="宋体"/>
          <w:color w:val="000000" w:themeColor="text1"/>
          <w:sz w:val="32"/>
        </w:rPr>
      </w:pPr>
      <w:bookmarkStart w:id="23" w:name="_Toc12283"/>
      <w:r>
        <w:rPr>
          <w:rFonts w:hint="eastAsia" w:ascii="黑体" w:hAnsi="黑体" w:eastAsia="黑体"/>
          <w:color w:val="000000" w:themeColor="text1"/>
          <w:sz w:val="32"/>
        </w:rPr>
        <w:t>七、国有资产信息</w:t>
      </w:r>
      <w:bookmarkEnd w:id="22"/>
      <w:bookmarkEnd w:id="23"/>
    </w:p>
    <w:p>
      <w:pPr>
        <w:spacing w:before="0" w:after="0" w:line="500" w:lineRule="exact"/>
        <w:ind w:firstLine="560"/>
        <w:jc w:val="left"/>
        <w:outlineLvl w:val="9"/>
      </w:pPr>
      <w:bookmarkStart w:id="24" w:name="_Toc66435812"/>
      <w:r>
        <w:rPr>
          <w:rFonts w:ascii="Times New Roman" w:hAnsi="Times New Roman" w:eastAsia="方正仿宋_GBK" w:cs="Times New Roman"/>
          <w:b w:val="0"/>
          <w:color w:val="000000"/>
          <w:sz w:val="28"/>
        </w:rPr>
        <w:t>唐山市丰南区就业服务中心（含所属单位）上年末固定资产金额为0.00万元（详见下表）。本年度拟购置固定资产总额为0.00万元，已按要求列入政府采购预算，详见政府采购预算表。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410唐山市丰南区就业服务中心</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line="500" w:lineRule="exact"/>
        <w:ind w:firstLine="560" w:firstLineChars="200"/>
        <w:jc w:val="left"/>
        <w:rPr>
          <w:rFonts w:ascii="Times New Roman" w:hAnsi="宋体"/>
          <w:color w:val="auto"/>
          <w:sz w:val="28"/>
        </w:rPr>
      </w:pPr>
      <w:r>
        <w:rPr>
          <w:rFonts w:hint="eastAsia" w:ascii="Times New Roman" w:eastAsia="方正仿宋_GBK"/>
          <w:color w:val="auto"/>
          <w:sz w:val="28"/>
        </w:rPr>
        <w:t>2022年无新增资产</w:t>
      </w:r>
    </w:p>
    <w:bookmarkEnd w:id="24"/>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bookmarkStart w:id="25" w:name="_Toc28604"/>
      <w:r>
        <w:rPr>
          <w:rFonts w:ascii="黑体" w:hAnsi="黑体" w:eastAsia="黑体" w:cs="黑体"/>
          <w:color w:val="000000"/>
          <w:sz w:val="32"/>
        </w:rPr>
        <w:t>八、名词解释</w:t>
      </w:r>
      <w:bookmarkEnd w:id="2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26" w:name="_Toc12815"/>
      <w:r>
        <w:rPr>
          <w:rFonts w:ascii="黑体" w:hAnsi="黑体" w:eastAsia="黑体" w:cs="黑体"/>
          <w:color w:val="000000"/>
          <w:sz w:val="32"/>
        </w:rPr>
        <w:t>九、其他需要说明的事项</w:t>
      </w:r>
      <w:bookmarkEnd w:id="26"/>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Times New Roman" w:eastAsia="方正仿宋_GBK"/>
          <w:color w:val="000000" w:themeColor="text1"/>
          <w:sz w:val="28"/>
        </w:rPr>
        <w:t>部门预算国有资本经营预算财政拨款支出表，此表无数据，因本单位不涉及国有资本经营，因此无数据。</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7" w:name="_Toc8799"/>
      <w:r>
        <w:rPr>
          <w:rFonts w:ascii="方正小标宋_GBK" w:hAnsi="方正小标宋_GBK" w:eastAsia="方正小标宋_GBK" w:cs="方正小标宋_GBK"/>
          <w:b w:val="0"/>
          <w:color w:val="000000"/>
          <w:sz w:val="44"/>
        </w:rPr>
        <w:t>一、唐山市丰南区就业服务中心本级收支预算</w:t>
      </w:r>
      <w:bookmarkEnd w:id="2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311.64</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265.24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311.64</w:t>
            </w:r>
          </w:p>
        </w:tc>
        <w:tc>
          <w:tcPr>
            <w:tcW w:w="4535" w:type="dxa"/>
            <w:vAlign w:val="center"/>
          </w:tcPr>
          <w:p>
            <w:pPr>
              <w:pStyle w:val="29"/>
            </w:pPr>
            <w:r>
              <w:t>本年支出合计</w:t>
            </w:r>
          </w:p>
        </w:tc>
        <w:tc>
          <w:tcPr>
            <w:tcW w:w="2126" w:type="dxa"/>
            <w:vAlign w:val="center"/>
          </w:tcPr>
          <w:p>
            <w:pPr>
              <w:pStyle w:val="30"/>
            </w:pPr>
            <w:r>
              <w:t>311.64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311.64</w:t>
            </w:r>
          </w:p>
        </w:tc>
        <w:tc>
          <w:tcPr>
            <w:tcW w:w="4535" w:type="dxa"/>
            <w:vAlign w:val="center"/>
          </w:tcPr>
          <w:p>
            <w:pPr>
              <w:pStyle w:val="29"/>
            </w:pPr>
            <w:r>
              <w:t>支出总计</w:t>
            </w:r>
          </w:p>
        </w:tc>
        <w:tc>
          <w:tcPr>
            <w:tcW w:w="2126" w:type="dxa"/>
            <w:vAlign w:val="center"/>
          </w:tcPr>
          <w:p>
            <w:pPr>
              <w:pStyle w:val="30"/>
            </w:pPr>
            <w:r>
              <w:t>311.64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311.64</w:t>
            </w:r>
          </w:p>
        </w:tc>
        <w:tc>
          <w:tcPr>
            <w:tcW w:w="1134" w:type="dxa"/>
            <w:vAlign w:val="center"/>
          </w:tcPr>
          <w:p>
            <w:pPr>
              <w:pStyle w:val="30"/>
            </w:pPr>
            <w:r>
              <w:t>311.64</w:t>
            </w:r>
          </w:p>
        </w:tc>
        <w:tc>
          <w:tcPr>
            <w:tcW w:w="1134" w:type="dxa"/>
            <w:vAlign w:val="center"/>
          </w:tcPr>
          <w:p>
            <w:pPr>
              <w:pStyle w:val="30"/>
            </w:pPr>
            <w:r>
              <w:t>311.64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265.24</w:t>
            </w:r>
          </w:p>
        </w:tc>
        <w:tc>
          <w:tcPr>
            <w:tcW w:w="1134" w:type="dxa"/>
            <w:vAlign w:val="center"/>
          </w:tcPr>
          <w:p>
            <w:pPr>
              <w:pStyle w:val="28"/>
            </w:pPr>
            <w:r>
              <w:t>265.24</w:t>
            </w:r>
          </w:p>
        </w:tc>
        <w:tc>
          <w:tcPr>
            <w:tcW w:w="1134" w:type="dxa"/>
            <w:vAlign w:val="center"/>
          </w:tcPr>
          <w:p>
            <w:pPr>
              <w:pStyle w:val="28"/>
            </w:pPr>
            <w:r>
              <w:t>265.24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219.84</w:t>
            </w:r>
          </w:p>
        </w:tc>
        <w:tc>
          <w:tcPr>
            <w:tcW w:w="1134" w:type="dxa"/>
            <w:vAlign w:val="center"/>
          </w:tcPr>
          <w:p>
            <w:pPr>
              <w:pStyle w:val="28"/>
            </w:pPr>
            <w:r>
              <w:t>219.84</w:t>
            </w:r>
          </w:p>
        </w:tc>
        <w:tc>
          <w:tcPr>
            <w:tcW w:w="1134" w:type="dxa"/>
            <w:vAlign w:val="center"/>
          </w:tcPr>
          <w:p>
            <w:pPr>
              <w:pStyle w:val="28"/>
            </w:pPr>
            <w:r>
              <w:t>219.84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2080101</w:t>
            </w:r>
          </w:p>
        </w:tc>
        <w:tc>
          <w:tcPr>
            <w:tcW w:w="1559" w:type="dxa"/>
            <w:vAlign w:val="center"/>
          </w:tcPr>
          <w:p>
            <w:pPr>
              <w:pStyle w:val="27"/>
            </w:pPr>
            <w:r>
              <w:t>行政运行</w:t>
            </w:r>
          </w:p>
        </w:tc>
        <w:tc>
          <w:tcPr>
            <w:tcW w:w="1134" w:type="dxa"/>
            <w:vAlign w:val="center"/>
          </w:tcPr>
          <w:p>
            <w:pPr>
              <w:pStyle w:val="28"/>
            </w:pPr>
            <w:r>
              <w:t>215.64</w:t>
            </w:r>
          </w:p>
        </w:tc>
        <w:tc>
          <w:tcPr>
            <w:tcW w:w="1134" w:type="dxa"/>
            <w:vAlign w:val="center"/>
          </w:tcPr>
          <w:p>
            <w:pPr>
              <w:pStyle w:val="28"/>
            </w:pPr>
            <w:r>
              <w:t>215.64</w:t>
            </w:r>
          </w:p>
        </w:tc>
        <w:tc>
          <w:tcPr>
            <w:tcW w:w="1134" w:type="dxa"/>
            <w:vAlign w:val="center"/>
          </w:tcPr>
          <w:p>
            <w:pPr>
              <w:pStyle w:val="28"/>
            </w:pPr>
            <w:r>
              <w:t>215.64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2080106</w:t>
            </w:r>
          </w:p>
        </w:tc>
        <w:tc>
          <w:tcPr>
            <w:tcW w:w="1559" w:type="dxa"/>
            <w:vAlign w:val="center"/>
          </w:tcPr>
          <w:p>
            <w:pPr>
              <w:pStyle w:val="27"/>
            </w:pPr>
            <w:r>
              <w:t>就业管理事务</w:t>
            </w:r>
          </w:p>
        </w:tc>
        <w:tc>
          <w:tcPr>
            <w:tcW w:w="1134" w:type="dxa"/>
            <w:vAlign w:val="center"/>
          </w:tcPr>
          <w:p>
            <w:pPr>
              <w:pStyle w:val="28"/>
            </w:pPr>
            <w:r>
              <w:t>4.20</w:t>
            </w:r>
          </w:p>
        </w:tc>
        <w:tc>
          <w:tcPr>
            <w:tcW w:w="1134" w:type="dxa"/>
            <w:vAlign w:val="center"/>
          </w:tcPr>
          <w:p>
            <w:pPr>
              <w:pStyle w:val="28"/>
            </w:pPr>
            <w:r>
              <w:t>4.20</w:t>
            </w:r>
          </w:p>
        </w:tc>
        <w:tc>
          <w:tcPr>
            <w:tcW w:w="1134" w:type="dxa"/>
            <w:vAlign w:val="center"/>
          </w:tcPr>
          <w:p>
            <w:pPr>
              <w:pStyle w:val="28"/>
            </w:pPr>
            <w:r>
              <w:t>4.20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45.40</w:t>
            </w:r>
          </w:p>
        </w:tc>
        <w:tc>
          <w:tcPr>
            <w:tcW w:w="1134" w:type="dxa"/>
            <w:vAlign w:val="center"/>
          </w:tcPr>
          <w:p>
            <w:pPr>
              <w:pStyle w:val="28"/>
            </w:pPr>
            <w:r>
              <w:t>45.40</w:t>
            </w:r>
          </w:p>
        </w:tc>
        <w:tc>
          <w:tcPr>
            <w:tcW w:w="1134" w:type="dxa"/>
            <w:vAlign w:val="center"/>
          </w:tcPr>
          <w:p>
            <w:pPr>
              <w:pStyle w:val="28"/>
            </w:pPr>
            <w:r>
              <w:t>45.40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2080502</w:t>
            </w:r>
          </w:p>
        </w:tc>
        <w:tc>
          <w:tcPr>
            <w:tcW w:w="1559" w:type="dxa"/>
            <w:vAlign w:val="center"/>
          </w:tcPr>
          <w:p>
            <w:pPr>
              <w:pStyle w:val="27"/>
            </w:pPr>
            <w:r>
              <w:t>事业单位离退休</w:t>
            </w:r>
          </w:p>
        </w:tc>
        <w:tc>
          <w:tcPr>
            <w:tcW w:w="1134" w:type="dxa"/>
            <w:vAlign w:val="center"/>
          </w:tcPr>
          <w:p>
            <w:pPr>
              <w:pStyle w:val="28"/>
            </w:pPr>
            <w:r>
              <w:t>18.22</w:t>
            </w:r>
          </w:p>
        </w:tc>
        <w:tc>
          <w:tcPr>
            <w:tcW w:w="1134" w:type="dxa"/>
            <w:vAlign w:val="center"/>
          </w:tcPr>
          <w:p>
            <w:pPr>
              <w:pStyle w:val="28"/>
            </w:pPr>
            <w:r>
              <w:t>18.22</w:t>
            </w:r>
          </w:p>
        </w:tc>
        <w:tc>
          <w:tcPr>
            <w:tcW w:w="1134" w:type="dxa"/>
            <w:vAlign w:val="center"/>
          </w:tcPr>
          <w:p>
            <w:pPr>
              <w:pStyle w:val="28"/>
            </w:pPr>
            <w:r>
              <w:t>18.22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27.18</w:t>
            </w:r>
          </w:p>
        </w:tc>
        <w:tc>
          <w:tcPr>
            <w:tcW w:w="1134" w:type="dxa"/>
            <w:vAlign w:val="center"/>
          </w:tcPr>
          <w:p>
            <w:pPr>
              <w:pStyle w:val="28"/>
            </w:pPr>
            <w:r>
              <w:t>27.18</w:t>
            </w:r>
          </w:p>
        </w:tc>
        <w:tc>
          <w:tcPr>
            <w:tcW w:w="1134" w:type="dxa"/>
            <w:vAlign w:val="center"/>
          </w:tcPr>
          <w:p>
            <w:pPr>
              <w:pStyle w:val="28"/>
            </w:pPr>
            <w:r>
              <w:t>27.18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r>
              <w:t>25.91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2101102</w:t>
            </w:r>
          </w:p>
        </w:tc>
        <w:tc>
          <w:tcPr>
            <w:tcW w:w="1559" w:type="dxa"/>
            <w:vAlign w:val="center"/>
          </w:tcPr>
          <w:p>
            <w:pPr>
              <w:pStyle w:val="27"/>
            </w:pPr>
            <w:r>
              <w:t>事业单位医疗</w:t>
            </w:r>
          </w:p>
        </w:tc>
        <w:tc>
          <w:tcPr>
            <w:tcW w:w="1134" w:type="dxa"/>
            <w:vAlign w:val="center"/>
          </w:tcPr>
          <w:p>
            <w:pPr>
              <w:pStyle w:val="28"/>
            </w:pPr>
            <w:r>
              <w:t>12.32</w:t>
            </w:r>
          </w:p>
        </w:tc>
        <w:tc>
          <w:tcPr>
            <w:tcW w:w="1134" w:type="dxa"/>
            <w:vAlign w:val="center"/>
          </w:tcPr>
          <w:p>
            <w:pPr>
              <w:pStyle w:val="28"/>
            </w:pPr>
            <w:r>
              <w:t>12.32</w:t>
            </w:r>
          </w:p>
        </w:tc>
        <w:tc>
          <w:tcPr>
            <w:tcW w:w="1134" w:type="dxa"/>
            <w:vAlign w:val="center"/>
          </w:tcPr>
          <w:p>
            <w:pPr>
              <w:pStyle w:val="28"/>
            </w:pPr>
            <w:r>
              <w:t>12.32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13.59</w:t>
            </w:r>
          </w:p>
        </w:tc>
        <w:tc>
          <w:tcPr>
            <w:tcW w:w="1134" w:type="dxa"/>
            <w:vAlign w:val="center"/>
          </w:tcPr>
          <w:p>
            <w:pPr>
              <w:pStyle w:val="28"/>
            </w:pPr>
            <w:r>
              <w:t>13.59</w:t>
            </w:r>
          </w:p>
        </w:tc>
        <w:tc>
          <w:tcPr>
            <w:tcW w:w="1134" w:type="dxa"/>
            <w:vAlign w:val="center"/>
          </w:tcPr>
          <w:p>
            <w:pPr>
              <w:pStyle w:val="28"/>
            </w:pPr>
            <w:r>
              <w:t>13.59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r>
              <w:t>20.49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311.64</w:t>
            </w:r>
          </w:p>
        </w:tc>
        <w:tc>
          <w:tcPr>
            <w:tcW w:w="1361" w:type="dxa"/>
            <w:vAlign w:val="center"/>
          </w:tcPr>
          <w:p>
            <w:pPr>
              <w:pStyle w:val="30"/>
            </w:pPr>
            <w:r>
              <w:t>307.44</w:t>
            </w:r>
          </w:p>
        </w:tc>
        <w:tc>
          <w:tcPr>
            <w:tcW w:w="1361" w:type="dxa"/>
            <w:vAlign w:val="center"/>
          </w:tcPr>
          <w:p>
            <w:pPr>
              <w:pStyle w:val="30"/>
            </w:pPr>
            <w:r>
              <w:t>4.20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265.24</w:t>
            </w:r>
          </w:p>
        </w:tc>
        <w:tc>
          <w:tcPr>
            <w:tcW w:w="1361" w:type="dxa"/>
            <w:vAlign w:val="center"/>
          </w:tcPr>
          <w:p>
            <w:pPr>
              <w:pStyle w:val="28"/>
            </w:pPr>
            <w:r>
              <w:t>261.04</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219.84</w:t>
            </w:r>
          </w:p>
        </w:tc>
        <w:tc>
          <w:tcPr>
            <w:tcW w:w="1361" w:type="dxa"/>
            <w:vAlign w:val="center"/>
          </w:tcPr>
          <w:p>
            <w:pPr>
              <w:pStyle w:val="28"/>
            </w:pPr>
            <w:r>
              <w:t>215.64</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2080101</w:t>
            </w:r>
          </w:p>
        </w:tc>
        <w:tc>
          <w:tcPr>
            <w:tcW w:w="4535" w:type="dxa"/>
            <w:vAlign w:val="center"/>
          </w:tcPr>
          <w:p>
            <w:pPr>
              <w:pStyle w:val="27"/>
            </w:pPr>
            <w:r>
              <w:t>行政运行</w:t>
            </w:r>
          </w:p>
        </w:tc>
        <w:tc>
          <w:tcPr>
            <w:tcW w:w="1361" w:type="dxa"/>
            <w:vAlign w:val="center"/>
          </w:tcPr>
          <w:p>
            <w:pPr>
              <w:pStyle w:val="28"/>
            </w:pPr>
            <w:r>
              <w:t>215.64</w:t>
            </w:r>
          </w:p>
        </w:tc>
        <w:tc>
          <w:tcPr>
            <w:tcW w:w="1361" w:type="dxa"/>
            <w:vAlign w:val="center"/>
          </w:tcPr>
          <w:p>
            <w:pPr>
              <w:pStyle w:val="28"/>
            </w:pPr>
            <w:r>
              <w:t>215.64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2080106</w:t>
            </w:r>
          </w:p>
        </w:tc>
        <w:tc>
          <w:tcPr>
            <w:tcW w:w="4535" w:type="dxa"/>
            <w:vAlign w:val="center"/>
          </w:tcPr>
          <w:p>
            <w:pPr>
              <w:pStyle w:val="27"/>
            </w:pPr>
            <w:r>
              <w:t>就业管理事务</w:t>
            </w: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r>
              <w:t>4.20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45.40</w:t>
            </w:r>
          </w:p>
        </w:tc>
        <w:tc>
          <w:tcPr>
            <w:tcW w:w="1361" w:type="dxa"/>
            <w:vAlign w:val="center"/>
          </w:tcPr>
          <w:p>
            <w:pPr>
              <w:pStyle w:val="28"/>
            </w:pPr>
            <w:r>
              <w:t>45.40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2080502</w:t>
            </w:r>
          </w:p>
        </w:tc>
        <w:tc>
          <w:tcPr>
            <w:tcW w:w="4535" w:type="dxa"/>
            <w:vAlign w:val="center"/>
          </w:tcPr>
          <w:p>
            <w:pPr>
              <w:pStyle w:val="27"/>
            </w:pPr>
            <w:r>
              <w:t>事业单位离退休</w:t>
            </w:r>
          </w:p>
        </w:tc>
        <w:tc>
          <w:tcPr>
            <w:tcW w:w="1361" w:type="dxa"/>
            <w:vAlign w:val="center"/>
          </w:tcPr>
          <w:p>
            <w:pPr>
              <w:pStyle w:val="28"/>
            </w:pPr>
            <w:r>
              <w:t>18.22</w:t>
            </w:r>
          </w:p>
        </w:tc>
        <w:tc>
          <w:tcPr>
            <w:tcW w:w="1361" w:type="dxa"/>
            <w:vAlign w:val="center"/>
          </w:tcPr>
          <w:p>
            <w:pPr>
              <w:pStyle w:val="28"/>
            </w:pPr>
            <w:r>
              <w:t>18.22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27.18</w:t>
            </w:r>
          </w:p>
        </w:tc>
        <w:tc>
          <w:tcPr>
            <w:tcW w:w="1361" w:type="dxa"/>
            <w:vAlign w:val="center"/>
          </w:tcPr>
          <w:p>
            <w:pPr>
              <w:pStyle w:val="28"/>
            </w:pPr>
            <w:r>
              <w:t>27.18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25.91</w:t>
            </w:r>
          </w:p>
        </w:tc>
        <w:tc>
          <w:tcPr>
            <w:tcW w:w="1361" w:type="dxa"/>
            <w:vAlign w:val="center"/>
          </w:tcPr>
          <w:p>
            <w:pPr>
              <w:pStyle w:val="28"/>
            </w:pPr>
            <w:r>
              <w:t>25.91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25.91</w:t>
            </w:r>
          </w:p>
        </w:tc>
        <w:tc>
          <w:tcPr>
            <w:tcW w:w="1361" w:type="dxa"/>
            <w:vAlign w:val="center"/>
          </w:tcPr>
          <w:p>
            <w:pPr>
              <w:pStyle w:val="28"/>
            </w:pPr>
            <w:r>
              <w:t>25.91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2101102</w:t>
            </w:r>
          </w:p>
        </w:tc>
        <w:tc>
          <w:tcPr>
            <w:tcW w:w="4535" w:type="dxa"/>
            <w:vAlign w:val="center"/>
          </w:tcPr>
          <w:p>
            <w:pPr>
              <w:pStyle w:val="27"/>
            </w:pPr>
            <w:r>
              <w:t>事业单位医疗</w:t>
            </w:r>
          </w:p>
        </w:tc>
        <w:tc>
          <w:tcPr>
            <w:tcW w:w="1361" w:type="dxa"/>
            <w:vAlign w:val="center"/>
          </w:tcPr>
          <w:p>
            <w:pPr>
              <w:pStyle w:val="28"/>
            </w:pPr>
            <w:r>
              <w:t>12.32</w:t>
            </w:r>
          </w:p>
        </w:tc>
        <w:tc>
          <w:tcPr>
            <w:tcW w:w="1361" w:type="dxa"/>
            <w:vAlign w:val="center"/>
          </w:tcPr>
          <w:p>
            <w:pPr>
              <w:pStyle w:val="28"/>
            </w:pPr>
            <w:r>
              <w:t>12.32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13.59</w:t>
            </w:r>
          </w:p>
        </w:tc>
        <w:tc>
          <w:tcPr>
            <w:tcW w:w="1361" w:type="dxa"/>
            <w:vAlign w:val="center"/>
          </w:tcPr>
          <w:p>
            <w:pPr>
              <w:pStyle w:val="28"/>
            </w:pPr>
            <w:r>
              <w:t>13.59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20.49</w:t>
            </w:r>
          </w:p>
        </w:tc>
        <w:tc>
          <w:tcPr>
            <w:tcW w:w="1361" w:type="dxa"/>
            <w:vAlign w:val="center"/>
          </w:tcPr>
          <w:p>
            <w:pPr>
              <w:pStyle w:val="28"/>
            </w:pPr>
            <w:r>
              <w:t>20.49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311.64</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265.24</w:t>
            </w:r>
          </w:p>
        </w:tc>
        <w:tc>
          <w:tcPr>
            <w:tcW w:w="1474" w:type="dxa"/>
            <w:vAlign w:val="center"/>
          </w:tcPr>
          <w:p>
            <w:pPr>
              <w:pStyle w:val="28"/>
            </w:pPr>
            <w:r>
              <w:t>265.24</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25.91</w:t>
            </w:r>
          </w:p>
        </w:tc>
        <w:tc>
          <w:tcPr>
            <w:tcW w:w="1474" w:type="dxa"/>
            <w:vAlign w:val="center"/>
          </w:tcPr>
          <w:p>
            <w:pPr>
              <w:pStyle w:val="28"/>
            </w:pPr>
            <w:r>
              <w:t>25.91</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20.49</w:t>
            </w:r>
          </w:p>
        </w:tc>
        <w:tc>
          <w:tcPr>
            <w:tcW w:w="1474" w:type="dxa"/>
            <w:vAlign w:val="center"/>
          </w:tcPr>
          <w:p>
            <w:pPr>
              <w:pStyle w:val="28"/>
            </w:pPr>
            <w:r>
              <w:t>20.49</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311.64</w:t>
            </w:r>
          </w:p>
        </w:tc>
        <w:tc>
          <w:tcPr>
            <w:tcW w:w="3402" w:type="dxa"/>
            <w:vAlign w:val="center"/>
          </w:tcPr>
          <w:p>
            <w:pPr>
              <w:pStyle w:val="29"/>
            </w:pPr>
            <w:r>
              <w:t>本年支出合计</w:t>
            </w:r>
          </w:p>
        </w:tc>
        <w:tc>
          <w:tcPr>
            <w:tcW w:w="1474" w:type="dxa"/>
            <w:vAlign w:val="center"/>
          </w:tcPr>
          <w:p>
            <w:pPr>
              <w:pStyle w:val="30"/>
            </w:pPr>
            <w:r>
              <w:t>311.64</w:t>
            </w:r>
          </w:p>
        </w:tc>
        <w:tc>
          <w:tcPr>
            <w:tcW w:w="1474" w:type="dxa"/>
            <w:vAlign w:val="center"/>
          </w:tcPr>
          <w:p>
            <w:pPr>
              <w:pStyle w:val="30"/>
            </w:pPr>
            <w:r>
              <w:t>311.64</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311.64</w:t>
            </w:r>
          </w:p>
        </w:tc>
        <w:tc>
          <w:tcPr>
            <w:tcW w:w="3402" w:type="dxa"/>
            <w:vAlign w:val="center"/>
          </w:tcPr>
          <w:p>
            <w:pPr>
              <w:pStyle w:val="29"/>
            </w:pPr>
            <w:r>
              <w:t>支出总计</w:t>
            </w:r>
          </w:p>
        </w:tc>
        <w:tc>
          <w:tcPr>
            <w:tcW w:w="1474" w:type="dxa"/>
            <w:vAlign w:val="center"/>
          </w:tcPr>
          <w:p>
            <w:pPr>
              <w:pStyle w:val="30"/>
            </w:pPr>
            <w:r>
              <w:t>311.64</w:t>
            </w:r>
          </w:p>
        </w:tc>
        <w:tc>
          <w:tcPr>
            <w:tcW w:w="1474" w:type="dxa"/>
            <w:vAlign w:val="center"/>
          </w:tcPr>
          <w:p>
            <w:pPr>
              <w:pStyle w:val="30"/>
            </w:pPr>
            <w:r>
              <w:t>311.64</w:t>
            </w:r>
          </w:p>
        </w:tc>
        <w:tc>
          <w:tcPr>
            <w:tcW w:w="1474" w:type="dxa"/>
            <w:vAlign w:val="center"/>
          </w:tcPr>
          <w:p>
            <w:pPr>
              <w:pStyle w:val="30"/>
            </w:pPr>
          </w:p>
        </w:tc>
        <w:tc>
          <w:tcPr>
            <w:tcW w:w="1474" w:type="dxa"/>
            <w:vAlign w:val="center"/>
          </w:tcPr>
          <w:p>
            <w:pPr>
              <w:pStyle w:val="3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311.64</w:t>
            </w:r>
          </w:p>
        </w:tc>
        <w:tc>
          <w:tcPr>
            <w:tcW w:w="2551" w:type="dxa"/>
            <w:vAlign w:val="center"/>
          </w:tcPr>
          <w:p>
            <w:pPr>
              <w:pStyle w:val="30"/>
            </w:pPr>
            <w:r>
              <w:t>307.44</w:t>
            </w:r>
          </w:p>
        </w:tc>
        <w:tc>
          <w:tcPr>
            <w:tcW w:w="2551" w:type="dxa"/>
            <w:vAlign w:val="center"/>
          </w:tcPr>
          <w:p>
            <w:pPr>
              <w:pStyle w:val="30"/>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265.24</w:t>
            </w:r>
          </w:p>
        </w:tc>
        <w:tc>
          <w:tcPr>
            <w:tcW w:w="2551" w:type="dxa"/>
            <w:vAlign w:val="center"/>
          </w:tcPr>
          <w:p>
            <w:pPr>
              <w:pStyle w:val="28"/>
            </w:pPr>
            <w:r>
              <w:t>261.04</w:t>
            </w: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219.84</w:t>
            </w:r>
          </w:p>
        </w:tc>
        <w:tc>
          <w:tcPr>
            <w:tcW w:w="2551" w:type="dxa"/>
            <w:vAlign w:val="center"/>
          </w:tcPr>
          <w:p>
            <w:pPr>
              <w:pStyle w:val="28"/>
            </w:pPr>
            <w:r>
              <w:t>215.64</w:t>
            </w: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2080101</w:t>
            </w:r>
          </w:p>
        </w:tc>
        <w:tc>
          <w:tcPr>
            <w:tcW w:w="4535" w:type="dxa"/>
            <w:vAlign w:val="center"/>
          </w:tcPr>
          <w:p>
            <w:pPr>
              <w:pStyle w:val="27"/>
            </w:pPr>
            <w:r>
              <w:t>行政运行</w:t>
            </w:r>
          </w:p>
        </w:tc>
        <w:tc>
          <w:tcPr>
            <w:tcW w:w="2551" w:type="dxa"/>
            <w:vAlign w:val="center"/>
          </w:tcPr>
          <w:p>
            <w:pPr>
              <w:pStyle w:val="28"/>
            </w:pPr>
            <w:r>
              <w:t>215.64</w:t>
            </w:r>
          </w:p>
        </w:tc>
        <w:tc>
          <w:tcPr>
            <w:tcW w:w="2551" w:type="dxa"/>
            <w:vAlign w:val="center"/>
          </w:tcPr>
          <w:p>
            <w:pPr>
              <w:pStyle w:val="28"/>
            </w:pPr>
            <w:r>
              <w:t>215.64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2080106</w:t>
            </w:r>
          </w:p>
        </w:tc>
        <w:tc>
          <w:tcPr>
            <w:tcW w:w="4535" w:type="dxa"/>
            <w:vAlign w:val="center"/>
          </w:tcPr>
          <w:p>
            <w:pPr>
              <w:pStyle w:val="27"/>
            </w:pPr>
            <w:r>
              <w:t>就业管理事务</w:t>
            </w:r>
          </w:p>
        </w:tc>
        <w:tc>
          <w:tcPr>
            <w:tcW w:w="2551" w:type="dxa"/>
            <w:vAlign w:val="center"/>
          </w:tcPr>
          <w:p>
            <w:pPr>
              <w:pStyle w:val="28"/>
            </w:pPr>
            <w:r>
              <w:t>4.20</w:t>
            </w:r>
          </w:p>
        </w:tc>
        <w:tc>
          <w:tcPr>
            <w:tcW w:w="2551" w:type="dxa"/>
            <w:vAlign w:val="center"/>
          </w:tcPr>
          <w:p>
            <w:pPr>
              <w:pStyle w:val="28"/>
            </w:pPr>
          </w:p>
        </w:tc>
        <w:tc>
          <w:tcPr>
            <w:tcW w:w="2551" w:type="dxa"/>
            <w:vAlign w:val="center"/>
          </w:tcPr>
          <w:p>
            <w:pPr>
              <w:pStyle w:val="28"/>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45.40</w:t>
            </w:r>
          </w:p>
        </w:tc>
        <w:tc>
          <w:tcPr>
            <w:tcW w:w="2551" w:type="dxa"/>
            <w:vAlign w:val="center"/>
          </w:tcPr>
          <w:p>
            <w:pPr>
              <w:pStyle w:val="28"/>
            </w:pPr>
            <w:r>
              <w:t>45.40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2080502</w:t>
            </w:r>
          </w:p>
        </w:tc>
        <w:tc>
          <w:tcPr>
            <w:tcW w:w="4535" w:type="dxa"/>
            <w:vAlign w:val="center"/>
          </w:tcPr>
          <w:p>
            <w:pPr>
              <w:pStyle w:val="27"/>
            </w:pPr>
            <w:r>
              <w:t>事业单位离退休</w:t>
            </w:r>
          </w:p>
        </w:tc>
        <w:tc>
          <w:tcPr>
            <w:tcW w:w="2551" w:type="dxa"/>
            <w:vAlign w:val="center"/>
          </w:tcPr>
          <w:p>
            <w:pPr>
              <w:pStyle w:val="28"/>
            </w:pPr>
            <w:r>
              <w:t>18.22</w:t>
            </w:r>
          </w:p>
        </w:tc>
        <w:tc>
          <w:tcPr>
            <w:tcW w:w="2551" w:type="dxa"/>
            <w:vAlign w:val="center"/>
          </w:tcPr>
          <w:p>
            <w:pPr>
              <w:pStyle w:val="28"/>
            </w:pPr>
            <w:r>
              <w:t>18.22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27.18</w:t>
            </w:r>
          </w:p>
        </w:tc>
        <w:tc>
          <w:tcPr>
            <w:tcW w:w="2551" w:type="dxa"/>
            <w:vAlign w:val="center"/>
          </w:tcPr>
          <w:p>
            <w:pPr>
              <w:pStyle w:val="28"/>
            </w:pPr>
            <w:r>
              <w:t>27.18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25.91</w:t>
            </w:r>
          </w:p>
        </w:tc>
        <w:tc>
          <w:tcPr>
            <w:tcW w:w="2551" w:type="dxa"/>
            <w:vAlign w:val="center"/>
          </w:tcPr>
          <w:p>
            <w:pPr>
              <w:pStyle w:val="28"/>
            </w:pPr>
            <w:r>
              <w:t>25.91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25.91</w:t>
            </w:r>
          </w:p>
        </w:tc>
        <w:tc>
          <w:tcPr>
            <w:tcW w:w="2551" w:type="dxa"/>
            <w:vAlign w:val="center"/>
          </w:tcPr>
          <w:p>
            <w:pPr>
              <w:pStyle w:val="28"/>
            </w:pPr>
            <w:r>
              <w:t>25.91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2101102</w:t>
            </w:r>
          </w:p>
        </w:tc>
        <w:tc>
          <w:tcPr>
            <w:tcW w:w="4535" w:type="dxa"/>
            <w:vAlign w:val="center"/>
          </w:tcPr>
          <w:p>
            <w:pPr>
              <w:pStyle w:val="27"/>
            </w:pPr>
            <w:r>
              <w:t>事业单位医疗</w:t>
            </w:r>
          </w:p>
        </w:tc>
        <w:tc>
          <w:tcPr>
            <w:tcW w:w="2551" w:type="dxa"/>
            <w:vAlign w:val="center"/>
          </w:tcPr>
          <w:p>
            <w:pPr>
              <w:pStyle w:val="28"/>
            </w:pPr>
            <w:r>
              <w:t>12.32</w:t>
            </w:r>
          </w:p>
        </w:tc>
        <w:tc>
          <w:tcPr>
            <w:tcW w:w="2551" w:type="dxa"/>
            <w:vAlign w:val="center"/>
          </w:tcPr>
          <w:p>
            <w:pPr>
              <w:pStyle w:val="28"/>
            </w:pPr>
            <w:r>
              <w:t>12.32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13.59</w:t>
            </w:r>
          </w:p>
        </w:tc>
        <w:tc>
          <w:tcPr>
            <w:tcW w:w="2551" w:type="dxa"/>
            <w:vAlign w:val="center"/>
          </w:tcPr>
          <w:p>
            <w:pPr>
              <w:pStyle w:val="28"/>
            </w:pPr>
            <w:r>
              <w:t>13.59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307.44</w:t>
            </w:r>
          </w:p>
        </w:tc>
        <w:tc>
          <w:tcPr>
            <w:tcW w:w="2551" w:type="dxa"/>
            <w:vAlign w:val="center"/>
          </w:tcPr>
          <w:p>
            <w:pPr>
              <w:pStyle w:val="30"/>
            </w:pPr>
            <w:r>
              <w:t>274.06</w:t>
            </w:r>
          </w:p>
        </w:tc>
        <w:tc>
          <w:tcPr>
            <w:tcW w:w="2551" w:type="dxa"/>
            <w:vAlign w:val="center"/>
          </w:tcPr>
          <w:p>
            <w:pPr>
              <w:pStyle w:val="30"/>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255.53</w:t>
            </w:r>
          </w:p>
        </w:tc>
        <w:tc>
          <w:tcPr>
            <w:tcW w:w="2551" w:type="dxa"/>
            <w:vAlign w:val="center"/>
          </w:tcPr>
          <w:p>
            <w:pPr>
              <w:pStyle w:val="28"/>
            </w:pPr>
            <w:r>
              <w:t>255.53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84.63</w:t>
            </w:r>
          </w:p>
        </w:tc>
        <w:tc>
          <w:tcPr>
            <w:tcW w:w="2551" w:type="dxa"/>
            <w:vAlign w:val="center"/>
          </w:tcPr>
          <w:p>
            <w:pPr>
              <w:pStyle w:val="28"/>
            </w:pPr>
            <w:r>
              <w:t>84.63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88.52</w:t>
            </w:r>
          </w:p>
        </w:tc>
        <w:tc>
          <w:tcPr>
            <w:tcW w:w="2551" w:type="dxa"/>
            <w:vAlign w:val="center"/>
          </w:tcPr>
          <w:p>
            <w:pPr>
              <w:pStyle w:val="28"/>
            </w:pPr>
            <w:r>
              <w:t>88.52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6.41</w:t>
            </w:r>
          </w:p>
        </w:tc>
        <w:tc>
          <w:tcPr>
            <w:tcW w:w="2551" w:type="dxa"/>
            <w:vAlign w:val="center"/>
          </w:tcPr>
          <w:p>
            <w:pPr>
              <w:pStyle w:val="28"/>
            </w:pPr>
            <w:r>
              <w:t>6.41</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27.18</w:t>
            </w:r>
          </w:p>
        </w:tc>
        <w:tc>
          <w:tcPr>
            <w:tcW w:w="2551" w:type="dxa"/>
            <w:vAlign w:val="center"/>
          </w:tcPr>
          <w:p>
            <w:pPr>
              <w:pStyle w:val="28"/>
            </w:pPr>
            <w:r>
              <w:t>27.18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12.32</w:t>
            </w:r>
          </w:p>
        </w:tc>
        <w:tc>
          <w:tcPr>
            <w:tcW w:w="2551" w:type="dxa"/>
            <w:vAlign w:val="center"/>
          </w:tcPr>
          <w:p>
            <w:pPr>
              <w:pStyle w:val="28"/>
            </w:pPr>
            <w:r>
              <w:t>12.32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13.59</w:t>
            </w:r>
          </w:p>
        </w:tc>
        <w:tc>
          <w:tcPr>
            <w:tcW w:w="2551" w:type="dxa"/>
            <w:vAlign w:val="center"/>
          </w:tcPr>
          <w:p>
            <w:pPr>
              <w:pStyle w:val="28"/>
            </w:pPr>
            <w:r>
              <w:t>13.59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2.39</w:t>
            </w:r>
          </w:p>
        </w:tc>
        <w:tc>
          <w:tcPr>
            <w:tcW w:w="2551" w:type="dxa"/>
            <w:vAlign w:val="center"/>
          </w:tcPr>
          <w:p>
            <w:pPr>
              <w:pStyle w:val="28"/>
            </w:pPr>
            <w:r>
              <w:t>2.39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20.49</w:t>
            </w:r>
          </w:p>
        </w:tc>
        <w:tc>
          <w:tcPr>
            <w:tcW w:w="2551" w:type="dxa"/>
            <w:vAlign w:val="center"/>
          </w:tcPr>
          <w:p>
            <w:pPr>
              <w:pStyle w:val="28"/>
            </w:pPr>
            <w:r>
              <w:t>20.49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33.38</w:t>
            </w:r>
          </w:p>
        </w:tc>
        <w:tc>
          <w:tcPr>
            <w:tcW w:w="2551" w:type="dxa"/>
            <w:vAlign w:val="center"/>
          </w:tcPr>
          <w:p>
            <w:pPr>
              <w:pStyle w:val="28"/>
            </w:pPr>
          </w:p>
        </w:tc>
        <w:tc>
          <w:tcPr>
            <w:tcW w:w="2551" w:type="dxa"/>
            <w:vAlign w:val="center"/>
          </w:tcPr>
          <w:p>
            <w:pPr>
              <w:pStyle w:val="28"/>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4.36</w:t>
            </w:r>
          </w:p>
        </w:tc>
        <w:tc>
          <w:tcPr>
            <w:tcW w:w="2551" w:type="dxa"/>
            <w:vAlign w:val="center"/>
          </w:tcPr>
          <w:p>
            <w:pPr>
              <w:pStyle w:val="28"/>
            </w:pPr>
          </w:p>
        </w:tc>
        <w:tc>
          <w:tcPr>
            <w:tcW w:w="2551" w:type="dxa"/>
            <w:vAlign w:val="center"/>
          </w:tcPr>
          <w:p>
            <w:pPr>
              <w:pStyle w:val="28"/>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9.90</w:t>
            </w:r>
          </w:p>
        </w:tc>
        <w:tc>
          <w:tcPr>
            <w:tcW w:w="2551" w:type="dxa"/>
            <w:vAlign w:val="center"/>
          </w:tcPr>
          <w:p>
            <w:pPr>
              <w:pStyle w:val="28"/>
            </w:pPr>
          </w:p>
        </w:tc>
        <w:tc>
          <w:tcPr>
            <w:tcW w:w="2551" w:type="dxa"/>
            <w:vAlign w:val="center"/>
          </w:tcPr>
          <w:p>
            <w:pPr>
              <w:pStyle w:val="28"/>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0.50</w:t>
            </w:r>
          </w:p>
        </w:tc>
        <w:tc>
          <w:tcPr>
            <w:tcW w:w="2551" w:type="dxa"/>
            <w:vAlign w:val="center"/>
          </w:tcPr>
          <w:p>
            <w:pPr>
              <w:pStyle w:val="28"/>
            </w:pPr>
          </w:p>
        </w:tc>
        <w:tc>
          <w:tcPr>
            <w:tcW w:w="2551" w:type="dxa"/>
            <w:vAlign w:val="center"/>
          </w:tcPr>
          <w:p>
            <w:pPr>
              <w:pStyle w:val="2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0.50</w:t>
            </w:r>
          </w:p>
        </w:tc>
        <w:tc>
          <w:tcPr>
            <w:tcW w:w="2551" w:type="dxa"/>
            <w:vAlign w:val="center"/>
          </w:tcPr>
          <w:p>
            <w:pPr>
              <w:pStyle w:val="28"/>
            </w:pPr>
          </w:p>
        </w:tc>
        <w:tc>
          <w:tcPr>
            <w:tcW w:w="2551" w:type="dxa"/>
            <w:vAlign w:val="center"/>
          </w:tcPr>
          <w:p>
            <w:pPr>
              <w:pStyle w:val="2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0.30</w:t>
            </w:r>
          </w:p>
        </w:tc>
        <w:tc>
          <w:tcPr>
            <w:tcW w:w="2551" w:type="dxa"/>
            <w:vAlign w:val="center"/>
          </w:tcPr>
          <w:p>
            <w:pPr>
              <w:pStyle w:val="28"/>
            </w:pPr>
          </w:p>
        </w:tc>
        <w:tc>
          <w:tcPr>
            <w:tcW w:w="2551" w:type="dxa"/>
            <w:vAlign w:val="center"/>
          </w:tcPr>
          <w:p>
            <w:pPr>
              <w:pStyle w:val="2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3.45</w:t>
            </w:r>
          </w:p>
        </w:tc>
        <w:tc>
          <w:tcPr>
            <w:tcW w:w="2551" w:type="dxa"/>
            <w:vAlign w:val="center"/>
          </w:tcPr>
          <w:p>
            <w:pPr>
              <w:pStyle w:val="28"/>
            </w:pPr>
          </w:p>
        </w:tc>
        <w:tc>
          <w:tcPr>
            <w:tcW w:w="2551" w:type="dxa"/>
            <w:vAlign w:val="center"/>
          </w:tcPr>
          <w:p>
            <w:pPr>
              <w:pStyle w:val="28"/>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1.93</w:t>
            </w:r>
          </w:p>
        </w:tc>
        <w:tc>
          <w:tcPr>
            <w:tcW w:w="2551" w:type="dxa"/>
            <w:vAlign w:val="center"/>
          </w:tcPr>
          <w:p>
            <w:pPr>
              <w:pStyle w:val="28"/>
            </w:pPr>
          </w:p>
        </w:tc>
        <w:tc>
          <w:tcPr>
            <w:tcW w:w="2551" w:type="dxa"/>
            <w:vAlign w:val="center"/>
          </w:tcPr>
          <w:p>
            <w:pPr>
              <w:pStyle w:val="28"/>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11.62</w:t>
            </w:r>
          </w:p>
        </w:tc>
        <w:tc>
          <w:tcPr>
            <w:tcW w:w="2551" w:type="dxa"/>
            <w:vAlign w:val="center"/>
          </w:tcPr>
          <w:p>
            <w:pPr>
              <w:pStyle w:val="28"/>
            </w:pPr>
          </w:p>
        </w:tc>
        <w:tc>
          <w:tcPr>
            <w:tcW w:w="2551" w:type="dxa"/>
            <w:vAlign w:val="center"/>
          </w:tcPr>
          <w:p>
            <w:pPr>
              <w:pStyle w:val="28"/>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0.82</w:t>
            </w:r>
          </w:p>
        </w:tc>
        <w:tc>
          <w:tcPr>
            <w:tcW w:w="2551" w:type="dxa"/>
            <w:vAlign w:val="center"/>
          </w:tcPr>
          <w:p>
            <w:pPr>
              <w:pStyle w:val="28"/>
            </w:pPr>
          </w:p>
        </w:tc>
        <w:tc>
          <w:tcPr>
            <w:tcW w:w="2551" w:type="dxa"/>
            <w:vAlign w:val="center"/>
          </w:tcPr>
          <w:p>
            <w:pPr>
              <w:pStyle w:val="28"/>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18.53</w:t>
            </w:r>
          </w:p>
        </w:tc>
        <w:tc>
          <w:tcPr>
            <w:tcW w:w="2551" w:type="dxa"/>
            <w:vAlign w:val="center"/>
          </w:tcPr>
          <w:p>
            <w:pPr>
              <w:pStyle w:val="28"/>
            </w:pPr>
            <w:r>
              <w:t>18.53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18.22</w:t>
            </w:r>
          </w:p>
        </w:tc>
        <w:tc>
          <w:tcPr>
            <w:tcW w:w="2551" w:type="dxa"/>
            <w:vAlign w:val="center"/>
          </w:tcPr>
          <w:p>
            <w:pPr>
              <w:pStyle w:val="28"/>
            </w:pPr>
            <w:r>
              <w:t>18.22</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0.31</w:t>
            </w:r>
          </w:p>
        </w:tc>
        <w:tc>
          <w:tcPr>
            <w:tcW w:w="2551" w:type="dxa"/>
            <w:vAlign w:val="center"/>
          </w:tcPr>
          <w:p>
            <w:pPr>
              <w:pStyle w:val="28"/>
            </w:pPr>
            <w:r>
              <w:t>0.31</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0.80</w:t>
            </w:r>
          </w:p>
        </w:tc>
        <w:tc>
          <w:tcPr>
            <w:tcW w:w="2381" w:type="dxa"/>
            <w:vAlign w:val="center"/>
          </w:tcPr>
          <w:p>
            <w:pPr>
              <w:pStyle w:val="30"/>
            </w:pPr>
            <w:r>
              <w:t>0.80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0.30</w:t>
            </w:r>
          </w:p>
        </w:tc>
        <w:tc>
          <w:tcPr>
            <w:tcW w:w="2381" w:type="dxa"/>
            <w:vAlign w:val="center"/>
          </w:tcPr>
          <w:p>
            <w:pPr>
              <w:pStyle w:val="28"/>
            </w:pPr>
            <w:r>
              <w:t>0.30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0.30</w:t>
            </w:r>
          </w:p>
        </w:tc>
        <w:tc>
          <w:tcPr>
            <w:tcW w:w="2381" w:type="dxa"/>
            <w:vAlign w:val="center"/>
          </w:tcPr>
          <w:p>
            <w:pPr>
              <w:pStyle w:val="28"/>
            </w:pPr>
            <w:r>
              <w:t>0.30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0.50</w:t>
            </w:r>
          </w:p>
        </w:tc>
        <w:tc>
          <w:tcPr>
            <w:tcW w:w="2381" w:type="dxa"/>
            <w:vAlign w:val="center"/>
          </w:tcPr>
          <w:p>
            <w:pPr>
              <w:pStyle w:val="28"/>
            </w:pPr>
            <w:r>
              <w:t>0.50</w:t>
            </w:r>
          </w:p>
        </w:tc>
        <w:tc>
          <w:tcPr>
            <w:tcW w:w="2381" w:type="dxa"/>
            <w:vAlign w:val="center"/>
          </w:tcPr>
          <w:p>
            <w:pPr>
              <w:pStyle w:val="28"/>
            </w:pPr>
          </w:p>
        </w:tc>
        <w:tc>
          <w:tcPr>
            <w:tcW w:w="2381" w:type="dxa"/>
            <w:vAlign w:val="center"/>
          </w:tcPr>
          <w:p>
            <w:pPr>
              <w:pStyle w:val="2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唐山市丰南区就业服务中心本级2022年单位预算信息公开情况说明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按照《预算法》、《地方预决算公开操作规程》和《关于进一步推进预算公开工作的实施意见》规定，现将唐山市丰南区就业服务中心本级2022年单位预算公开如下：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2"/>
      </w:pPr>
      <w:r>
        <w:t>1、负责辖区内劳动力就业统筹规划和管理。负责下岗失业人员统一管理以及国家内外劳务输出和境外人员来唐就业的管理。</w:t>
      </w:r>
    </w:p>
    <w:p>
      <w:pPr>
        <w:pStyle w:val="32"/>
      </w:pPr>
      <w:r>
        <w:t>2、负责城乡新生劳动力就业、创业培训，负责下岗职工、失业人员的转业转岗培训。</w:t>
      </w:r>
    </w:p>
    <w:p>
      <w:pPr>
        <w:pStyle w:val="32"/>
      </w:pPr>
      <w:r>
        <w:t>3、负责就业指导、职业介绍、劳动人事代理、劳务派遣管理。</w:t>
      </w:r>
    </w:p>
    <w:p>
      <w:pPr>
        <w:pStyle w:val="32"/>
      </w:pPr>
      <w:r>
        <w:t>4、负责全区劳动就业服务企业综合管理。</w:t>
      </w:r>
    </w:p>
    <w:p>
      <w:pPr>
        <w:pStyle w:val="32"/>
      </w:pPr>
      <w:r>
        <w:t>5、会同有关部门对下岗职工、失业人员从事个体经营和合伙就业的服务型企业、社区就业实体各项优惠政策的落实、考核工作。</w:t>
      </w:r>
    </w:p>
    <w:p>
      <w:pPr>
        <w:pStyle w:val="32"/>
      </w:pPr>
      <w:r>
        <w:t>6、负责全区失业人员管理，职业介绍补贴资金和培训补贴资金的管理工作，负责下岗职工基本生活费、失业人员失业救济金的管理工作。</w:t>
      </w:r>
    </w:p>
    <w:p>
      <w:pPr>
        <w:pStyle w:val="32"/>
      </w:pPr>
      <w:r>
        <w:t>7、负责就业信息网络建设及用工信息采集、整理和发布。</w:t>
      </w:r>
    </w:p>
    <w:p>
      <w:pPr>
        <w:pStyle w:val="32"/>
      </w:pPr>
      <w:r>
        <w:t>8、指导各街道、区直单位和企业的就业服务工作进行统计并提供咨询服务等公益服务职能。</w:t>
      </w:r>
    </w:p>
    <w:p>
      <w:pPr>
        <w:pStyle w:val="3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唐山市丰南区就业服务中心本级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311.64</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274.06</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33.38</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4.2</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10.52</w:t>
      </w:r>
      <w:r>
        <w:rPr>
          <w:rFonts w:hint="eastAsia" w:ascii="Times New Roman" w:eastAsia="方正仿宋_GBK"/>
          <w:color w:val="000000" w:themeColor="text1"/>
          <w:sz w:val="28"/>
        </w:rPr>
        <w:t>万元，其中：人员经费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9.9</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rPr>
        <w:t>0.62</w:t>
      </w:r>
      <w:r>
        <w:rPr>
          <w:rFonts w:hint="eastAsia" w:ascii="Times New Roman" w:eastAsia="方正仿宋_GBK"/>
          <w:color w:val="000000" w:themeColor="text1"/>
          <w:sz w:val="28"/>
        </w:rPr>
        <w:t>万元，项目经费</w:t>
      </w:r>
      <w:r>
        <w:rPr>
          <w:rFonts w:hint="eastAsia" w:ascii="Times New Roman" w:eastAsia="方正仿宋_GBK"/>
          <w:color w:val="auto"/>
          <w:sz w:val="28"/>
        </w:rPr>
        <w:t>无增减变化</w:t>
      </w:r>
      <w:r>
        <w:rPr>
          <w:rFonts w:hint="eastAsia" w:ascii="Times New Roman" w:eastAsia="方正仿宋_GBK"/>
          <w:color w:val="000000" w:themeColor="text1"/>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9"/>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37.58</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办公及印刷费、邮电费、差旅费、工会费、福利费、移动通讯补贴、交通补贴及其他费用</w:t>
      </w:r>
      <w:r>
        <w:rPr>
          <w:rFonts w:hint="eastAsia" w:ascii="Times New Roman" w:eastAsia="方正仿宋_GBK"/>
          <w:color w:val="000000" w:themeColor="text1"/>
          <w:sz w:val="28"/>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0.8</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0.3</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黑体" w:hAnsi="黑体" w:eastAsia="黑体" w:cs="黑体"/>
          <w:color w:val="000000"/>
          <w:sz w:val="32"/>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0.5万元，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bookmarkStart w:id="28" w:name="_Toc19328"/>
      <w:r>
        <w:rPr>
          <w:rFonts w:hint="eastAsia" w:ascii="黑体" w:hAnsi="黑体" w:eastAsia="黑体"/>
          <w:color w:val="000000" w:themeColor="text1"/>
          <w:sz w:val="32"/>
        </w:rPr>
        <w:t>五、预算绩效信息</w:t>
      </w:r>
      <w:bookmarkEnd w:id="28"/>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 xml:space="preserve">第一部分 </w:t>
      </w:r>
      <w:r>
        <w:rPr>
          <w:rFonts w:hint="eastAsia" w:ascii="方正楷体_GBK" w:eastAsia="方正楷体_GBK"/>
          <w:b/>
          <w:color w:val="000000" w:themeColor="text1"/>
          <w:sz w:val="32"/>
          <w:lang w:eastAsia="zh-CN"/>
        </w:rPr>
        <w:t>单位</w:t>
      </w:r>
      <w:r>
        <w:rPr>
          <w:rFonts w:hint="eastAsia" w:ascii="方正楷体_GBK" w:eastAsia="方正楷体_GBK"/>
          <w:b/>
          <w:color w:val="000000" w:themeColor="text1"/>
          <w:sz w:val="32"/>
        </w:rPr>
        <w:t>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3"/>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4"/>
      </w:pPr>
      <w:r>
        <w:rPr>
          <w:rFonts w:hint="eastAsia"/>
          <w:lang w:val="en-US" w:eastAsia="zh-CN"/>
        </w:rPr>
        <w:t>1、</w:t>
      </w:r>
      <w:r>
        <w:t>负责中心工作事务正常运行，及档案管理，做好综合后勤保障。</w:t>
      </w:r>
    </w:p>
    <w:p>
      <w:pPr>
        <w:pStyle w:val="34"/>
      </w:pPr>
      <w:r>
        <w:t>绩效目标：确保中心工作事务正常运行，做好综合后勤保障及档案管理。</w:t>
      </w:r>
    </w:p>
    <w:p>
      <w:pPr>
        <w:pStyle w:val="34"/>
      </w:pPr>
      <w:r>
        <w:t>绩效指标：</w:t>
      </w:r>
    </w:p>
    <w:p>
      <w:pPr>
        <w:pStyle w:val="34"/>
      </w:pPr>
      <w:r>
        <w:t>政策宣传品发放率、档案规范管理率均达到百分之90以上</w:t>
      </w:r>
    </w:p>
    <w:p>
      <w:pPr>
        <w:pStyle w:val="34"/>
      </w:pPr>
      <w:r>
        <w:rPr>
          <w:rFonts w:hint="eastAsia"/>
          <w:lang w:val="en-US" w:eastAsia="zh-CN"/>
        </w:rPr>
        <w:t>2、</w:t>
      </w:r>
      <w:r>
        <w:t>促进高校毕业生、失业人员等在内的全体劳动者充分就业，保持就业形势的基本稳定。</w:t>
      </w:r>
    </w:p>
    <w:p>
      <w:pPr>
        <w:pStyle w:val="34"/>
      </w:pPr>
      <w:r>
        <w:rPr>
          <w:rFonts w:hint="eastAsia"/>
          <w:lang w:eastAsia="zh-CN"/>
        </w:rPr>
        <w:t>（</w:t>
      </w:r>
      <w:r>
        <w:rPr>
          <w:rFonts w:hint="eastAsia"/>
          <w:lang w:val="en-US" w:eastAsia="zh-CN"/>
        </w:rPr>
        <w:t>1</w:t>
      </w:r>
      <w:r>
        <w:rPr>
          <w:rFonts w:hint="eastAsia"/>
          <w:lang w:eastAsia="zh-CN"/>
        </w:rPr>
        <w:t>）</w:t>
      </w:r>
      <w:r>
        <w:t xml:space="preserve">.就业创业扶持政策实施     </w:t>
      </w:r>
    </w:p>
    <w:p>
      <w:pPr>
        <w:pStyle w:val="34"/>
      </w:pPr>
      <w:r>
        <w:t>绩效目标：健全公共就业服务体系，按照统一规划指导公共就业创业服务信息管理，实施免费的公共就业服务</w:t>
      </w:r>
    </w:p>
    <w:p>
      <w:pPr>
        <w:pStyle w:val="34"/>
      </w:pPr>
      <w:r>
        <w:t>绩效指标：</w:t>
      </w:r>
    </w:p>
    <w:p>
      <w:pPr>
        <w:pStyle w:val="34"/>
      </w:pPr>
      <w:r>
        <w:t>创业项目征集补贴、场地租金补贴、创业孵化基地各项补贴发放率达到百分之90以上</w:t>
      </w:r>
    </w:p>
    <w:p>
      <w:pPr>
        <w:pStyle w:val="34"/>
      </w:pPr>
      <w:r>
        <w:t>就业见习岗位征集数量达到180</w:t>
      </w:r>
    </w:p>
    <w:p>
      <w:pPr>
        <w:pStyle w:val="34"/>
      </w:pPr>
      <w:r>
        <w:rPr>
          <w:rFonts w:hint="eastAsia"/>
          <w:lang w:eastAsia="zh-CN"/>
        </w:rPr>
        <w:t>（</w:t>
      </w:r>
      <w:r>
        <w:rPr>
          <w:rFonts w:hint="eastAsia"/>
          <w:lang w:val="en-US" w:eastAsia="zh-CN"/>
        </w:rPr>
        <w:t>2</w:t>
      </w:r>
      <w:r>
        <w:rPr>
          <w:rFonts w:hint="eastAsia"/>
          <w:lang w:eastAsia="zh-CN"/>
        </w:rPr>
        <w:t>）</w:t>
      </w:r>
      <w:r>
        <w:t>.就业服务体系建设</w:t>
      </w:r>
    </w:p>
    <w:p>
      <w:pPr>
        <w:pStyle w:val="34"/>
      </w:pPr>
      <w:r>
        <w:t>绩效目标：建立健全职业指导、职业介绍、人力资源市场、开展人力资源服务、就业服务指导。实施免费的公共就业服务</w:t>
      </w:r>
    </w:p>
    <w:p>
      <w:pPr>
        <w:pStyle w:val="34"/>
      </w:pPr>
      <w:r>
        <w:t>绩效指标：</w:t>
      </w:r>
    </w:p>
    <w:p>
      <w:pPr>
        <w:pStyle w:val="34"/>
      </w:pPr>
      <w:r>
        <w:t>为需要提供服务的失业人员提供免费的就业服务指导次数、组织招聘会次数、征集参加招聘会企业家数达到要求</w:t>
      </w:r>
    </w:p>
    <w:p>
      <w:pPr>
        <w:pStyle w:val="34"/>
      </w:pPr>
      <w:r>
        <w:t>就业服务对象满意度、职业介绍满意度达到百分之80</w:t>
      </w:r>
    </w:p>
    <w:p>
      <w:pPr>
        <w:pStyle w:val="34"/>
      </w:pPr>
      <w:r>
        <w:rPr>
          <w:rFonts w:hint="eastAsia"/>
          <w:lang w:eastAsia="zh-CN"/>
        </w:rPr>
        <w:t>（</w:t>
      </w:r>
      <w:r>
        <w:rPr>
          <w:rFonts w:hint="eastAsia"/>
          <w:lang w:val="en-US" w:eastAsia="zh-CN"/>
        </w:rPr>
        <w:t>3</w:t>
      </w:r>
      <w:r>
        <w:rPr>
          <w:rFonts w:hint="eastAsia"/>
          <w:lang w:eastAsia="zh-CN"/>
        </w:rPr>
        <w:t>）</w:t>
      </w:r>
      <w:r>
        <w:t>.职业培训能力建设</w:t>
      </w:r>
    </w:p>
    <w:p>
      <w:pPr>
        <w:pStyle w:val="34"/>
      </w:pPr>
      <w:r>
        <w:t>绩效目标：落实职业劳动能力鉴定政策，按国家和区政府要求推动职业能力建设，开展职业培训能力建设相关工作。提高劳动者素质，打造我区职业技术工人队伍，实现稳定就业。</w:t>
      </w:r>
    </w:p>
    <w:p>
      <w:pPr>
        <w:pStyle w:val="34"/>
      </w:pPr>
      <w:r>
        <w:t>绩效指标：</w:t>
      </w:r>
    </w:p>
    <w:p>
      <w:pPr>
        <w:pStyle w:val="34"/>
      </w:pPr>
      <w:r>
        <w:t>职业鉴定、创业培训、职业技能培训人数达到要求</w:t>
      </w:r>
    </w:p>
    <w:p>
      <w:pPr>
        <w:pStyle w:val="34"/>
      </w:pPr>
      <w:r>
        <w:t>创业、技能培训学员满意度达到百分之80</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5"/>
      </w:pPr>
      <w:r>
        <w:t>1</w:t>
      </w:r>
      <w:r>
        <w:rPr>
          <w:rFonts w:hint="eastAsia"/>
          <w:lang w:eastAsia="zh-CN"/>
        </w:rPr>
        <w:t>、</w:t>
      </w:r>
      <w:r>
        <w:t>完善制度建设</w:t>
      </w:r>
    </w:p>
    <w:p>
      <w:pPr>
        <w:pStyle w:val="35"/>
      </w:pPr>
      <w:r>
        <w:t>制定完善预算绩效管理制度、就业资金管理办法、工作保障制度等，为全年预算绩效目标的实现奠定制度基础</w:t>
      </w:r>
    </w:p>
    <w:p>
      <w:pPr>
        <w:pStyle w:val="35"/>
      </w:pPr>
      <w:r>
        <w:t>2</w:t>
      </w:r>
      <w:r>
        <w:rPr>
          <w:rFonts w:hint="eastAsia"/>
          <w:lang w:eastAsia="zh-CN"/>
        </w:rPr>
        <w:t>、</w:t>
      </w:r>
      <w:r>
        <w:t>加强支出管理</w:t>
      </w:r>
    </w:p>
    <w:p>
      <w:pPr>
        <w:pStyle w:val="35"/>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5"/>
      </w:pPr>
      <w:r>
        <w:t>3</w:t>
      </w:r>
      <w:r>
        <w:rPr>
          <w:rFonts w:hint="eastAsia"/>
          <w:lang w:eastAsia="zh-CN"/>
        </w:rPr>
        <w:t>、</w:t>
      </w:r>
      <w:r>
        <w:t>加强绩效运行监控</w:t>
      </w:r>
    </w:p>
    <w:p>
      <w:pPr>
        <w:pStyle w:val="35"/>
      </w:pPr>
      <w:r>
        <w:t>按要求开展绩效运行监控，发现问题及时采取措施，确保绩效目标如期保质实现。</w:t>
      </w:r>
    </w:p>
    <w:p>
      <w:pPr>
        <w:pStyle w:val="35"/>
      </w:pPr>
      <w:r>
        <w:t>4</w:t>
      </w:r>
      <w:r>
        <w:rPr>
          <w:rFonts w:hint="eastAsia"/>
          <w:lang w:eastAsia="zh-CN"/>
        </w:rPr>
        <w:t>、</w:t>
      </w:r>
      <w:r>
        <w:t>做好绩效自评</w:t>
      </w:r>
    </w:p>
    <w:p>
      <w:pPr>
        <w:pStyle w:val="35"/>
      </w:pPr>
      <w:r>
        <w:t>按要求开展上年度部门预算绩效自评和重点评价工作，对评价中发现的问题及时整改，调整优化支出结构，提高财政资金使用效益。</w:t>
      </w:r>
    </w:p>
    <w:p>
      <w:pPr>
        <w:pStyle w:val="35"/>
      </w:pPr>
      <w:r>
        <w:t>5</w:t>
      </w:r>
      <w:r>
        <w:rPr>
          <w:rFonts w:hint="eastAsia"/>
          <w:lang w:eastAsia="zh-CN"/>
        </w:rPr>
        <w:t>、</w:t>
      </w:r>
      <w:r>
        <w:t>规范财务资产管理</w:t>
      </w:r>
    </w:p>
    <w:p>
      <w:pPr>
        <w:pStyle w:val="35"/>
      </w:pPr>
      <w:r>
        <w:t>完善财务管理制度，严格审批程序，加强固定资产登记、使用和报废处置管理，做到支出合理，物尽其用。</w:t>
      </w:r>
    </w:p>
    <w:p>
      <w:pPr>
        <w:pStyle w:val="35"/>
      </w:pPr>
      <w:r>
        <w:t>6</w:t>
      </w:r>
      <w:r>
        <w:rPr>
          <w:rFonts w:hint="eastAsia"/>
          <w:lang w:eastAsia="zh-CN"/>
        </w:rPr>
        <w:t>、</w:t>
      </w:r>
      <w:r>
        <w:t>加强内部监督</w:t>
      </w:r>
    </w:p>
    <w:p>
      <w:pPr>
        <w:pStyle w:val="3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5"/>
      </w:pPr>
      <w:r>
        <w:t>7</w:t>
      </w:r>
      <w:r>
        <w:rPr>
          <w:rFonts w:hint="eastAsia"/>
          <w:lang w:eastAsia="zh-CN"/>
        </w:rPr>
        <w:t>、</w:t>
      </w:r>
      <w:r>
        <w:t>加强宣传培训调研等</w:t>
      </w:r>
    </w:p>
    <w:p>
      <w:pPr>
        <w:pStyle w:val="35"/>
        <w:rPr>
          <w:rFonts w:ascii="Times New Roman" w:eastAsia="方正仿宋_GBK"/>
          <w:color w:val="000000" w:themeColor="text1"/>
          <w:sz w:val="28"/>
        </w:r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240" w:lineRule="auto"/>
        <w:ind w:firstLine="640"/>
        <w:jc w:val="left"/>
        <w:outlineLvl w:val="5"/>
        <w:rPr>
          <w:rFonts w:ascii="黑体" w:hAnsi="黑体" w:eastAsia="黑体" w:cs="黑体"/>
          <w:color w:val="000000"/>
          <w:sz w:val="32"/>
        </w:rPr>
      </w:pPr>
    </w:p>
    <w:p>
      <w:pPr>
        <w:ind w:firstLine="643"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rPr>
          <w:rFonts w:ascii="Times New Roman" w:hAnsi="宋体"/>
        </w:rPr>
      </w:pPr>
    </w:p>
    <w:p>
      <w:pPr>
        <w:ind w:firstLine="560"/>
        <w:rPr>
          <w:rFonts w:ascii="Times New Roman" w:hAnsi="宋体"/>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1、印刷费绩效目标表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印刷业务完成率</w:t>
            </w:r>
          </w:p>
        </w:tc>
        <w:tc>
          <w:tcPr>
            <w:tcW w:w="2835" w:type="dxa"/>
            <w:vAlign w:val="center"/>
          </w:tcPr>
          <w:p>
            <w:pPr>
              <w:pStyle w:val="27"/>
            </w:pPr>
            <w:r>
              <w:t>印刷业务完成率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为群众提供优质政务服务完成率</w:t>
            </w:r>
          </w:p>
        </w:tc>
        <w:tc>
          <w:tcPr>
            <w:tcW w:w="2835" w:type="dxa"/>
            <w:vAlign w:val="center"/>
          </w:tcPr>
          <w:p>
            <w:pPr>
              <w:pStyle w:val="27"/>
            </w:pPr>
            <w:r>
              <w:t>为群众提供优质政务服务案件数量占申请政务服务数量的比例</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各项任务完成及时率（%）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公共服务水平提升情况</w:t>
            </w:r>
          </w:p>
        </w:tc>
        <w:tc>
          <w:tcPr>
            <w:tcW w:w="2835" w:type="dxa"/>
            <w:vAlign w:val="center"/>
          </w:tcPr>
          <w:p>
            <w:pPr>
              <w:pStyle w:val="27"/>
            </w:pPr>
            <w:r>
              <w:t>公共服务水平提升情况</w:t>
            </w:r>
          </w:p>
        </w:tc>
        <w:tc>
          <w:tcPr>
            <w:tcW w:w="2551" w:type="dxa"/>
            <w:vAlign w:val="center"/>
          </w:tcPr>
          <w:p>
            <w:pPr>
              <w:pStyle w:val="27"/>
            </w:pPr>
            <w:r>
              <w:t>逐步提升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保障业务工作情况</w:t>
            </w:r>
          </w:p>
        </w:tc>
        <w:tc>
          <w:tcPr>
            <w:tcW w:w="2835" w:type="dxa"/>
            <w:vAlign w:val="center"/>
          </w:tcPr>
          <w:p>
            <w:pPr>
              <w:pStyle w:val="27"/>
            </w:pPr>
            <w:r>
              <w:t>保障业务工作情况</w:t>
            </w:r>
          </w:p>
        </w:tc>
        <w:tc>
          <w:tcPr>
            <w:tcW w:w="2551" w:type="dxa"/>
            <w:vAlign w:val="center"/>
          </w:tcPr>
          <w:p>
            <w:pPr>
              <w:pStyle w:val="27"/>
            </w:pPr>
            <w:r>
              <w:t>有效保障各项工作正常开展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群众满意度</w:t>
            </w:r>
          </w:p>
        </w:tc>
        <w:tc>
          <w:tcPr>
            <w:tcW w:w="2835" w:type="dxa"/>
            <w:vAlign w:val="center"/>
          </w:tcPr>
          <w:p>
            <w:pPr>
              <w:pStyle w:val="27"/>
            </w:pPr>
            <w:r>
              <w:t>群众对政策宣传的满意度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2022年，唐山市丰南区就业服务中心本级安排政府采购预算0.00万元。具体内容见下表。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7"/>
            </w:pPr>
          </w:p>
        </w:tc>
        <w:tc>
          <w:tcPr>
            <w:tcW w:w="964" w:type="dxa"/>
            <w:vAlign w:val="center"/>
          </w:tcPr>
          <w:p>
            <w:pPr>
              <w:pStyle w:val="28"/>
            </w:pPr>
          </w:p>
        </w:tc>
        <w:tc>
          <w:tcPr>
            <w:tcW w:w="1134" w:type="dxa"/>
            <w:vAlign w:val="center"/>
          </w:tcPr>
          <w:p>
            <w:pPr>
              <w:pStyle w:val="27"/>
            </w:pPr>
          </w:p>
        </w:tc>
        <w:tc>
          <w:tcPr>
            <w:tcW w:w="1134" w:type="dxa"/>
            <w:vAlign w:val="center"/>
          </w:tcPr>
          <w:p>
            <w:pPr>
              <w:pStyle w:val="27"/>
            </w:pPr>
          </w:p>
        </w:tc>
        <w:tc>
          <w:tcPr>
            <w:tcW w:w="709" w:type="dxa"/>
            <w:vAlign w:val="center"/>
          </w:tcPr>
          <w:p>
            <w:pPr>
              <w:pStyle w:val="26"/>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唐山市丰南区就业服务中心本级上年末固定资产金额为0.00万元（详见下表）。本年度拟购置固定资产总额为0.00万元，已按要求列入政府采购预算，详见政府采购预算表。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410001唐山市丰南区就业服务中心本级</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Times New Roman" w:eastAsia="方正仿宋_GBK"/>
          <w:color w:val="000000" w:themeColor="text1"/>
          <w:sz w:val="28"/>
        </w:rPr>
        <w:t>部门预算国有资本经营预算财政拨款支出表，此表无数据，因本单位不涉及国有资本经营，因此无数据。</w:t>
      </w:r>
    </w:p>
    <w:p>
      <w:pPr>
        <w:spacing w:line="500" w:lineRule="exact"/>
        <w:jc w:val="left"/>
        <w:rPr>
          <w:rFonts w:ascii="Times New Roman" w:hAnsi="宋体"/>
          <w:color w:val="000000" w:themeColor="text1"/>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B60A88"/>
    <w:rsid w:val="01C50F47"/>
    <w:rsid w:val="067C2F75"/>
    <w:rsid w:val="104B6DAF"/>
    <w:rsid w:val="147D155D"/>
    <w:rsid w:val="14DE04C9"/>
    <w:rsid w:val="16F9556B"/>
    <w:rsid w:val="1981715C"/>
    <w:rsid w:val="21F50BA0"/>
    <w:rsid w:val="25D1132C"/>
    <w:rsid w:val="26891ECC"/>
    <w:rsid w:val="289F6F73"/>
    <w:rsid w:val="2DE1622A"/>
    <w:rsid w:val="2F1B38D9"/>
    <w:rsid w:val="30E0494E"/>
    <w:rsid w:val="35FD2D02"/>
    <w:rsid w:val="3CB03019"/>
    <w:rsid w:val="4B2A45D7"/>
    <w:rsid w:val="503A5393"/>
    <w:rsid w:val="54FC3915"/>
    <w:rsid w:val="55A27C63"/>
    <w:rsid w:val="57DA7B88"/>
    <w:rsid w:val="6F94478E"/>
    <w:rsid w:val="71BF2BBD"/>
    <w:rsid w:val="72351B48"/>
    <w:rsid w:val="78C604EA"/>
    <w:rsid w:val="79501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unhideWhenUsed/>
    <w:qFormat/>
    <w:uiPriority w:val="39"/>
    <w:pPr>
      <w:ind w:left="1260" w:leftChars="600"/>
    </w:pPr>
  </w:style>
  <w:style w:type="paragraph" w:styleId="7">
    <w:name w:val="toc 2"/>
    <w:basedOn w:val="1"/>
    <w:next w:val="1"/>
    <w:unhideWhenUsed/>
    <w:qFormat/>
    <w:uiPriority w:val="3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semiHidden/>
    <w:unhideWhenUsed/>
    <w:qFormat/>
    <w:uiPriority w:val="99"/>
  </w:style>
  <w:style w:type="character" w:styleId="12">
    <w:name w:val="Hyperlink"/>
    <w:unhideWhenUsed/>
    <w:qFormat/>
    <w:uiPriority w:val="99"/>
    <w:rPr>
      <w:color w:val="0000FF"/>
      <w:u w:val="single"/>
    </w:rPr>
  </w:style>
  <w:style w:type="character" w:customStyle="1" w:styleId="13">
    <w:name w:val="页眉 Char"/>
    <w:basedOn w:val="10"/>
    <w:link w:val="4"/>
    <w:qFormat/>
    <w:uiPriority w:val="99"/>
    <w:rPr>
      <w:rFonts w:ascii="Calibri" w:hAnsi="Calibri" w:eastAsia="宋体" w:cs="Times New Roman"/>
      <w:sz w:val="18"/>
      <w:szCs w:val="18"/>
    </w:rPr>
  </w:style>
  <w:style w:type="character" w:customStyle="1" w:styleId="14">
    <w:name w:val="页脚 Char"/>
    <w:basedOn w:val="10"/>
    <w:link w:val="3"/>
    <w:qFormat/>
    <w:uiPriority w:val="99"/>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p16"/>
    <w:basedOn w:val="1"/>
    <w:qFormat/>
    <w:uiPriority w:val="0"/>
    <w:pPr>
      <w:widowControl/>
    </w:pPr>
    <w:rPr>
      <w:rFonts w:ascii="Times New Roman" w:hAnsi="Times New Roman"/>
      <w:kern w:val="0"/>
      <w:szCs w:val="21"/>
    </w:rPr>
  </w:style>
  <w:style w:type="paragraph" w:customStyle="1" w:styleId="18">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9">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905</TotalTime>
  <ScaleCrop>false</ScaleCrop>
  <LinksUpToDate>false</LinksUpToDate>
  <CharactersWithSpaces>3814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岳岳妈韩购</cp:lastModifiedBy>
  <cp:lastPrinted>2022-02-15T01:16:00Z</cp:lastPrinted>
  <dcterms:modified xsi:type="dcterms:W3CDTF">2022-02-25T00:41:12Z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30AC7C8B125049D2AEAC78F27CAAD698</vt:lpwstr>
  </property>
</Properties>
</file>