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eastAsia="黑体" w:cs="黑体"/>
          <w:b/>
          <w:color w:val="000000"/>
          <w:sz w:val="44"/>
        </w:rPr>
        <w:t>2022年部门预算信息公开目录</w:t>
      </w:r>
    </w:p>
    <w:p>
      <w:pPr>
        <w:spacing w:before="0" w:after="0" w:line="240" w:lineRule="auto"/>
        <w:ind w:firstLine="0"/>
        <w:jc w:val="center"/>
        <w:outlineLvl w:val="9"/>
      </w:pPr>
      <w:r>
        <w:rPr>
          <w:rFonts w:ascii="黑体" w:eastAsia="黑体" w:cs="黑体"/>
          <w:b/>
          <w:color w:val="000000"/>
          <w:sz w:val="30"/>
        </w:rPr>
        <w:t xml:space="preserve"> </w:t>
      </w:r>
    </w:p>
    <w:p>
      <w:pPr>
        <w:spacing w:before="0" w:after="0" w:line="240" w:lineRule="auto"/>
        <w:ind w:firstLine="0"/>
        <w:jc w:val="left"/>
        <w:outlineLvl w:val="9"/>
      </w:pPr>
      <w:r>
        <w:rPr>
          <w:rFonts w:ascii="方正楷体_GBK" w:eastAsia="方正楷体_GBK" w:cs="方正楷体_GBK"/>
          <w:b/>
          <w:color w:val="000000"/>
          <w:sz w:val="28"/>
        </w:rPr>
        <w:t>部门预算公开表</w:t>
      </w:r>
    </w:p>
    <w:p>
      <w:pPr>
        <w:pStyle w:val="37"/>
        <w:tabs>
          <w:tab w:val="right" w:leader="dot" w:pos="14562"/>
        </w:tabs>
      </w:pPr>
      <w:r>
        <w:fldChar w:fldCharType="begin"/>
      </w:r>
      <w:r>
        <w:instrText xml:space="preserve">TOC \o "2-2" \h \z \u </w:instrText>
      </w:r>
      <w:r>
        <w:fldChar w:fldCharType="separate"/>
      </w:r>
      <w:r>
        <w:fldChar w:fldCharType="begin"/>
      </w:r>
      <w:r>
        <w:instrText xml:space="preserve">Hyperlink \l "_Toc_2_2_0000000001"</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7"/>
        <w:tabs>
          <w:tab w:val="right" w:leader="dot" w:pos="14562"/>
        </w:tabs>
      </w:pPr>
      <w:r>
        <w:fldChar w:fldCharType="begin"/>
      </w:r>
      <w:r>
        <w:instrText xml:space="preserve">Hyperlink \l "_Toc_2_2_0000000002"</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7"/>
        <w:tabs>
          <w:tab w:val="right" w:leader="dot" w:pos="14562"/>
        </w:tabs>
      </w:pPr>
      <w:r>
        <w:fldChar w:fldCharType="begin"/>
      </w:r>
      <w:r>
        <w:instrText xml:space="preserve">Hyperlink \l "_Toc_2_2_0000000003"</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7"/>
        <w:tabs>
          <w:tab w:val="right" w:leader="dot" w:pos="14562"/>
        </w:tabs>
      </w:pPr>
      <w:r>
        <w:fldChar w:fldCharType="begin"/>
      </w:r>
      <w:r>
        <w:instrText xml:space="preserve">Hyperlink \l "_Toc_2_2_0000000004"</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7"/>
        <w:tabs>
          <w:tab w:val="right" w:leader="dot" w:pos="14562"/>
        </w:tabs>
      </w:pPr>
      <w:r>
        <w:fldChar w:fldCharType="begin"/>
      </w:r>
      <w:r>
        <w:instrText xml:space="preserve">Hyperlink \l "_Toc_2_2_0000000005"</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7"/>
        <w:tabs>
          <w:tab w:val="right" w:leader="dot" w:pos="14562"/>
        </w:tabs>
      </w:pPr>
      <w:r>
        <w:fldChar w:fldCharType="begin"/>
      </w:r>
      <w:r>
        <w:instrText xml:space="preserve">Hyperlink \l "_Toc_2_2_0000000006"</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7"/>
        <w:tabs>
          <w:tab w:val="right" w:leader="dot" w:pos="14562"/>
        </w:tabs>
      </w:pPr>
      <w:r>
        <w:fldChar w:fldCharType="begin"/>
      </w:r>
      <w:r>
        <w:instrText xml:space="preserve">Hyperlink \l "_Toc_2_2_0000000007"</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7"/>
        <w:tabs>
          <w:tab w:val="right" w:leader="dot" w:pos="14562"/>
        </w:tabs>
      </w:pPr>
      <w:r>
        <w:fldChar w:fldCharType="begin"/>
      </w:r>
      <w:r>
        <w:instrText xml:space="preserve">Hyperlink \l "_Toc_2_2_0000000008"</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7"/>
        <w:tabs>
          <w:tab w:val="right" w:leader="dot" w:pos="14562"/>
        </w:tabs>
      </w:pPr>
      <w:r>
        <w:fldChar w:fldCharType="begin"/>
      </w:r>
      <w:r>
        <w:instrText xml:space="preserve">Hyperlink \l "_Toc_2_2_0000000009"</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pPr/>
      <w:r>
        <w:fldChar w:fldCharType="end"/>
      </w:r>
    </w:p>
    <w:p>
      <w:pPr>
        <w:spacing w:before="0" w:after="0" w:line="240" w:lineRule="auto"/>
        <w:ind w:firstLine="0"/>
        <w:jc w:val="left"/>
        <w:outlineLvl w:val="9"/>
      </w:pPr>
      <w:r>
        <w:rPr>
          <w:rFonts w:ascii="方正楷体_GBK" w:eastAsia="方正楷体_GBK" w:cs="方正楷体_GBK"/>
          <w:b/>
          <w:color w:val="000000"/>
          <w:sz w:val="28"/>
        </w:rPr>
        <w:t>部门预算信息公开情况说明</w:t>
      </w:r>
    </w:p>
    <w:p>
      <w:pPr>
        <w:pStyle w:val="37"/>
        <w:tabs>
          <w:tab w:val="right" w:leader="dot" w:pos="14562"/>
        </w:tabs>
      </w:pPr>
      <w:r>
        <w:fldChar w:fldCharType="begin"/>
      </w:r>
      <w:r>
        <w:instrText xml:space="preserve">TOC \o "3-3" \h \z \u </w:instrText>
      </w:r>
      <w:r>
        <w:fldChar w:fldCharType="separate"/>
      </w:r>
      <w:r>
        <w:fldChar w:fldCharType="begin"/>
      </w:r>
      <w:r>
        <w:instrText xml:space="preserve">Hyperlink \l "_Toc_3_3_0000000010"</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7"/>
        <w:tabs>
          <w:tab w:val="right" w:leader="dot" w:pos="14562"/>
        </w:tabs>
      </w:pPr>
      <w:r>
        <w:fldChar w:fldCharType="begin"/>
      </w:r>
      <w:r>
        <w:instrText xml:space="preserve">Hyperlink \l "_Toc_3_3_0000000011"</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7"/>
        <w:tabs>
          <w:tab w:val="right" w:leader="dot" w:pos="14562"/>
        </w:tabs>
      </w:pPr>
      <w:r>
        <w:fldChar w:fldCharType="begin"/>
      </w:r>
      <w:r>
        <w:instrText xml:space="preserve">Hyperlink \l "_Toc_3_3_0000000012"</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7"/>
        <w:tabs>
          <w:tab w:val="right" w:leader="dot" w:pos="14562"/>
        </w:tabs>
      </w:pPr>
      <w:r>
        <w:fldChar w:fldCharType="begin"/>
      </w:r>
      <w:r>
        <w:instrText xml:space="preserve">Hyperlink \l "_Toc_3_3_0000000013"</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7"/>
        <w:tabs>
          <w:tab w:val="right" w:leader="dot" w:pos="14562"/>
        </w:tabs>
      </w:pPr>
      <w:r>
        <w:fldChar w:fldCharType="begin"/>
      </w:r>
      <w:r>
        <w:instrText xml:space="preserve">Hyperlink \l "_Toc_3_3_0000000014"</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7"/>
        <w:tabs>
          <w:tab w:val="right" w:leader="dot" w:pos="14562"/>
        </w:tabs>
      </w:pPr>
      <w:r>
        <w:fldChar w:fldCharType="begin"/>
      </w:r>
      <w:r>
        <w:instrText xml:space="preserve">Hyperlink \l "_Toc_3_3_0000000015"</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7"/>
        <w:tabs>
          <w:tab w:val="right" w:leader="dot" w:pos="14562"/>
        </w:tabs>
      </w:pPr>
      <w:r>
        <w:fldChar w:fldCharType="begin"/>
      </w:r>
      <w:r>
        <w:instrText xml:space="preserve">Hyperlink \l "_Toc_3_3_0000000016"</w:instrText>
      </w:r>
      <w:r>
        <w:fldChar w:fldCharType="separate"/>
      </w:r>
      <w:r>
        <w:t>七、国有资产信息</w:t>
      </w:r>
      <w:r>
        <w:tab/>
      </w:r>
      <w:r>
        <w:fldChar w:fldCharType="begin"/>
      </w:r>
      <w:r>
        <w:instrText xml:space="preserve">PAGEREF _Toc_3_3_0000000016 \h</w:instrText>
      </w:r>
      <w:r>
        <w:fldChar w:fldCharType="separate"/>
      </w:r>
      <w:r>
        <w:t>22</w:t>
      </w:r>
      <w:r>
        <w:fldChar w:fldCharType="end"/>
      </w:r>
      <w:r>
        <w:fldChar w:fldCharType="end"/>
      </w:r>
    </w:p>
    <w:p>
      <w:pPr>
        <w:pStyle w:val="37"/>
        <w:tabs>
          <w:tab w:val="right" w:leader="dot" w:pos="14562"/>
        </w:tabs>
      </w:pPr>
      <w:r>
        <w:fldChar w:fldCharType="begin"/>
      </w:r>
      <w:r>
        <w:instrText xml:space="preserve">Hyperlink \l "_Toc_3_3_0000000017"</w:instrText>
      </w:r>
      <w:r>
        <w:fldChar w:fldCharType="separate"/>
      </w:r>
      <w:r>
        <w:t>八、名词解释</w:t>
      </w:r>
      <w:r>
        <w:tab/>
      </w:r>
      <w:r>
        <w:fldChar w:fldCharType="begin"/>
      </w:r>
      <w:r>
        <w:instrText xml:space="preserve">PAGEREF _Toc_3_3_0000000017 \h</w:instrText>
      </w:r>
      <w:r>
        <w:fldChar w:fldCharType="separate"/>
      </w:r>
      <w:r>
        <w:t>22</w:t>
      </w:r>
      <w:r>
        <w:fldChar w:fldCharType="end"/>
      </w:r>
      <w:r>
        <w:fldChar w:fldCharType="end"/>
      </w:r>
    </w:p>
    <w:p>
      <w:pPr>
        <w:pStyle w:val="37"/>
        <w:tabs>
          <w:tab w:val="right" w:leader="dot" w:pos="14562"/>
        </w:tabs>
      </w:pPr>
      <w:r>
        <w:fldChar w:fldCharType="begin"/>
      </w:r>
      <w:r>
        <w:instrText xml:space="preserve">Hyperlink \l "_Toc_3_3_0000000018"</w:instrText>
      </w:r>
      <w:r>
        <w:fldChar w:fldCharType="separate"/>
      </w:r>
      <w:r>
        <w:t>九、其他需要说明的事项</w:t>
      </w:r>
      <w:r>
        <w:tab/>
      </w:r>
      <w:r>
        <w:fldChar w:fldCharType="begin"/>
      </w:r>
      <w:r>
        <w:instrText xml:space="preserve">PAGEREF _Toc_3_3_0000000018 \h</w:instrText>
      </w:r>
      <w:r>
        <w:fldChar w:fldCharType="separate"/>
      </w:r>
      <w:r>
        <w:t>23</w:t>
      </w:r>
      <w:r>
        <w:fldChar w:fldCharType="end"/>
      </w:r>
      <w:r>
        <w:fldChar w:fldCharType="end"/>
      </w:r>
    </w:p>
    <w:p>
      <w:pPr/>
      <w:r>
        <w:fldChar w:fldCharType="end"/>
      </w:r>
    </w:p>
    <w:p>
      <w:pPr>
        <w:jc w:val="center"/>
      </w:pPr>
      <w:r>
        <w:rPr>
          <w:rFonts w:ascii="黑体" w:hAnsi="黑体" w:eastAsia="黑体" w:cs="黑体"/>
          <w:b/>
          <w:color w:val="000000"/>
          <w:sz w:val="30"/>
        </w:rPr>
        <w:t>第二部分  部门所属单位预算</w:t>
      </w:r>
    </w:p>
    <w:p>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一、唐山市丰南区</w:t>
      </w:r>
      <w:r>
        <w:rPr>
          <w:rFonts w:hint="eastAsia"/>
          <w:lang w:eastAsia="zh-CN"/>
        </w:rPr>
        <w:t>信访局</w:t>
      </w:r>
      <w:r>
        <w:t>本级收支预算</w:t>
      </w:r>
      <w:r>
        <w:tab/>
      </w:r>
      <w:r>
        <w:fldChar w:fldCharType="begin"/>
      </w:r>
      <w:r>
        <w:instrText xml:space="preserve">PAGEREF _Toc_4_4_0000000019 \h</w:instrText>
      </w:r>
      <w:r>
        <w:fldChar w:fldCharType="separate"/>
      </w:r>
      <w:r>
        <w:t>2</w:t>
      </w:r>
      <w:r>
        <w:fldChar w:fldCharType="end"/>
      </w:r>
      <w:r>
        <w:fldChar w:fldCharType="end"/>
      </w:r>
      <w:r>
        <w:rPr>
          <w:rFonts w:hint="eastAsia"/>
          <w:lang w:val="en-US" w:eastAsia="zh-CN"/>
        </w:rPr>
        <w:t>6</w:t>
      </w:r>
    </w:p>
    <w:p>
      <w:pPr>
        <w:sectPr>
          <w:pgSz w:w="16840" w:h="11900" w:orient="landscape"/>
          <w:pgMar w:top="1587" w:right="1134" w:bottom="1361" w:left="1134" w:header="720" w:footer="720" w:gutter="0"/>
          <w:pgNumType w:start="1"/>
          <w:cols w:space="720" w:num="1"/>
        </w:sectPr>
      </w:pPr>
      <w:r>
        <w:fldChar w:fldCharType="end"/>
      </w:r>
      <w:bookmarkStart w:id="19" w:name="_GoBack"/>
      <w:bookmarkEnd w:id="19"/>
    </w:p>
    <w:p>
      <w:pPr>
        <w:spacing w:before="0" w:after="0" w:line="240" w:lineRule="auto"/>
        <w:ind w:firstLine="0"/>
        <w:jc w:val="center"/>
        <w:outlineLvl w:val="1"/>
      </w:pPr>
      <w:bookmarkStart w:id="0" w:name="_Toc_2_2_0000000001"/>
      <w:r>
        <w:rPr>
          <w:rFonts w:ascii="方正小标宋_GBK" w:eastAsia="方正小标宋_GBK" w:cs="方正小标宋_GBK"/>
          <w:color w:val="000000"/>
          <w:sz w:val="36"/>
        </w:rPr>
        <w:t>部门预算收支总表</w:t>
      </w:r>
      <w:bookmarkEnd w:id="0"/>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304唐山市丰南区信访局</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2"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4536"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t>一、一般公共预算拨款收入</w:t>
            </w:r>
          </w:p>
        </w:tc>
        <w:tc>
          <w:tcPr>
            <w:tcW w:w="2126" w:type="dxa"/>
            <w:vAlign w:val="center"/>
          </w:tcPr>
          <w:p>
            <w:pPr>
              <w:pStyle w:val="12"/>
            </w:pPr>
            <w:r>
              <w:t>689.37</w:t>
            </w:r>
          </w:p>
        </w:tc>
        <w:tc>
          <w:tcPr>
            <w:tcW w:w="4535" w:type="dxa"/>
            <w:vAlign w:val="center"/>
          </w:tcPr>
          <w:p>
            <w:pPr>
              <w:pStyle w:val="13"/>
            </w:pPr>
            <w:r>
              <w:t>一、一般公共服务支出</w:t>
            </w:r>
          </w:p>
        </w:tc>
        <w:tc>
          <w:tcPr>
            <w:tcW w:w="2126" w:type="dxa"/>
            <w:vAlign w:val="center"/>
          </w:tcPr>
          <w:p>
            <w:pPr>
              <w:pStyle w:val="12"/>
            </w:pPr>
            <w:r>
              <w:t>578.04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5"/>
            </w:pPr>
            <w:r>
              <w:t>本年收入合计</w:t>
            </w:r>
          </w:p>
        </w:tc>
        <w:tc>
          <w:tcPr>
            <w:tcW w:w="2126" w:type="dxa"/>
            <w:vAlign w:val="center"/>
          </w:tcPr>
          <w:p>
            <w:pPr>
              <w:pStyle w:val="16"/>
            </w:pPr>
            <w:r>
              <w:t>689.37</w:t>
            </w:r>
          </w:p>
        </w:tc>
        <w:tc>
          <w:tcPr>
            <w:tcW w:w="4535" w:type="dxa"/>
            <w:vAlign w:val="center"/>
          </w:tcPr>
          <w:p>
            <w:pPr>
              <w:pStyle w:val="15"/>
            </w:pPr>
            <w:r>
              <w:t>本年支出合计</w:t>
            </w:r>
          </w:p>
        </w:tc>
        <w:tc>
          <w:tcPr>
            <w:tcW w:w="2126" w:type="dxa"/>
            <w:vAlign w:val="center"/>
          </w:tcPr>
          <w:p>
            <w:pPr>
              <w:pStyle w:val="16"/>
            </w:pPr>
            <w:r>
              <w:t>689.37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5"/>
            </w:pPr>
            <w:r>
              <w:t>收入总计</w:t>
            </w:r>
          </w:p>
        </w:tc>
        <w:tc>
          <w:tcPr>
            <w:tcW w:w="2126" w:type="dxa"/>
            <w:vAlign w:val="center"/>
          </w:tcPr>
          <w:p>
            <w:pPr>
              <w:pStyle w:val="16"/>
            </w:pPr>
            <w:r>
              <w:t>689.37</w:t>
            </w:r>
          </w:p>
        </w:tc>
        <w:tc>
          <w:tcPr>
            <w:tcW w:w="4535" w:type="dxa"/>
            <w:vAlign w:val="center"/>
          </w:tcPr>
          <w:p>
            <w:pPr>
              <w:pStyle w:val="15"/>
            </w:pPr>
            <w:r>
              <w:t>支出总计</w:t>
            </w:r>
          </w:p>
        </w:tc>
        <w:tc>
          <w:tcPr>
            <w:tcW w:w="2126" w:type="dxa"/>
            <w:vAlign w:val="center"/>
          </w:tcPr>
          <w:p>
            <w:pPr>
              <w:pStyle w:val="16"/>
            </w:pPr>
            <w:r>
              <w:t>689.37</w:t>
            </w:r>
          </w:p>
        </w:tc>
      </w:tr>
    </w:tbl>
    <w:p>
      <w:pPr>
        <w:sectPr>
          <w:footerReference r:id="rId3" w:type="default"/>
          <w:footerReference r:id="rId4" w:type="even"/>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color w:val="000000"/>
          <w:sz w:val="36"/>
        </w:rPr>
        <w:t>部门预算收入总表</w:t>
      </w:r>
      <w:bookmarkEnd w:id="1"/>
    </w:p>
    <w:tbl>
      <w:tblPr>
        <w:tblStyle w:val="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304唐山市丰南区信访局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p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p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689.37</w:t>
            </w:r>
          </w:p>
        </w:tc>
        <w:tc>
          <w:tcPr>
            <w:tcW w:w="1134" w:type="dxa"/>
            <w:vAlign w:val="center"/>
          </w:tcPr>
          <w:p>
            <w:pPr>
              <w:pStyle w:val="16"/>
            </w:pPr>
            <w:r>
              <w:t>689.37</w:t>
            </w:r>
          </w:p>
        </w:tc>
        <w:tc>
          <w:tcPr>
            <w:tcW w:w="1134" w:type="dxa"/>
            <w:vAlign w:val="center"/>
          </w:tcPr>
          <w:p>
            <w:pPr>
              <w:pStyle w:val="16"/>
            </w:pPr>
            <w:r>
              <w:t>689.37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578.04</w:t>
            </w:r>
          </w:p>
        </w:tc>
        <w:tc>
          <w:tcPr>
            <w:tcW w:w="1134" w:type="dxa"/>
            <w:vAlign w:val="center"/>
          </w:tcPr>
          <w:p>
            <w:pPr>
              <w:pStyle w:val="12"/>
            </w:pPr>
            <w:r>
              <w:t>578.04</w:t>
            </w:r>
          </w:p>
        </w:tc>
        <w:tc>
          <w:tcPr>
            <w:tcW w:w="1134" w:type="dxa"/>
            <w:vAlign w:val="center"/>
          </w:tcPr>
          <w:p>
            <w:pPr>
              <w:pStyle w:val="12"/>
            </w:pPr>
            <w:r>
              <w:t>578.04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578.04</w:t>
            </w:r>
          </w:p>
        </w:tc>
        <w:tc>
          <w:tcPr>
            <w:tcW w:w="1134" w:type="dxa"/>
            <w:vAlign w:val="center"/>
          </w:tcPr>
          <w:p>
            <w:pPr>
              <w:pStyle w:val="12"/>
            </w:pPr>
            <w:r>
              <w:t>578.04</w:t>
            </w:r>
          </w:p>
        </w:tc>
        <w:tc>
          <w:tcPr>
            <w:tcW w:w="1134" w:type="dxa"/>
            <w:vAlign w:val="center"/>
          </w:tcPr>
          <w:p>
            <w:pPr>
              <w:pStyle w:val="12"/>
            </w:pPr>
            <w:r>
              <w:t>578.04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2010308</w:t>
            </w:r>
          </w:p>
        </w:tc>
        <w:tc>
          <w:tcPr>
            <w:tcW w:w="1559" w:type="dxa"/>
            <w:vAlign w:val="center"/>
          </w:tcPr>
          <w:p>
            <w:pPr>
              <w:pStyle w:val="13"/>
            </w:pPr>
            <w:r>
              <w:t>信访事务</w:t>
            </w:r>
          </w:p>
        </w:tc>
        <w:tc>
          <w:tcPr>
            <w:tcW w:w="1134" w:type="dxa"/>
            <w:vAlign w:val="center"/>
          </w:tcPr>
          <w:p>
            <w:pPr>
              <w:pStyle w:val="12"/>
            </w:pPr>
            <w:r>
              <w:t>462.93</w:t>
            </w:r>
          </w:p>
        </w:tc>
        <w:tc>
          <w:tcPr>
            <w:tcW w:w="1134" w:type="dxa"/>
            <w:vAlign w:val="center"/>
          </w:tcPr>
          <w:p>
            <w:pPr>
              <w:pStyle w:val="12"/>
            </w:pPr>
            <w:r>
              <w:t>462.93</w:t>
            </w:r>
          </w:p>
        </w:tc>
        <w:tc>
          <w:tcPr>
            <w:tcW w:w="1134" w:type="dxa"/>
            <w:vAlign w:val="center"/>
          </w:tcPr>
          <w:p>
            <w:pPr>
              <w:pStyle w:val="12"/>
            </w:pPr>
            <w:r>
              <w:t>462.93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2010309</w:t>
            </w:r>
          </w:p>
        </w:tc>
        <w:tc>
          <w:tcPr>
            <w:tcW w:w="1559" w:type="dxa"/>
            <w:vAlign w:val="center"/>
          </w:tcPr>
          <w:p>
            <w:pPr>
              <w:pStyle w:val="13"/>
            </w:pPr>
            <w:r>
              <w:t>参事事务</w:t>
            </w:r>
          </w:p>
        </w:tc>
        <w:tc>
          <w:tcPr>
            <w:tcW w:w="1134" w:type="dxa"/>
            <w:vAlign w:val="center"/>
          </w:tcPr>
          <w:p>
            <w:pPr>
              <w:pStyle w:val="12"/>
            </w:pPr>
            <w:r>
              <w:t>1.90</w:t>
            </w:r>
          </w:p>
        </w:tc>
        <w:tc>
          <w:tcPr>
            <w:tcW w:w="1134" w:type="dxa"/>
            <w:vAlign w:val="center"/>
          </w:tcPr>
          <w:p>
            <w:pPr>
              <w:pStyle w:val="12"/>
            </w:pPr>
            <w:r>
              <w:t>1.90</w:t>
            </w:r>
          </w:p>
        </w:tc>
        <w:tc>
          <w:tcPr>
            <w:tcW w:w="1134" w:type="dxa"/>
            <w:vAlign w:val="center"/>
          </w:tcPr>
          <w:p>
            <w:pPr>
              <w:pStyle w:val="12"/>
            </w:pPr>
            <w:r>
              <w:t>1.90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113.21</w:t>
            </w:r>
          </w:p>
        </w:tc>
        <w:tc>
          <w:tcPr>
            <w:tcW w:w="1134" w:type="dxa"/>
            <w:vAlign w:val="center"/>
          </w:tcPr>
          <w:p>
            <w:pPr>
              <w:pStyle w:val="12"/>
            </w:pPr>
            <w:r>
              <w:t>113.21</w:t>
            </w:r>
          </w:p>
        </w:tc>
        <w:tc>
          <w:tcPr>
            <w:tcW w:w="1134" w:type="dxa"/>
            <w:vAlign w:val="center"/>
          </w:tcPr>
          <w:p>
            <w:pPr>
              <w:pStyle w:val="12"/>
            </w:pPr>
            <w:r>
              <w:t>113.21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43.34</w:t>
            </w:r>
          </w:p>
        </w:tc>
        <w:tc>
          <w:tcPr>
            <w:tcW w:w="1134" w:type="dxa"/>
            <w:vAlign w:val="center"/>
          </w:tcPr>
          <w:p>
            <w:pPr>
              <w:pStyle w:val="12"/>
            </w:pPr>
            <w:r>
              <w:t>43.34</w:t>
            </w:r>
          </w:p>
        </w:tc>
        <w:tc>
          <w:tcPr>
            <w:tcW w:w="1134" w:type="dxa"/>
            <w:vAlign w:val="center"/>
          </w:tcPr>
          <w:p>
            <w:pPr>
              <w:pStyle w:val="12"/>
            </w:pPr>
            <w:r>
              <w:t>43.34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43.34</w:t>
            </w:r>
          </w:p>
        </w:tc>
        <w:tc>
          <w:tcPr>
            <w:tcW w:w="1134" w:type="dxa"/>
            <w:vAlign w:val="center"/>
          </w:tcPr>
          <w:p>
            <w:pPr>
              <w:pStyle w:val="12"/>
            </w:pPr>
            <w:r>
              <w:t>43.34</w:t>
            </w:r>
          </w:p>
        </w:tc>
        <w:tc>
          <w:tcPr>
            <w:tcW w:w="1134" w:type="dxa"/>
            <w:vAlign w:val="center"/>
          </w:tcPr>
          <w:p>
            <w:pPr>
              <w:pStyle w:val="12"/>
            </w:pPr>
            <w:r>
              <w:t>43.34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7.30</w:t>
            </w:r>
          </w:p>
        </w:tc>
        <w:tc>
          <w:tcPr>
            <w:tcW w:w="1134" w:type="dxa"/>
            <w:vAlign w:val="center"/>
          </w:tcPr>
          <w:p>
            <w:pPr>
              <w:pStyle w:val="12"/>
            </w:pPr>
            <w:r>
              <w:t>7.30</w:t>
            </w:r>
          </w:p>
        </w:tc>
        <w:tc>
          <w:tcPr>
            <w:tcW w:w="1134" w:type="dxa"/>
            <w:vAlign w:val="center"/>
          </w:tcPr>
          <w:p>
            <w:pPr>
              <w:pStyle w:val="12"/>
            </w:pPr>
            <w:r>
              <w:t>7.30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36.04</w:t>
            </w:r>
          </w:p>
        </w:tc>
        <w:tc>
          <w:tcPr>
            <w:tcW w:w="1134" w:type="dxa"/>
            <w:vAlign w:val="center"/>
          </w:tcPr>
          <w:p>
            <w:pPr>
              <w:pStyle w:val="12"/>
            </w:pPr>
            <w:r>
              <w:t>36.04</w:t>
            </w:r>
          </w:p>
        </w:tc>
        <w:tc>
          <w:tcPr>
            <w:tcW w:w="1134" w:type="dxa"/>
            <w:vAlign w:val="center"/>
          </w:tcPr>
          <w:p>
            <w:pPr>
              <w:pStyle w:val="12"/>
            </w:pPr>
            <w:r>
              <w:t>36.04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39.59</w:t>
            </w:r>
          </w:p>
        </w:tc>
        <w:tc>
          <w:tcPr>
            <w:tcW w:w="1134" w:type="dxa"/>
            <w:vAlign w:val="center"/>
          </w:tcPr>
          <w:p>
            <w:pPr>
              <w:pStyle w:val="12"/>
            </w:pPr>
            <w:r>
              <w:t>39.59</w:t>
            </w:r>
          </w:p>
        </w:tc>
        <w:tc>
          <w:tcPr>
            <w:tcW w:w="1134" w:type="dxa"/>
            <w:vAlign w:val="center"/>
          </w:tcPr>
          <w:p>
            <w:pPr>
              <w:pStyle w:val="12"/>
            </w:pPr>
            <w:r>
              <w:t>39.59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39.59</w:t>
            </w:r>
          </w:p>
        </w:tc>
        <w:tc>
          <w:tcPr>
            <w:tcW w:w="1134" w:type="dxa"/>
            <w:vAlign w:val="center"/>
          </w:tcPr>
          <w:p>
            <w:pPr>
              <w:pStyle w:val="12"/>
            </w:pPr>
            <w:r>
              <w:t>39.59</w:t>
            </w:r>
          </w:p>
        </w:tc>
        <w:tc>
          <w:tcPr>
            <w:tcW w:w="1134" w:type="dxa"/>
            <w:vAlign w:val="center"/>
          </w:tcPr>
          <w:p>
            <w:pPr>
              <w:pStyle w:val="12"/>
            </w:pPr>
            <w:r>
              <w:t>39.59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19.07</w:t>
            </w:r>
          </w:p>
        </w:tc>
        <w:tc>
          <w:tcPr>
            <w:tcW w:w="1134" w:type="dxa"/>
            <w:vAlign w:val="center"/>
          </w:tcPr>
          <w:p>
            <w:pPr>
              <w:pStyle w:val="12"/>
            </w:pPr>
            <w:r>
              <w:t>19.07</w:t>
            </w:r>
          </w:p>
        </w:tc>
        <w:tc>
          <w:tcPr>
            <w:tcW w:w="1134" w:type="dxa"/>
            <w:vAlign w:val="center"/>
          </w:tcPr>
          <w:p>
            <w:pPr>
              <w:pStyle w:val="12"/>
            </w:pPr>
            <w:r>
              <w:t>19.07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680" w:type="dxa"/>
            <w:vAlign w:val="center"/>
          </w:tcPr>
          <w:p>
            <w:pPr>
              <w:pStyle w:val="14"/>
            </w:pPr>
            <w:r>
              <w:t>14</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20.52</w:t>
            </w:r>
          </w:p>
        </w:tc>
        <w:tc>
          <w:tcPr>
            <w:tcW w:w="1134" w:type="dxa"/>
            <w:vAlign w:val="center"/>
          </w:tcPr>
          <w:p>
            <w:pPr>
              <w:pStyle w:val="12"/>
            </w:pPr>
            <w:r>
              <w:t>20.52</w:t>
            </w:r>
          </w:p>
        </w:tc>
        <w:tc>
          <w:tcPr>
            <w:tcW w:w="1134" w:type="dxa"/>
            <w:vAlign w:val="center"/>
          </w:tcPr>
          <w:p>
            <w:pPr>
              <w:pStyle w:val="12"/>
            </w:pPr>
            <w:r>
              <w:t>20.52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28.40</w:t>
            </w:r>
          </w:p>
        </w:tc>
        <w:tc>
          <w:tcPr>
            <w:tcW w:w="1134" w:type="dxa"/>
            <w:vAlign w:val="center"/>
          </w:tcPr>
          <w:p>
            <w:pPr>
              <w:pStyle w:val="12"/>
            </w:pPr>
            <w:r>
              <w:t>28.40</w:t>
            </w:r>
          </w:p>
        </w:tc>
        <w:tc>
          <w:tcPr>
            <w:tcW w:w="1134" w:type="dxa"/>
            <w:vAlign w:val="center"/>
          </w:tcPr>
          <w:p>
            <w:pPr>
              <w:pStyle w:val="12"/>
            </w:pPr>
            <w:r>
              <w:t>28.40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28.40</w:t>
            </w:r>
          </w:p>
        </w:tc>
        <w:tc>
          <w:tcPr>
            <w:tcW w:w="1134" w:type="dxa"/>
            <w:vAlign w:val="center"/>
          </w:tcPr>
          <w:p>
            <w:pPr>
              <w:pStyle w:val="12"/>
            </w:pPr>
            <w:r>
              <w:t>28.40</w:t>
            </w:r>
          </w:p>
        </w:tc>
        <w:tc>
          <w:tcPr>
            <w:tcW w:w="1134" w:type="dxa"/>
            <w:vAlign w:val="center"/>
          </w:tcPr>
          <w:p>
            <w:pPr>
              <w:pStyle w:val="12"/>
            </w:pPr>
            <w:r>
              <w:t>28.40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28.40</w:t>
            </w:r>
          </w:p>
        </w:tc>
        <w:tc>
          <w:tcPr>
            <w:tcW w:w="1134" w:type="dxa"/>
            <w:vAlign w:val="center"/>
          </w:tcPr>
          <w:p>
            <w:pPr>
              <w:pStyle w:val="12"/>
            </w:pPr>
            <w:r>
              <w:t>28.40</w:t>
            </w:r>
          </w:p>
        </w:tc>
        <w:tc>
          <w:tcPr>
            <w:tcW w:w="1134" w:type="dxa"/>
            <w:vAlign w:val="center"/>
          </w:tcPr>
          <w:p>
            <w:pPr>
              <w:pStyle w:val="12"/>
            </w:pPr>
            <w:r>
              <w:t>28.40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color w:val="000000"/>
          <w:sz w:val="36"/>
        </w:rPr>
        <w:t>部门预算支出总表</w:t>
      </w:r>
      <w:bookmarkEnd w:id="2"/>
    </w:p>
    <w:tbl>
      <w:tblPr>
        <w:tblStyle w:val="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304唐山市丰南区信访局</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6" w:type="dxa"/>
            <w:vAlign w:val="center"/>
          </w:tcPr>
          <w:p>
            <w:pPr>
              <w:pStyle w:val="15"/>
            </w:pPr>
            <w:r>
              <w:t>合计</w:t>
            </w:r>
          </w:p>
        </w:tc>
        <w:tc>
          <w:tcPr>
            <w:tcW w:w="1361" w:type="dxa"/>
            <w:vAlign w:val="center"/>
          </w:tcPr>
          <w:p>
            <w:pPr>
              <w:pStyle w:val="16"/>
            </w:pPr>
            <w:r>
              <w:t>689.37</w:t>
            </w:r>
          </w:p>
        </w:tc>
        <w:tc>
          <w:tcPr>
            <w:tcW w:w="1361" w:type="dxa"/>
            <w:vAlign w:val="center"/>
          </w:tcPr>
          <w:p>
            <w:pPr>
              <w:pStyle w:val="16"/>
            </w:pPr>
            <w:r>
              <w:t>372.07</w:t>
            </w:r>
          </w:p>
        </w:tc>
        <w:tc>
          <w:tcPr>
            <w:tcW w:w="1361" w:type="dxa"/>
            <w:vAlign w:val="center"/>
          </w:tcPr>
          <w:p>
            <w:pPr>
              <w:pStyle w:val="16"/>
            </w:pPr>
            <w:r>
              <w:t>317.30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6" w:type="dxa"/>
            <w:vAlign w:val="center"/>
          </w:tcPr>
          <w:p>
            <w:pPr>
              <w:pStyle w:val="13"/>
            </w:pPr>
            <w:r>
              <w:t>一般公共服务支出</w:t>
            </w:r>
          </w:p>
        </w:tc>
        <w:tc>
          <w:tcPr>
            <w:tcW w:w="1361" w:type="dxa"/>
            <w:vAlign w:val="center"/>
          </w:tcPr>
          <w:p>
            <w:pPr>
              <w:pStyle w:val="12"/>
            </w:pPr>
            <w:r>
              <w:t>578.04</w:t>
            </w:r>
          </w:p>
        </w:tc>
        <w:tc>
          <w:tcPr>
            <w:tcW w:w="1361" w:type="dxa"/>
            <w:vAlign w:val="center"/>
          </w:tcPr>
          <w:p>
            <w:pPr>
              <w:pStyle w:val="12"/>
            </w:pPr>
            <w:r>
              <w:t>260.74</w:t>
            </w:r>
          </w:p>
        </w:tc>
        <w:tc>
          <w:tcPr>
            <w:tcW w:w="1361" w:type="dxa"/>
            <w:vAlign w:val="center"/>
          </w:tcPr>
          <w:p>
            <w:pPr>
              <w:pStyle w:val="12"/>
            </w:pPr>
            <w:r>
              <w:t>317.30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6" w:type="dxa"/>
            <w:vAlign w:val="center"/>
          </w:tcPr>
          <w:p>
            <w:pPr>
              <w:pStyle w:val="13"/>
            </w:pPr>
            <w:r>
              <w:t>政府办公厅（室）及相关机构事务</w:t>
            </w:r>
          </w:p>
        </w:tc>
        <w:tc>
          <w:tcPr>
            <w:tcW w:w="1361" w:type="dxa"/>
            <w:vAlign w:val="center"/>
          </w:tcPr>
          <w:p>
            <w:pPr>
              <w:pStyle w:val="12"/>
            </w:pPr>
            <w:r>
              <w:t>578.04</w:t>
            </w:r>
          </w:p>
        </w:tc>
        <w:tc>
          <w:tcPr>
            <w:tcW w:w="1361" w:type="dxa"/>
            <w:vAlign w:val="center"/>
          </w:tcPr>
          <w:p>
            <w:pPr>
              <w:pStyle w:val="12"/>
            </w:pPr>
            <w:r>
              <w:t>260.74</w:t>
            </w:r>
          </w:p>
        </w:tc>
        <w:tc>
          <w:tcPr>
            <w:tcW w:w="1361" w:type="dxa"/>
            <w:vAlign w:val="center"/>
          </w:tcPr>
          <w:p>
            <w:pPr>
              <w:pStyle w:val="12"/>
            </w:pPr>
            <w:r>
              <w:t>317.30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2010308</w:t>
            </w:r>
          </w:p>
        </w:tc>
        <w:tc>
          <w:tcPr>
            <w:tcW w:w="4536" w:type="dxa"/>
            <w:vAlign w:val="center"/>
          </w:tcPr>
          <w:p>
            <w:pPr>
              <w:pStyle w:val="13"/>
            </w:pPr>
            <w:r>
              <w:t>信访事务</w:t>
            </w:r>
          </w:p>
        </w:tc>
        <w:tc>
          <w:tcPr>
            <w:tcW w:w="1361" w:type="dxa"/>
            <w:vAlign w:val="center"/>
          </w:tcPr>
          <w:p>
            <w:pPr>
              <w:pStyle w:val="12"/>
            </w:pPr>
            <w:r>
              <w:t>462.93</w:t>
            </w:r>
          </w:p>
        </w:tc>
        <w:tc>
          <w:tcPr>
            <w:tcW w:w="1361" w:type="dxa"/>
            <w:vAlign w:val="center"/>
          </w:tcPr>
          <w:p>
            <w:pPr>
              <w:pStyle w:val="12"/>
            </w:pPr>
            <w:r>
              <w:t>145.63</w:t>
            </w:r>
          </w:p>
        </w:tc>
        <w:tc>
          <w:tcPr>
            <w:tcW w:w="1361" w:type="dxa"/>
            <w:vAlign w:val="center"/>
          </w:tcPr>
          <w:p>
            <w:pPr>
              <w:pStyle w:val="12"/>
            </w:pPr>
            <w:r>
              <w:t>317.30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2010309</w:t>
            </w:r>
          </w:p>
        </w:tc>
        <w:tc>
          <w:tcPr>
            <w:tcW w:w="4536" w:type="dxa"/>
            <w:vAlign w:val="center"/>
          </w:tcPr>
          <w:p>
            <w:pPr>
              <w:pStyle w:val="13"/>
            </w:pPr>
            <w:r>
              <w:t>参事事务</w:t>
            </w:r>
          </w:p>
        </w:tc>
        <w:tc>
          <w:tcPr>
            <w:tcW w:w="1361" w:type="dxa"/>
            <w:vAlign w:val="center"/>
          </w:tcPr>
          <w:p>
            <w:pPr>
              <w:pStyle w:val="12"/>
            </w:pPr>
            <w:r>
              <w:t>1.90</w:t>
            </w:r>
          </w:p>
        </w:tc>
        <w:tc>
          <w:tcPr>
            <w:tcW w:w="1361" w:type="dxa"/>
            <w:vAlign w:val="center"/>
          </w:tcPr>
          <w:p>
            <w:pPr>
              <w:pStyle w:val="12"/>
            </w:pPr>
            <w:r>
              <w:t>1.90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6" w:type="dxa"/>
            <w:vAlign w:val="center"/>
          </w:tcPr>
          <w:p>
            <w:pPr>
              <w:pStyle w:val="13"/>
            </w:pPr>
            <w:r>
              <w:t>事业运行</w:t>
            </w:r>
          </w:p>
        </w:tc>
        <w:tc>
          <w:tcPr>
            <w:tcW w:w="1361" w:type="dxa"/>
            <w:vAlign w:val="center"/>
          </w:tcPr>
          <w:p>
            <w:pPr>
              <w:pStyle w:val="12"/>
            </w:pPr>
            <w:r>
              <w:t>113.21</w:t>
            </w:r>
          </w:p>
        </w:tc>
        <w:tc>
          <w:tcPr>
            <w:tcW w:w="1361" w:type="dxa"/>
            <w:vAlign w:val="center"/>
          </w:tcPr>
          <w:p>
            <w:pPr>
              <w:pStyle w:val="12"/>
            </w:pPr>
            <w:r>
              <w:t>113.21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6" w:type="dxa"/>
            <w:vAlign w:val="center"/>
          </w:tcPr>
          <w:p>
            <w:pPr>
              <w:pStyle w:val="13"/>
            </w:pPr>
            <w:r>
              <w:t>社会保障和就业支出</w:t>
            </w:r>
          </w:p>
        </w:tc>
        <w:tc>
          <w:tcPr>
            <w:tcW w:w="1361" w:type="dxa"/>
            <w:vAlign w:val="center"/>
          </w:tcPr>
          <w:p>
            <w:pPr>
              <w:pStyle w:val="12"/>
            </w:pPr>
            <w:r>
              <w:t>43.34</w:t>
            </w:r>
          </w:p>
        </w:tc>
        <w:tc>
          <w:tcPr>
            <w:tcW w:w="1361" w:type="dxa"/>
            <w:vAlign w:val="center"/>
          </w:tcPr>
          <w:p>
            <w:pPr>
              <w:pStyle w:val="12"/>
            </w:pPr>
            <w:r>
              <w:t>43.34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6" w:type="dxa"/>
            <w:vAlign w:val="center"/>
          </w:tcPr>
          <w:p>
            <w:pPr>
              <w:pStyle w:val="13"/>
            </w:pPr>
            <w:r>
              <w:t>行政事业单位养老支出</w:t>
            </w:r>
          </w:p>
        </w:tc>
        <w:tc>
          <w:tcPr>
            <w:tcW w:w="1361" w:type="dxa"/>
            <w:vAlign w:val="center"/>
          </w:tcPr>
          <w:p>
            <w:pPr>
              <w:pStyle w:val="12"/>
            </w:pPr>
            <w:r>
              <w:t>43.34</w:t>
            </w:r>
          </w:p>
        </w:tc>
        <w:tc>
          <w:tcPr>
            <w:tcW w:w="1361" w:type="dxa"/>
            <w:vAlign w:val="center"/>
          </w:tcPr>
          <w:p>
            <w:pPr>
              <w:pStyle w:val="12"/>
            </w:pPr>
            <w:r>
              <w:t>43.34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6" w:type="dxa"/>
            <w:vAlign w:val="center"/>
          </w:tcPr>
          <w:p>
            <w:pPr>
              <w:pStyle w:val="13"/>
            </w:pPr>
            <w:r>
              <w:t>行政单位离退休</w:t>
            </w:r>
          </w:p>
        </w:tc>
        <w:tc>
          <w:tcPr>
            <w:tcW w:w="1361" w:type="dxa"/>
            <w:vAlign w:val="center"/>
          </w:tcPr>
          <w:p>
            <w:pPr>
              <w:pStyle w:val="12"/>
            </w:pPr>
            <w:r>
              <w:t>7.30</w:t>
            </w:r>
          </w:p>
        </w:tc>
        <w:tc>
          <w:tcPr>
            <w:tcW w:w="1361" w:type="dxa"/>
            <w:vAlign w:val="center"/>
          </w:tcPr>
          <w:p>
            <w:pPr>
              <w:pStyle w:val="12"/>
            </w:pPr>
            <w:r>
              <w:t>7.30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6" w:type="dxa"/>
            <w:vAlign w:val="center"/>
          </w:tcPr>
          <w:p>
            <w:pPr>
              <w:pStyle w:val="13"/>
            </w:pPr>
            <w:r>
              <w:t>机关事业单位基本养老保险缴费支出</w:t>
            </w:r>
          </w:p>
        </w:tc>
        <w:tc>
          <w:tcPr>
            <w:tcW w:w="1361" w:type="dxa"/>
            <w:vAlign w:val="center"/>
          </w:tcPr>
          <w:p>
            <w:pPr>
              <w:pStyle w:val="12"/>
            </w:pPr>
            <w:r>
              <w:t>36.04</w:t>
            </w:r>
          </w:p>
        </w:tc>
        <w:tc>
          <w:tcPr>
            <w:tcW w:w="1361" w:type="dxa"/>
            <w:vAlign w:val="center"/>
          </w:tcPr>
          <w:p>
            <w:pPr>
              <w:pStyle w:val="12"/>
            </w:pPr>
            <w:r>
              <w:t>36.04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6" w:type="dxa"/>
            <w:vAlign w:val="center"/>
          </w:tcPr>
          <w:p>
            <w:pPr>
              <w:pStyle w:val="13"/>
            </w:pPr>
            <w:r>
              <w:t>卫生健康支出</w:t>
            </w:r>
          </w:p>
        </w:tc>
        <w:tc>
          <w:tcPr>
            <w:tcW w:w="1361" w:type="dxa"/>
            <w:vAlign w:val="center"/>
          </w:tcPr>
          <w:p>
            <w:pPr>
              <w:pStyle w:val="12"/>
            </w:pPr>
            <w:r>
              <w:t>39.59</w:t>
            </w:r>
          </w:p>
        </w:tc>
        <w:tc>
          <w:tcPr>
            <w:tcW w:w="1361" w:type="dxa"/>
            <w:vAlign w:val="center"/>
          </w:tcPr>
          <w:p>
            <w:pPr>
              <w:pStyle w:val="12"/>
            </w:pPr>
            <w:r>
              <w:t>39.59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6" w:type="dxa"/>
            <w:vAlign w:val="center"/>
          </w:tcPr>
          <w:p>
            <w:pPr>
              <w:pStyle w:val="13"/>
            </w:pPr>
            <w:r>
              <w:t>行政事业单位医疗</w:t>
            </w:r>
          </w:p>
        </w:tc>
        <w:tc>
          <w:tcPr>
            <w:tcW w:w="1361" w:type="dxa"/>
            <w:vAlign w:val="center"/>
          </w:tcPr>
          <w:p>
            <w:pPr>
              <w:pStyle w:val="12"/>
            </w:pPr>
            <w:r>
              <w:t>39.59</w:t>
            </w:r>
          </w:p>
        </w:tc>
        <w:tc>
          <w:tcPr>
            <w:tcW w:w="1361" w:type="dxa"/>
            <w:vAlign w:val="center"/>
          </w:tcPr>
          <w:p>
            <w:pPr>
              <w:pStyle w:val="12"/>
            </w:pPr>
            <w:r>
              <w:t>39.59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6" w:type="dxa"/>
            <w:vAlign w:val="center"/>
          </w:tcPr>
          <w:p>
            <w:pPr>
              <w:pStyle w:val="13"/>
            </w:pPr>
            <w:r>
              <w:t>行政单位医疗</w:t>
            </w:r>
          </w:p>
        </w:tc>
        <w:tc>
          <w:tcPr>
            <w:tcW w:w="1361" w:type="dxa"/>
            <w:vAlign w:val="center"/>
          </w:tcPr>
          <w:p>
            <w:pPr>
              <w:pStyle w:val="12"/>
            </w:pPr>
            <w:r>
              <w:t>19.07</w:t>
            </w:r>
          </w:p>
        </w:tc>
        <w:tc>
          <w:tcPr>
            <w:tcW w:w="1361" w:type="dxa"/>
            <w:vAlign w:val="center"/>
          </w:tcPr>
          <w:p>
            <w:pPr>
              <w:pStyle w:val="12"/>
            </w:pPr>
            <w:r>
              <w:t>19.07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14</w:t>
            </w:r>
          </w:p>
        </w:tc>
        <w:tc>
          <w:tcPr>
            <w:tcW w:w="992" w:type="dxa"/>
            <w:vAlign w:val="center"/>
          </w:tcPr>
          <w:p>
            <w:pPr>
              <w:pStyle w:val="13"/>
            </w:pPr>
            <w:r>
              <w:t>2101103</w:t>
            </w:r>
          </w:p>
        </w:tc>
        <w:tc>
          <w:tcPr>
            <w:tcW w:w="4536" w:type="dxa"/>
            <w:vAlign w:val="center"/>
          </w:tcPr>
          <w:p>
            <w:pPr>
              <w:pStyle w:val="13"/>
            </w:pPr>
            <w:r>
              <w:t>公务员医疗补助</w:t>
            </w:r>
          </w:p>
        </w:tc>
        <w:tc>
          <w:tcPr>
            <w:tcW w:w="1361" w:type="dxa"/>
            <w:vAlign w:val="center"/>
          </w:tcPr>
          <w:p>
            <w:pPr>
              <w:pStyle w:val="12"/>
            </w:pPr>
            <w:r>
              <w:t>20.52</w:t>
            </w:r>
          </w:p>
        </w:tc>
        <w:tc>
          <w:tcPr>
            <w:tcW w:w="1361" w:type="dxa"/>
            <w:vAlign w:val="center"/>
          </w:tcPr>
          <w:p>
            <w:pPr>
              <w:pStyle w:val="12"/>
            </w:pPr>
            <w:r>
              <w:t>20.52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6" w:type="dxa"/>
            <w:vAlign w:val="center"/>
          </w:tcPr>
          <w:p>
            <w:pPr>
              <w:pStyle w:val="13"/>
            </w:pPr>
            <w:r>
              <w:t>住房保障支出</w:t>
            </w:r>
          </w:p>
        </w:tc>
        <w:tc>
          <w:tcPr>
            <w:tcW w:w="1361" w:type="dxa"/>
            <w:vAlign w:val="center"/>
          </w:tcPr>
          <w:p>
            <w:pPr>
              <w:pStyle w:val="12"/>
            </w:pPr>
            <w:r>
              <w:t>28.40</w:t>
            </w:r>
          </w:p>
        </w:tc>
        <w:tc>
          <w:tcPr>
            <w:tcW w:w="1361" w:type="dxa"/>
            <w:vAlign w:val="center"/>
          </w:tcPr>
          <w:p>
            <w:pPr>
              <w:pStyle w:val="12"/>
            </w:pPr>
            <w:r>
              <w:t>28.40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6" w:type="dxa"/>
            <w:vAlign w:val="center"/>
          </w:tcPr>
          <w:p>
            <w:pPr>
              <w:pStyle w:val="13"/>
            </w:pPr>
            <w:r>
              <w:t>住房改革支出</w:t>
            </w:r>
          </w:p>
        </w:tc>
        <w:tc>
          <w:tcPr>
            <w:tcW w:w="1361" w:type="dxa"/>
            <w:vAlign w:val="center"/>
          </w:tcPr>
          <w:p>
            <w:pPr>
              <w:pStyle w:val="12"/>
            </w:pPr>
            <w:r>
              <w:t>28.40</w:t>
            </w:r>
          </w:p>
        </w:tc>
        <w:tc>
          <w:tcPr>
            <w:tcW w:w="1361" w:type="dxa"/>
            <w:vAlign w:val="center"/>
          </w:tcPr>
          <w:p>
            <w:pPr>
              <w:pStyle w:val="12"/>
            </w:pPr>
            <w:r>
              <w:t>28.40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6" w:type="dxa"/>
            <w:vAlign w:val="center"/>
          </w:tcPr>
          <w:p>
            <w:pPr>
              <w:pStyle w:val="13"/>
            </w:pPr>
            <w:r>
              <w:t>住房公积金</w:t>
            </w:r>
          </w:p>
        </w:tc>
        <w:tc>
          <w:tcPr>
            <w:tcW w:w="1361" w:type="dxa"/>
            <w:vAlign w:val="center"/>
          </w:tcPr>
          <w:p>
            <w:pPr>
              <w:pStyle w:val="12"/>
            </w:pPr>
            <w:r>
              <w:t>28.40</w:t>
            </w:r>
          </w:p>
        </w:tc>
        <w:tc>
          <w:tcPr>
            <w:tcW w:w="1361" w:type="dxa"/>
            <w:vAlign w:val="center"/>
          </w:tcPr>
          <w:p>
            <w:pPr>
              <w:pStyle w:val="12"/>
            </w:pPr>
            <w:r>
              <w:t>28.40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color w:val="000000"/>
          <w:sz w:val="36"/>
        </w:rPr>
        <w:t>部门预算财政拨款收支总表</w:t>
      </w:r>
      <w:bookmarkEnd w:id="3"/>
    </w:p>
    <w:tbl>
      <w:tblPr>
        <w:tblStyle w:val="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304唐山市丰南区信访局</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689.37</w:t>
            </w:r>
          </w:p>
        </w:tc>
        <w:tc>
          <w:tcPr>
            <w:tcW w:w="3402" w:type="dxa"/>
            <w:vAlign w:val="center"/>
          </w:tcPr>
          <w:p>
            <w:pPr>
              <w:pStyle w:val="13"/>
            </w:pPr>
            <w:r>
              <w:t>一、一般公共服务支出</w:t>
            </w:r>
          </w:p>
        </w:tc>
        <w:tc>
          <w:tcPr>
            <w:tcW w:w="1474" w:type="dxa"/>
            <w:vAlign w:val="center"/>
          </w:tcPr>
          <w:p>
            <w:pPr>
              <w:pStyle w:val="12"/>
            </w:pPr>
            <w:r>
              <w:t>578.04</w:t>
            </w:r>
          </w:p>
        </w:tc>
        <w:tc>
          <w:tcPr>
            <w:tcW w:w="1474" w:type="dxa"/>
            <w:vAlign w:val="center"/>
          </w:tcPr>
          <w:p>
            <w:pPr>
              <w:pStyle w:val="12"/>
            </w:pPr>
            <w:r>
              <w:t>578.04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43.34</w:t>
            </w:r>
          </w:p>
        </w:tc>
        <w:tc>
          <w:tcPr>
            <w:tcW w:w="1474" w:type="dxa"/>
            <w:vAlign w:val="center"/>
          </w:tcPr>
          <w:p>
            <w:pPr>
              <w:pStyle w:val="12"/>
            </w:pPr>
            <w:r>
              <w:t>43.34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39.59</w:t>
            </w:r>
          </w:p>
        </w:tc>
        <w:tc>
          <w:tcPr>
            <w:tcW w:w="1474" w:type="dxa"/>
            <w:vAlign w:val="center"/>
          </w:tcPr>
          <w:p>
            <w:pPr>
              <w:pStyle w:val="12"/>
            </w:pPr>
            <w:r>
              <w:t>39.59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28.40</w:t>
            </w:r>
          </w:p>
        </w:tc>
        <w:tc>
          <w:tcPr>
            <w:tcW w:w="1474" w:type="dxa"/>
            <w:vAlign w:val="center"/>
          </w:tcPr>
          <w:p>
            <w:pPr>
              <w:pStyle w:val="12"/>
            </w:pPr>
            <w:r>
              <w:t>28.40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689.37</w:t>
            </w:r>
          </w:p>
        </w:tc>
        <w:tc>
          <w:tcPr>
            <w:tcW w:w="3402" w:type="dxa"/>
            <w:vAlign w:val="center"/>
          </w:tcPr>
          <w:p>
            <w:pPr>
              <w:pStyle w:val="15"/>
            </w:pPr>
            <w:r>
              <w:t>本年支出合计</w:t>
            </w:r>
          </w:p>
        </w:tc>
        <w:tc>
          <w:tcPr>
            <w:tcW w:w="1474" w:type="dxa"/>
            <w:vAlign w:val="center"/>
          </w:tcPr>
          <w:p>
            <w:pPr>
              <w:pStyle w:val="16"/>
            </w:pPr>
            <w:r>
              <w:t>689.37</w:t>
            </w:r>
          </w:p>
        </w:tc>
        <w:tc>
          <w:tcPr>
            <w:tcW w:w="1474" w:type="dxa"/>
            <w:vAlign w:val="center"/>
          </w:tcPr>
          <w:p>
            <w:pPr>
              <w:pStyle w:val="16"/>
            </w:pPr>
            <w:r>
              <w:t>689.37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689.37</w:t>
            </w:r>
          </w:p>
        </w:tc>
        <w:tc>
          <w:tcPr>
            <w:tcW w:w="3402" w:type="dxa"/>
            <w:vAlign w:val="center"/>
          </w:tcPr>
          <w:p>
            <w:pPr>
              <w:pStyle w:val="15"/>
            </w:pPr>
            <w:r>
              <w:t>支出总计</w:t>
            </w:r>
          </w:p>
        </w:tc>
        <w:tc>
          <w:tcPr>
            <w:tcW w:w="1474" w:type="dxa"/>
            <w:vAlign w:val="center"/>
          </w:tcPr>
          <w:p>
            <w:pPr>
              <w:pStyle w:val="16"/>
            </w:pPr>
            <w:r>
              <w:t>689.37</w:t>
            </w:r>
          </w:p>
        </w:tc>
        <w:tc>
          <w:tcPr>
            <w:tcW w:w="1474" w:type="dxa"/>
            <w:vAlign w:val="center"/>
          </w:tcPr>
          <w:p>
            <w:pPr>
              <w:pStyle w:val="16"/>
            </w:pPr>
            <w:r>
              <w:t>689.37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color w:val="000000"/>
          <w:sz w:val="36"/>
        </w:rPr>
        <w:t>部门预算一般公共预算财政拨款支出表</w:t>
      </w:r>
      <w:bookmarkEnd w:id="4"/>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304唐山市丰南区信访局</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689.37</w:t>
            </w:r>
          </w:p>
        </w:tc>
        <w:tc>
          <w:tcPr>
            <w:tcW w:w="2551" w:type="dxa"/>
            <w:vAlign w:val="center"/>
          </w:tcPr>
          <w:p>
            <w:pPr>
              <w:pStyle w:val="16"/>
            </w:pPr>
            <w:r>
              <w:t>372.07</w:t>
            </w:r>
          </w:p>
        </w:tc>
        <w:tc>
          <w:tcPr>
            <w:tcW w:w="2551" w:type="dxa"/>
            <w:vAlign w:val="center"/>
          </w:tcPr>
          <w:p>
            <w:pPr>
              <w:pStyle w:val="16"/>
            </w:pPr>
            <w:r>
              <w:t>317.30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578.04</w:t>
            </w:r>
          </w:p>
        </w:tc>
        <w:tc>
          <w:tcPr>
            <w:tcW w:w="2551" w:type="dxa"/>
            <w:vAlign w:val="center"/>
          </w:tcPr>
          <w:p>
            <w:pPr>
              <w:pStyle w:val="12"/>
            </w:pPr>
            <w:r>
              <w:t>260.74</w:t>
            </w:r>
          </w:p>
        </w:tc>
        <w:tc>
          <w:tcPr>
            <w:tcW w:w="2551" w:type="dxa"/>
            <w:vAlign w:val="center"/>
          </w:tcPr>
          <w:p>
            <w:pPr>
              <w:pStyle w:val="12"/>
            </w:pPr>
            <w:r>
              <w:t>317.30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578.04</w:t>
            </w:r>
          </w:p>
        </w:tc>
        <w:tc>
          <w:tcPr>
            <w:tcW w:w="2551" w:type="dxa"/>
            <w:vAlign w:val="center"/>
          </w:tcPr>
          <w:p>
            <w:pPr>
              <w:pStyle w:val="12"/>
            </w:pPr>
            <w:r>
              <w:t>260.74</w:t>
            </w:r>
          </w:p>
        </w:tc>
        <w:tc>
          <w:tcPr>
            <w:tcW w:w="2551" w:type="dxa"/>
            <w:vAlign w:val="center"/>
          </w:tcPr>
          <w:p>
            <w:pPr>
              <w:pStyle w:val="12"/>
            </w:pPr>
            <w:r>
              <w:t>317.30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2010308</w:t>
            </w:r>
          </w:p>
        </w:tc>
        <w:tc>
          <w:tcPr>
            <w:tcW w:w="4535" w:type="dxa"/>
            <w:vAlign w:val="center"/>
          </w:tcPr>
          <w:p>
            <w:pPr>
              <w:pStyle w:val="13"/>
            </w:pPr>
            <w:r>
              <w:t>信访事务</w:t>
            </w:r>
          </w:p>
        </w:tc>
        <w:tc>
          <w:tcPr>
            <w:tcW w:w="2551" w:type="dxa"/>
            <w:vAlign w:val="center"/>
          </w:tcPr>
          <w:p>
            <w:pPr>
              <w:pStyle w:val="12"/>
            </w:pPr>
            <w:r>
              <w:t>462.93</w:t>
            </w:r>
          </w:p>
        </w:tc>
        <w:tc>
          <w:tcPr>
            <w:tcW w:w="2551" w:type="dxa"/>
            <w:vAlign w:val="center"/>
          </w:tcPr>
          <w:p>
            <w:pPr>
              <w:pStyle w:val="12"/>
            </w:pPr>
            <w:r>
              <w:t>145.63</w:t>
            </w:r>
          </w:p>
        </w:tc>
        <w:tc>
          <w:tcPr>
            <w:tcW w:w="2551" w:type="dxa"/>
            <w:vAlign w:val="center"/>
          </w:tcPr>
          <w:p>
            <w:pPr>
              <w:pStyle w:val="12"/>
            </w:pPr>
            <w:r>
              <w:t>317.30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2010309</w:t>
            </w:r>
          </w:p>
        </w:tc>
        <w:tc>
          <w:tcPr>
            <w:tcW w:w="4535" w:type="dxa"/>
            <w:vAlign w:val="center"/>
          </w:tcPr>
          <w:p>
            <w:pPr>
              <w:pStyle w:val="13"/>
            </w:pPr>
            <w:r>
              <w:t>参事事务</w:t>
            </w:r>
          </w:p>
        </w:tc>
        <w:tc>
          <w:tcPr>
            <w:tcW w:w="2551" w:type="dxa"/>
            <w:vAlign w:val="center"/>
          </w:tcPr>
          <w:p>
            <w:pPr>
              <w:pStyle w:val="12"/>
            </w:pPr>
            <w:r>
              <w:t>1.90</w:t>
            </w:r>
          </w:p>
        </w:tc>
        <w:tc>
          <w:tcPr>
            <w:tcW w:w="2551" w:type="dxa"/>
            <w:vAlign w:val="center"/>
          </w:tcPr>
          <w:p>
            <w:pPr>
              <w:pStyle w:val="12"/>
            </w:pPr>
            <w:r>
              <w:t>1.90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113.21</w:t>
            </w:r>
          </w:p>
        </w:tc>
        <w:tc>
          <w:tcPr>
            <w:tcW w:w="2551" w:type="dxa"/>
            <w:vAlign w:val="center"/>
          </w:tcPr>
          <w:p>
            <w:pPr>
              <w:pStyle w:val="12"/>
            </w:pPr>
            <w:r>
              <w:t>113.21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43.34</w:t>
            </w:r>
          </w:p>
        </w:tc>
        <w:tc>
          <w:tcPr>
            <w:tcW w:w="2551" w:type="dxa"/>
            <w:vAlign w:val="center"/>
          </w:tcPr>
          <w:p>
            <w:pPr>
              <w:pStyle w:val="12"/>
            </w:pPr>
            <w:r>
              <w:t>43.34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43.34</w:t>
            </w:r>
          </w:p>
        </w:tc>
        <w:tc>
          <w:tcPr>
            <w:tcW w:w="2551" w:type="dxa"/>
            <w:vAlign w:val="center"/>
          </w:tcPr>
          <w:p>
            <w:pPr>
              <w:pStyle w:val="12"/>
            </w:pPr>
            <w:r>
              <w:t>43.34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7.30</w:t>
            </w:r>
          </w:p>
        </w:tc>
        <w:tc>
          <w:tcPr>
            <w:tcW w:w="2551" w:type="dxa"/>
            <w:vAlign w:val="center"/>
          </w:tcPr>
          <w:p>
            <w:pPr>
              <w:pStyle w:val="12"/>
            </w:pPr>
            <w:r>
              <w:t>7.30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36.04</w:t>
            </w:r>
          </w:p>
        </w:tc>
        <w:tc>
          <w:tcPr>
            <w:tcW w:w="2551" w:type="dxa"/>
            <w:vAlign w:val="center"/>
          </w:tcPr>
          <w:p>
            <w:pPr>
              <w:pStyle w:val="12"/>
            </w:pPr>
            <w:r>
              <w:t>36.04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39.59</w:t>
            </w:r>
          </w:p>
        </w:tc>
        <w:tc>
          <w:tcPr>
            <w:tcW w:w="2551" w:type="dxa"/>
            <w:vAlign w:val="center"/>
          </w:tcPr>
          <w:p>
            <w:pPr>
              <w:pStyle w:val="12"/>
            </w:pPr>
            <w:r>
              <w:t>39.59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39.59</w:t>
            </w:r>
          </w:p>
        </w:tc>
        <w:tc>
          <w:tcPr>
            <w:tcW w:w="2551" w:type="dxa"/>
            <w:vAlign w:val="center"/>
          </w:tcPr>
          <w:p>
            <w:pPr>
              <w:pStyle w:val="12"/>
            </w:pPr>
            <w:r>
              <w:t>39.59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19.07</w:t>
            </w:r>
          </w:p>
        </w:tc>
        <w:tc>
          <w:tcPr>
            <w:tcW w:w="2551" w:type="dxa"/>
            <w:vAlign w:val="center"/>
          </w:tcPr>
          <w:p>
            <w:pPr>
              <w:pStyle w:val="12"/>
            </w:pPr>
            <w:r>
              <w:t>19.07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14</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20.52</w:t>
            </w:r>
          </w:p>
        </w:tc>
        <w:tc>
          <w:tcPr>
            <w:tcW w:w="2551" w:type="dxa"/>
            <w:vAlign w:val="center"/>
          </w:tcPr>
          <w:p>
            <w:pPr>
              <w:pStyle w:val="12"/>
            </w:pPr>
            <w:r>
              <w:t>20.52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28.40</w:t>
            </w:r>
          </w:p>
        </w:tc>
        <w:tc>
          <w:tcPr>
            <w:tcW w:w="2551" w:type="dxa"/>
            <w:vAlign w:val="center"/>
          </w:tcPr>
          <w:p>
            <w:pPr>
              <w:pStyle w:val="12"/>
            </w:pPr>
            <w:r>
              <w:t>28.40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28.40</w:t>
            </w:r>
          </w:p>
        </w:tc>
        <w:tc>
          <w:tcPr>
            <w:tcW w:w="2551" w:type="dxa"/>
            <w:vAlign w:val="center"/>
          </w:tcPr>
          <w:p>
            <w:pPr>
              <w:pStyle w:val="12"/>
            </w:pPr>
            <w:r>
              <w:t>28.40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28.40</w:t>
            </w:r>
          </w:p>
        </w:tc>
        <w:tc>
          <w:tcPr>
            <w:tcW w:w="2551" w:type="dxa"/>
            <w:vAlign w:val="center"/>
          </w:tcPr>
          <w:p>
            <w:pPr>
              <w:pStyle w:val="12"/>
            </w:pPr>
            <w:r>
              <w:t>28.40</w:t>
            </w:r>
          </w:p>
        </w:tc>
        <w:tc>
          <w:tcPr>
            <w:tcW w:w="2551" w:type="dxa"/>
            <w:vAlign w:val="center"/>
          </w:tcPr>
          <w:p>
            <w:pPr>
              <w:pStyle w:val="1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color w:val="000000"/>
          <w:sz w:val="36"/>
        </w:rPr>
        <w:t>部门预算一般公共预算财政拨款基本支出表</w:t>
      </w:r>
      <w:bookmarkEnd w:id="5"/>
    </w:p>
    <w:tbl>
      <w:tblPr>
        <w:tblStyle w:val="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304唐山市丰南区信访局</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372.07</w:t>
            </w:r>
          </w:p>
        </w:tc>
        <w:tc>
          <w:tcPr>
            <w:tcW w:w="2551" w:type="dxa"/>
            <w:vAlign w:val="center"/>
          </w:tcPr>
          <w:p>
            <w:pPr>
              <w:pStyle w:val="16"/>
            </w:pPr>
            <w:r>
              <w:t>334.33</w:t>
            </w:r>
          </w:p>
        </w:tc>
        <w:tc>
          <w:tcPr>
            <w:tcW w:w="2552" w:type="dxa"/>
            <w:vAlign w:val="center"/>
          </w:tcPr>
          <w:p>
            <w:pPr>
              <w:pStyle w:val="16"/>
            </w:pPr>
            <w:r>
              <w:t>37.74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326.96</w:t>
            </w:r>
          </w:p>
        </w:tc>
        <w:tc>
          <w:tcPr>
            <w:tcW w:w="2551" w:type="dxa"/>
            <w:vAlign w:val="center"/>
          </w:tcPr>
          <w:p>
            <w:pPr>
              <w:pStyle w:val="12"/>
            </w:pPr>
            <w:r>
              <w:t>326.96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94.55</w:t>
            </w:r>
          </w:p>
        </w:tc>
        <w:tc>
          <w:tcPr>
            <w:tcW w:w="2551" w:type="dxa"/>
            <w:vAlign w:val="center"/>
          </w:tcPr>
          <w:p>
            <w:pPr>
              <w:pStyle w:val="12"/>
            </w:pPr>
            <w:r>
              <w:t>94.55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60.93</w:t>
            </w:r>
          </w:p>
        </w:tc>
        <w:tc>
          <w:tcPr>
            <w:tcW w:w="2551" w:type="dxa"/>
            <w:vAlign w:val="center"/>
          </w:tcPr>
          <w:p>
            <w:pPr>
              <w:pStyle w:val="12"/>
            </w:pPr>
            <w:r>
              <w:t>60.93</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2.89</w:t>
            </w:r>
          </w:p>
        </w:tc>
        <w:tc>
          <w:tcPr>
            <w:tcW w:w="2551" w:type="dxa"/>
            <w:vAlign w:val="center"/>
          </w:tcPr>
          <w:p>
            <w:pPr>
              <w:pStyle w:val="12"/>
            </w:pPr>
            <w:r>
              <w:t>2.89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56.83</w:t>
            </w:r>
          </w:p>
        </w:tc>
        <w:tc>
          <w:tcPr>
            <w:tcW w:w="2551" w:type="dxa"/>
            <w:vAlign w:val="center"/>
          </w:tcPr>
          <w:p>
            <w:pPr>
              <w:pStyle w:val="12"/>
            </w:pPr>
            <w:r>
              <w:t>56.83</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36.04</w:t>
            </w:r>
          </w:p>
        </w:tc>
        <w:tc>
          <w:tcPr>
            <w:tcW w:w="2551" w:type="dxa"/>
            <w:vAlign w:val="center"/>
          </w:tcPr>
          <w:p>
            <w:pPr>
              <w:pStyle w:val="12"/>
            </w:pPr>
            <w:r>
              <w:t>36.04</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城镇职工基本医疗保险缴费</w:t>
            </w:r>
          </w:p>
        </w:tc>
        <w:tc>
          <w:tcPr>
            <w:tcW w:w="2551" w:type="dxa"/>
            <w:vAlign w:val="center"/>
          </w:tcPr>
          <w:p>
            <w:pPr>
              <w:pStyle w:val="12"/>
            </w:pPr>
            <w:r>
              <w:t>19.07</w:t>
            </w:r>
          </w:p>
        </w:tc>
        <w:tc>
          <w:tcPr>
            <w:tcW w:w="2551" w:type="dxa"/>
            <w:vAlign w:val="center"/>
          </w:tcPr>
          <w:p>
            <w:pPr>
              <w:pStyle w:val="12"/>
            </w:pPr>
            <w:r>
              <w:t>19.07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20.52</w:t>
            </w:r>
          </w:p>
        </w:tc>
        <w:tc>
          <w:tcPr>
            <w:tcW w:w="2551" w:type="dxa"/>
            <w:vAlign w:val="center"/>
          </w:tcPr>
          <w:p>
            <w:pPr>
              <w:pStyle w:val="12"/>
            </w:pPr>
            <w:r>
              <w:t>20.52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7.73</w:t>
            </w:r>
          </w:p>
        </w:tc>
        <w:tc>
          <w:tcPr>
            <w:tcW w:w="2551" w:type="dxa"/>
            <w:vAlign w:val="center"/>
          </w:tcPr>
          <w:p>
            <w:pPr>
              <w:pStyle w:val="12"/>
            </w:pPr>
            <w:r>
              <w:t>7.73</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28.40</w:t>
            </w:r>
          </w:p>
        </w:tc>
        <w:tc>
          <w:tcPr>
            <w:tcW w:w="2551" w:type="dxa"/>
            <w:vAlign w:val="center"/>
          </w:tcPr>
          <w:p>
            <w:pPr>
              <w:pStyle w:val="12"/>
            </w:pPr>
            <w:r>
              <w:t>28.40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37.74</w:t>
            </w:r>
          </w:p>
        </w:tc>
        <w:tc>
          <w:tcPr>
            <w:tcW w:w="2551" w:type="dxa"/>
            <w:vAlign w:val="center"/>
          </w:tcPr>
          <w:p>
            <w:pPr>
              <w:pStyle w:val="12"/>
            </w:pPr>
          </w:p>
        </w:tc>
        <w:tc>
          <w:tcPr>
            <w:tcW w:w="2552" w:type="dxa"/>
            <w:vAlign w:val="center"/>
          </w:tcPr>
          <w:p>
            <w:pPr>
              <w:pStyle w:val="12"/>
            </w:pPr>
            <w:r>
              <w:t>37.74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5.84</w:t>
            </w:r>
          </w:p>
        </w:tc>
        <w:tc>
          <w:tcPr>
            <w:tcW w:w="2551" w:type="dxa"/>
            <w:vAlign w:val="center"/>
          </w:tcPr>
          <w:p>
            <w:pPr>
              <w:pStyle w:val="12"/>
            </w:pPr>
          </w:p>
        </w:tc>
        <w:tc>
          <w:tcPr>
            <w:tcW w:w="2552" w:type="dxa"/>
            <w:vAlign w:val="center"/>
          </w:tcPr>
          <w:p>
            <w:pPr>
              <w:pStyle w:val="12"/>
            </w:pPr>
            <w:r>
              <w:t>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1.00</w:t>
            </w:r>
          </w:p>
        </w:tc>
        <w:tc>
          <w:tcPr>
            <w:tcW w:w="2551" w:type="dxa"/>
            <w:vAlign w:val="center"/>
          </w:tcPr>
          <w:p>
            <w:pPr>
              <w:pStyle w:val="12"/>
            </w:pPr>
          </w:p>
        </w:tc>
        <w:tc>
          <w:tcPr>
            <w:tcW w:w="2552"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7.70</w:t>
            </w:r>
          </w:p>
        </w:tc>
        <w:tc>
          <w:tcPr>
            <w:tcW w:w="2551" w:type="dxa"/>
            <w:vAlign w:val="center"/>
          </w:tcPr>
          <w:p>
            <w:pPr>
              <w:pStyle w:val="12"/>
            </w:pPr>
          </w:p>
        </w:tc>
        <w:tc>
          <w:tcPr>
            <w:tcW w:w="2552" w:type="dxa"/>
            <w:vAlign w:val="center"/>
          </w:tcPr>
          <w:p>
            <w:pPr>
              <w:pStyle w:val="12"/>
            </w:pPr>
            <w:r>
              <w:t>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3.60</w:t>
            </w:r>
          </w:p>
        </w:tc>
        <w:tc>
          <w:tcPr>
            <w:tcW w:w="2551" w:type="dxa"/>
            <w:vAlign w:val="center"/>
          </w:tcPr>
          <w:p>
            <w:pPr>
              <w:pStyle w:val="12"/>
            </w:pPr>
          </w:p>
        </w:tc>
        <w:tc>
          <w:tcPr>
            <w:tcW w:w="2552"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4.80</w:t>
            </w:r>
          </w:p>
        </w:tc>
        <w:tc>
          <w:tcPr>
            <w:tcW w:w="2551" w:type="dxa"/>
            <w:vAlign w:val="center"/>
          </w:tcPr>
          <w:p>
            <w:pPr>
              <w:pStyle w:val="12"/>
            </w:pPr>
          </w:p>
        </w:tc>
        <w:tc>
          <w:tcPr>
            <w:tcW w:w="2552"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2.70</w:t>
            </w:r>
          </w:p>
        </w:tc>
        <w:tc>
          <w:tcPr>
            <w:tcW w:w="2551" w:type="dxa"/>
            <w:vAlign w:val="center"/>
          </w:tcPr>
          <w:p>
            <w:pPr>
              <w:pStyle w:val="12"/>
            </w:pPr>
          </w:p>
        </w:tc>
        <w:tc>
          <w:tcPr>
            <w:tcW w:w="2552" w:type="dxa"/>
            <w:vAlign w:val="center"/>
          </w:tcPr>
          <w:p>
            <w:pPr>
              <w:pStyle w:val="12"/>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5.00</w:t>
            </w:r>
          </w:p>
        </w:tc>
        <w:tc>
          <w:tcPr>
            <w:tcW w:w="2551" w:type="dxa"/>
            <w:vAlign w:val="center"/>
          </w:tcPr>
          <w:p>
            <w:pPr>
              <w:pStyle w:val="12"/>
            </w:pPr>
          </w:p>
        </w:tc>
        <w:tc>
          <w:tcPr>
            <w:tcW w:w="2552"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6.80</w:t>
            </w:r>
          </w:p>
        </w:tc>
        <w:tc>
          <w:tcPr>
            <w:tcW w:w="2551" w:type="dxa"/>
            <w:vAlign w:val="center"/>
          </w:tcPr>
          <w:p>
            <w:pPr>
              <w:pStyle w:val="12"/>
            </w:pPr>
          </w:p>
        </w:tc>
        <w:tc>
          <w:tcPr>
            <w:tcW w:w="2552" w:type="dxa"/>
            <w:vAlign w:val="center"/>
          </w:tcPr>
          <w:p>
            <w:pPr>
              <w:pStyle w:val="12"/>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0.30</w:t>
            </w:r>
          </w:p>
        </w:tc>
        <w:tc>
          <w:tcPr>
            <w:tcW w:w="2551" w:type="dxa"/>
            <w:vAlign w:val="center"/>
          </w:tcPr>
          <w:p>
            <w:pPr>
              <w:pStyle w:val="12"/>
            </w:pPr>
          </w:p>
        </w:tc>
        <w:tc>
          <w:tcPr>
            <w:tcW w:w="2552"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7.37</w:t>
            </w:r>
          </w:p>
        </w:tc>
        <w:tc>
          <w:tcPr>
            <w:tcW w:w="2551" w:type="dxa"/>
            <w:vAlign w:val="center"/>
          </w:tcPr>
          <w:p>
            <w:pPr>
              <w:pStyle w:val="12"/>
            </w:pPr>
            <w:r>
              <w:t>7.37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7.30</w:t>
            </w:r>
          </w:p>
        </w:tc>
        <w:tc>
          <w:tcPr>
            <w:tcW w:w="2551" w:type="dxa"/>
            <w:vAlign w:val="center"/>
          </w:tcPr>
          <w:p>
            <w:pPr>
              <w:pStyle w:val="12"/>
            </w:pPr>
            <w:r>
              <w:t>7.30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0.07</w:t>
            </w:r>
          </w:p>
        </w:tc>
        <w:tc>
          <w:tcPr>
            <w:tcW w:w="2551" w:type="dxa"/>
            <w:vAlign w:val="center"/>
          </w:tcPr>
          <w:p>
            <w:pPr>
              <w:pStyle w:val="12"/>
            </w:pPr>
            <w:r>
              <w:t>0.07</w:t>
            </w:r>
          </w:p>
        </w:tc>
        <w:tc>
          <w:tcPr>
            <w:tcW w:w="2552" w:type="dxa"/>
            <w:vAlign w:val="center"/>
          </w:tcPr>
          <w:p>
            <w:pPr>
              <w:pStyle w:val="1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color w:val="000000"/>
          <w:sz w:val="36"/>
        </w:rPr>
        <w:t>部门预算政府基金预算财政拨款支出表</w:t>
      </w:r>
      <w:bookmarkEnd w:id="6"/>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304唐山市丰南区信访局</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color w:val="000000"/>
          <w:sz w:val="36"/>
        </w:rPr>
        <w:t>部门预算国有资本经营预算财政拨款支出表</w:t>
      </w:r>
      <w:bookmarkEnd w:id="7"/>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304唐山市丰南区信访局</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color w:val="000000"/>
          <w:sz w:val="36"/>
        </w:rPr>
        <w:t>部门预算财政拨款“三公”经费支出表</w:t>
      </w:r>
      <w:bookmarkEnd w:id="8"/>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304唐山市丰南区信访局</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pPr/>
          </w:p>
        </w:tc>
        <w:tc>
          <w:tcPr>
            <w:tcW w:w="3798" w:type="dxa"/>
            <w:vMerge w:val="continue"/>
          </w:tcPr>
          <w:p>
            <w:p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pPr>
            <w:r>
              <w:t>8.00</w:t>
            </w:r>
          </w:p>
        </w:tc>
        <w:tc>
          <w:tcPr>
            <w:tcW w:w="2381" w:type="dxa"/>
            <w:vAlign w:val="center"/>
          </w:tcPr>
          <w:p>
            <w:pPr>
              <w:pStyle w:val="16"/>
            </w:pPr>
            <w:r>
              <w:t>8.00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2" w:type="dxa"/>
            <w:vAlign w:val="center"/>
          </w:tcPr>
          <w:p>
            <w:pPr>
              <w:pStyle w:val="12"/>
            </w:pPr>
            <w:r>
              <w:t>8.00</w:t>
            </w:r>
          </w:p>
        </w:tc>
        <w:tc>
          <w:tcPr>
            <w:tcW w:w="2381" w:type="dxa"/>
            <w:vAlign w:val="center"/>
          </w:tcPr>
          <w:p>
            <w:pPr>
              <w:pStyle w:val="12"/>
            </w:pPr>
            <w:r>
              <w:t>8.00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其中：教学科研人员因公出国（境）</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二、公务用车购置及维护费</w:t>
            </w:r>
          </w:p>
        </w:tc>
        <w:tc>
          <w:tcPr>
            <w:tcW w:w="2382" w:type="dxa"/>
            <w:vAlign w:val="center"/>
          </w:tcPr>
          <w:p>
            <w:pPr>
              <w:pStyle w:val="12"/>
            </w:pPr>
            <w:r>
              <w:t>8.00</w:t>
            </w:r>
          </w:p>
        </w:tc>
        <w:tc>
          <w:tcPr>
            <w:tcW w:w="2381" w:type="dxa"/>
            <w:vAlign w:val="center"/>
          </w:tcPr>
          <w:p>
            <w:pPr>
              <w:pStyle w:val="12"/>
            </w:pPr>
            <w:r>
              <w:t>8.00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2" w:type="dxa"/>
            <w:vAlign w:val="center"/>
          </w:tcPr>
          <w:p>
            <w:pPr>
              <w:pStyle w:val="12"/>
            </w:pPr>
            <w:r>
              <w:t>8.00</w:t>
            </w:r>
          </w:p>
        </w:tc>
        <w:tc>
          <w:tcPr>
            <w:tcW w:w="2381" w:type="dxa"/>
            <w:vAlign w:val="center"/>
          </w:tcPr>
          <w:p>
            <w:pPr>
              <w:pStyle w:val="12"/>
            </w:pPr>
            <w:r>
              <w:t>8.00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五、培训费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color w:val="FFFFFF"/>
          <w:sz w:val="21"/>
        </w:rPr>
        <w:t>第一部分  唐山市丰南区信访局2022年部门预算信息公开情况说明</w:t>
      </w:r>
    </w:p>
    <w:p>
      <w:pPr>
        <w:spacing w:before="0" w:after="0" w:line="240" w:lineRule="auto"/>
        <w:ind w:firstLine="0"/>
        <w:jc w:val="center"/>
        <w:outlineLvl w:val="9"/>
      </w:pPr>
      <w:r>
        <w:rPr>
          <w:rFonts w:ascii="方正小标宋_GBK" w:eastAsia="方正小标宋_GBK" w:cs="方正小标宋_GBK"/>
          <w:color w:val="000000"/>
          <w:sz w:val="44"/>
        </w:rPr>
        <w:t>唐山市丰南区信访局2022年部门预算信息公开情况说明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按照《预算法》、《地方预决算公开操作规程》和《关于进一步推进预算公开工作的实施意见》规定，现将唐山市丰南区信访局2022年部门预算公开如下：</w:t>
      </w:r>
    </w:p>
    <w:p>
      <w:pPr>
        <w:spacing w:before="10" w:after="10" w:line="360" w:lineRule="auto"/>
        <w:ind w:firstLine="640"/>
        <w:jc w:val="left"/>
        <w:outlineLvl w:val="2"/>
      </w:pPr>
      <w:bookmarkStart w:id="9" w:name="_Toc_3_3_0000000010"/>
      <w:r>
        <w:rPr>
          <w:rFonts w:asci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b/>
          <w:color w:val="000000"/>
          <w:sz w:val="32"/>
        </w:rPr>
        <w:t>部门职责：</w:t>
      </w:r>
    </w:p>
    <w:p>
      <w:pPr>
        <w:pStyle w:val="18"/>
      </w:pPr>
      <w:r>
        <w:t>　　(一) 研究提出全区信访工作思路，拟订信访工作方针政策。</w:t>
      </w:r>
    </w:p>
    <w:p>
      <w:pPr>
        <w:pStyle w:val="18"/>
      </w:pPr>
      <w:r>
        <w:t>　　(二)处理人民群众来信，接待群众来访，受理群众网上投诉，查办信访案件，负责人民群众建议征集工作。</w:t>
      </w:r>
    </w:p>
    <w:p>
      <w:pPr>
        <w:pStyle w:val="18"/>
      </w:pPr>
      <w:r>
        <w:t>　　(三)调查研究和综合分析全区信访形势及信访工作状况，总结推广各地各部门信访工作经验，提出改进和加强信访工作的意见和建议。</w:t>
      </w:r>
    </w:p>
    <w:p>
      <w:pPr>
        <w:pStyle w:val="18"/>
      </w:pPr>
      <w:r>
        <w:t>　　(四)参与组织、协调、指导全区社会治安综合治理和维护社会政治稳定工作，协助保障国家、省、市和区重大政治活动顺利进行，参与处理影响社会政治稳定的突发性、群体性事件。</w:t>
      </w:r>
    </w:p>
    <w:p>
      <w:pPr>
        <w:pStyle w:val="18"/>
      </w:pPr>
      <w:r>
        <w:t>　　(五)督促检查和指导乡镇、街道党（工）委、政府（办事处）和区直部门的信访工作。对乡镇、街道党（工）委、政府（办事处）和区直部门信访工作年度责任目标进行考核，对全区社会治安综合治理和维护社会政治稳定年度责任目标中有关信访工作进行考核。</w:t>
      </w:r>
    </w:p>
    <w:p>
      <w:pPr>
        <w:pStyle w:val="18"/>
      </w:pPr>
      <w:r>
        <w:t>　　(六)协助国家信访局、省、市信访局处理属地群众进京、赴省、去市上访工作，综合协调处理跨地区、跨部门、跨行业的重要信访问题，协助公安机关维护区委、区政府机关正常工作秩序。</w:t>
      </w:r>
    </w:p>
    <w:p>
      <w:pPr>
        <w:pStyle w:val="18"/>
      </w:pPr>
      <w:r>
        <w:t>　　(七) 负责省、市、区级领导和区直部门领导公开接访和包联案件的组织协调工作。</w:t>
      </w:r>
    </w:p>
    <w:p>
      <w:pPr>
        <w:pStyle w:val="18"/>
      </w:pPr>
      <w:r>
        <w:t>　　(八) 承担唐山市丰南区信访工作联席会议的日常工作，督促落实联席会议决定的事项。</w:t>
      </w:r>
    </w:p>
    <w:p>
      <w:pPr>
        <w:pStyle w:val="18"/>
      </w:pPr>
      <w:r>
        <w:t>　　（九）完成区委、区政府以及国家、省、市信访局交办的其他任务。</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部门机构设置情况</w:t>
      </w:r>
    </w:p>
    <w:tbl>
      <w:tblPr>
        <w:tblStyle w:val="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唐山市丰南区信访局本级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按照预算管理有关规定，目前我省部门预算的编制实行综合预算管理，即全部收入和支出都反映在预算中。唐山市丰南区信访局机关及所属事业单位的收支包含在部门预算中。</w:t>
      </w:r>
    </w:p>
    <w:p>
      <w:pPr>
        <w:spacing w:before="100" w:beforeAutospacing="1" w:line="360" w:lineRule="auto"/>
        <w:ind w:firstLine="560" w:firstLineChars="200"/>
        <w:rPr>
          <w:rFonts w:eastAsia="方正仿宋_GBK"/>
          <w:color w:val="000000" w:themeColor="text1"/>
          <w:sz w:val="28"/>
        </w:rPr>
      </w:pPr>
      <w:r>
        <w:rPr>
          <w:rFonts w:hint="eastAsia" w:eastAsia="方正仿宋_GBK"/>
          <w:color w:val="000000" w:themeColor="text1"/>
          <w:sz w:val="28"/>
          <w:lang w:eastAsia="zh-CN"/>
        </w:rPr>
        <w:t>（</w:t>
      </w:r>
      <w:r>
        <w:rPr>
          <w:rFonts w:hint="eastAsia" w:eastAsia="方正仿宋_GBK"/>
          <w:color w:val="000000" w:themeColor="text1"/>
          <w:sz w:val="28"/>
        </w:rPr>
        <w:t>一）收入说明</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2022年部门预算收入</w:t>
      </w:r>
      <w:r>
        <w:rPr>
          <w:rFonts w:hint="eastAsia" w:eastAsia="方正仿宋_GBK"/>
          <w:color w:val="000000" w:themeColor="text1"/>
          <w:sz w:val="28"/>
          <w:lang w:val="en-US" w:eastAsia="zh-CN"/>
        </w:rPr>
        <w:t>689.37</w:t>
      </w:r>
      <w:r>
        <w:rPr>
          <w:rFonts w:hint="eastAsia" w:eastAsia="方正仿宋_GBK"/>
          <w:color w:val="000000" w:themeColor="text1"/>
          <w:sz w:val="28"/>
        </w:rPr>
        <w:t>万元，其中：一般公共预算拨款</w:t>
      </w:r>
      <w:r>
        <w:rPr>
          <w:rFonts w:hint="eastAsia" w:eastAsia="方正仿宋_GBK"/>
          <w:color w:val="000000" w:themeColor="text1"/>
          <w:sz w:val="28"/>
          <w:lang w:val="en-US" w:eastAsia="zh-CN"/>
        </w:rPr>
        <w:t>689.37</w:t>
      </w:r>
      <w:r>
        <w:rPr>
          <w:rFonts w:hint="eastAsia" w:eastAsia="方正仿宋_GBK"/>
          <w:color w:val="000000" w:themeColor="text1"/>
          <w:sz w:val="28"/>
        </w:rPr>
        <w:t>万元，政府性基金预算拨款</w:t>
      </w:r>
      <w:r>
        <w:rPr>
          <w:rFonts w:hint="eastAsia" w:eastAsia="方正仿宋_GBK"/>
          <w:color w:val="000000" w:themeColor="text1"/>
          <w:sz w:val="28"/>
          <w:lang w:eastAsia="zh-CN"/>
        </w:rPr>
        <w:t>0</w:t>
      </w:r>
      <w:r>
        <w:rPr>
          <w:rFonts w:hint="eastAsia" w:eastAsia="方正仿宋_GBK"/>
          <w:color w:val="000000" w:themeColor="text1"/>
          <w:sz w:val="28"/>
        </w:rPr>
        <w:t>万元，国有资本经营预算拨款</w:t>
      </w:r>
      <w:r>
        <w:rPr>
          <w:rFonts w:hint="eastAsia" w:eastAsia="方正仿宋_GBK"/>
          <w:color w:val="000000" w:themeColor="text1"/>
          <w:sz w:val="28"/>
          <w:lang w:eastAsia="zh-CN"/>
        </w:rPr>
        <w:t>0</w:t>
      </w:r>
      <w:r>
        <w:rPr>
          <w:rFonts w:hint="eastAsia" w:eastAsia="方正仿宋_GBK"/>
          <w:color w:val="000000" w:themeColor="text1"/>
          <w:sz w:val="28"/>
        </w:rPr>
        <w:t>万元，财政专户核拨</w:t>
      </w:r>
      <w:r>
        <w:rPr>
          <w:rFonts w:hint="eastAsia" w:eastAsia="方正仿宋_GBK"/>
          <w:color w:val="000000" w:themeColor="text1"/>
          <w:sz w:val="28"/>
          <w:lang w:eastAsia="zh-CN"/>
        </w:rPr>
        <w:t>0</w:t>
      </w:r>
      <w:r>
        <w:rPr>
          <w:rFonts w:hint="eastAsia" w:eastAsia="方正仿宋_GBK"/>
          <w:color w:val="000000" w:themeColor="text1"/>
          <w:sz w:val="28"/>
        </w:rPr>
        <w:t>万元，单位资金</w:t>
      </w:r>
      <w:r>
        <w:rPr>
          <w:rFonts w:hint="eastAsia" w:eastAsia="方正仿宋_GBK"/>
          <w:color w:val="000000" w:themeColor="text1"/>
          <w:sz w:val="28"/>
          <w:lang w:eastAsia="zh-CN"/>
        </w:rPr>
        <w:t>0</w:t>
      </w:r>
      <w:r>
        <w:rPr>
          <w:rFonts w:hint="eastAsia" w:eastAsia="方正仿宋_GBK"/>
          <w:color w:val="000000" w:themeColor="text1"/>
          <w:sz w:val="28"/>
        </w:rPr>
        <w:t>万元。</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（二）支出说明</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2022年部门预算支出</w:t>
      </w:r>
      <w:r>
        <w:rPr>
          <w:rFonts w:hint="eastAsia" w:eastAsia="方正仿宋_GBK"/>
          <w:color w:val="000000" w:themeColor="text1"/>
          <w:sz w:val="28"/>
          <w:lang w:val="en-US" w:eastAsia="zh-CN"/>
        </w:rPr>
        <w:t>689.37</w:t>
      </w:r>
      <w:r>
        <w:rPr>
          <w:rFonts w:hint="eastAsia" w:eastAsia="方正仿宋_GBK"/>
          <w:color w:val="000000" w:themeColor="text1"/>
          <w:sz w:val="28"/>
        </w:rPr>
        <w:t>万元，其中：人员经费</w:t>
      </w:r>
      <w:r>
        <w:rPr>
          <w:rFonts w:hint="eastAsia" w:eastAsia="方正仿宋_GBK"/>
          <w:color w:val="000000" w:themeColor="text1"/>
          <w:sz w:val="28"/>
          <w:lang w:val="en-US" w:eastAsia="zh-CN"/>
        </w:rPr>
        <w:t>334.33</w:t>
      </w:r>
      <w:r>
        <w:rPr>
          <w:rFonts w:hint="eastAsia" w:eastAsia="方正仿宋_GBK"/>
          <w:color w:val="000000" w:themeColor="text1"/>
          <w:sz w:val="28"/>
        </w:rPr>
        <w:t>万元，日常公用经费</w:t>
      </w:r>
      <w:r>
        <w:rPr>
          <w:rFonts w:hint="eastAsia" w:eastAsia="方正仿宋_GBK"/>
          <w:color w:val="000000" w:themeColor="text1"/>
          <w:sz w:val="28"/>
          <w:lang w:val="en-US" w:eastAsia="zh-CN"/>
        </w:rPr>
        <w:t>37.74</w:t>
      </w:r>
      <w:r>
        <w:rPr>
          <w:rFonts w:hint="eastAsia" w:eastAsia="方正仿宋_GBK"/>
          <w:color w:val="000000" w:themeColor="text1"/>
          <w:sz w:val="28"/>
        </w:rPr>
        <w:t>万元，项目支出</w:t>
      </w:r>
      <w:r>
        <w:rPr>
          <w:rFonts w:hint="eastAsia" w:eastAsia="方正仿宋_GBK"/>
          <w:color w:val="000000" w:themeColor="text1"/>
          <w:sz w:val="28"/>
          <w:lang w:val="en-US" w:eastAsia="zh-CN"/>
        </w:rPr>
        <w:t>317.3</w:t>
      </w:r>
      <w:r>
        <w:rPr>
          <w:rFonts w:hint="eastAsia" w:eastAsia="方正仿宋_GBK"/>
          <w:color w:val="000000" w:themeColor="text1"/>
          <w:sz w:val="28"/>
        </w:rPr>
        <w:t>万元。</w:t>
      </w:r>
    </w:p>
    <w:p>
      <w:pPr>
        <w:spacing w:line="360" w:lineRule="auto"/>
        <w:ind w:firstLine="560" w:firstLineChars="200"/>
        <w:rPr>
          <w:rFonts w:ascii="楷体_GB2312" w:hAnsi="仿宋" w:eastAsia="楷体_GB2312"/>
          <w:color w:val="000000" w:themeColor="text1"/>
          <w:sz w:val="32"/>
          <w:szCs w:val="32"/>
        </w:rPr>
      </w:pPr>
      <w:r>
        <w:rPr>
          <w:rFonts w:hint="eastAsia" w:eastAsia="方正仿宋_GBK"/>
          <w:color w:val="000000" w:themeColor="text1"/>
          <w:sz w:val="28"/>
        </w:rPr>
        <w:t>（三）比上年增减情况</w:t>
      </w:r>
    </w:p>
    <w:p>
      <w:pPr>
        <w:spacing w:line="360" w:lineRule="auto"/>
        <w:ind w:firstLine="560" w:firstLineChars="200"/>
        <w:rPr>
          <w:rFonts w:eastAsia="方正仿宋_GBK"/>
          <w:sz w:val="28"/>
          <w:lang w:val="uk-UA"/>
        </w:rPr>
      </w:pPr>
      <w:r>
        <w:rPr>
          <w:rFonts w:hint="eastAsia" w:eastAsia="方正仿宋_GBK"/>
          <w:color w:val="000000" w:themeColor="text1"/>
          <w:sz w:val="28"/>
        </w:rPr>
        <w:t>2022年部门预算较2021年</w:t>
      </w:r>
      <w:r>
        <w:rPr>
          <w:rFonts w:hint="eastAsia" w:eastAsia="方正仿宋_GBK"/>
          <w:color w:val="000000" w:themeColor="text1"/>
          <w:sz w:val="28"/>
          <w:lang w:eastAsia="zh-CN"/>
        </w:rPr>
        <w:t>增加</w:t>
      </w:r>
      <w:r>
        <w:rPr>
          <w:rFonts w:hint="eastAsia" w:eastAsia="方正仿宋_GBK"/>
          <w:color w:val="000000" w:themeColor="text1"/>
          <w:sz w:val="28"/>
          <w:lang w:val="en-US" w:eastAsia="zh-CN"/>
        </w:rPr>
        <w:t>53.18</w:t>
      </w:r>
      <w:r>
        <w:rPr>
          <w:rFonts w:hint="eastAsia" w:eastAsia="方正仿宋_GBK"/>
          <w:color w:val="000000" w:themeColor="text1"/>
          <w:sz w:val="28"/>
        </w:rPr>
        <w:t>万元，其中</w:t>
      </w:r>
      <w:r>
        <w:rPr>
          <w:rFonts w:hint="eastAsia" w:eastAsia="方正仿宋_GBK"/>
          <w:sz w:val="28"/>
        </w:rPr>
        <w:t>：人员经费</w:t>
      </w:r>
      <w:r>
        <w:rPr>
          <w:rFonts w:hint="eastAsia" w:eastAsia="方正仿宋_GBK"/>
          <w:sz w:val="28"/>
          <w:lang w:eastAsia="zh-CN"/>
        </w:rPr>
        <w:t>增加</w:t>
      </w:r>
      <w:r>
        <w:rPr>
          <w:rFonts w:hint="eastAsia" w:eastAsia="方正仿宋_GBK"/>
          <w:sz w:val="28"/>
          <w:lang w:val="en-US" w:eastAsia="zh-CN"/>
        </w:rPr>
        <w:t>12.55</w:t>
      </w:r>
      <w:r>
        <w:rPr>
          <w:rFonts w:hint="eastAsia" w:eastAsia="方正仿宋_GBK"/>
          <w:sz w:val="28"/>
        </w:rPr>
        <w:t>万元，日常公用经费增加</w:t>
      </w:r>
      <w:r>
        <w:rPr>
          <w:rFonts w:hint="eastAsia" w:eastAsia="方正仿宋_GBK"/>
          <w:sz w:val="28"/>
          <w:lang w:val="en-US" w:eastAsia="zh-CN"/>
        </w:rPr>
        <w:t>0.14</w:t>
      </w:r>
      <w:r>
        <w:rPr>
          <w:rFonts w:hint="eastAsia" w:eastAsia="方正仿宋_GBK"/>
          <w:sz w:val="28"/>
        </w:rPr>
        <w:t>万元，项目经费</w:t>
      </w:r>
      <w:r>
        <w:rPr>
          <w:rFonts w:hint="eastAsia" w:eastAsia="方正仿宋_GBK"/>
          <w:sz w:val="28"/>
          <w:lang w:eastAsia="zh-CN"/>
        </w:rPr>
        <w:t>增加</w:t>
      </w:r>
      <w:r>
        <w:rPr>
          <w:rFonts w:hint="eastAsia" w:eastAsia="方正仿宋_GBK"/>
          <w:sz w:val="28"/>
          <w:lang w:val="en-US" w:eastAsia="zh-CN"/>
        </w:rPr>
        <w:t>40.49</w:t>
      </w:r>
      <w:r>
        <w:rPr>
          <w:rFonts w:hint="eastAsia" w:eastAsia="方正仿宋_GBK"/>
          <w:sz w:val="28"/>
        </w:rPr>
        <w:t>万元。</w:t>
      </w:r>
    </w:p>
    <w:p>
      <w:pPr>
        <w:pStyle w:val="19"/>
      </w:pPr>
    </w:p>
    <w:p>
      <w:pPr>
        <w:spacing w:before="10" w:after="10" w:line="360" w:lineRule="auto"/>
        <w:ind w:firstLine="640"/>
        <w:jc w:val="left"/>
        <w:outlineLvl w:val="2"/>
      </w:pPr>
      <w:bookmarkStart w:id="11" w:name="_Toc_3_3_0000000012"/>
      <w:r>
        <w:rPr>
          <w:rFonts w:ascii="黑体" w:eastAsia="黑体" w:cs="黑体"/>
          <w:color w:val="000000"/>
          <w:sz w:val="32"/>
        </w:rPr>
        <w:t>三、机关运行经费安排情况</w:t>
      </w:r>
      <w:bookmarkEnd w:id="11"/>
    </w:p>
    <w:p>
      <w:pPr>
        <w:pStyle w:val="20"/>
      </w:pPr>
      <w:r>
        <w:t>2022年机关运行经费共计安排37.74万元，</w:t>
      </w:r>
      <w:r>
        <w:rPr>
          <w:rFonts w:hint="eastAsia"/>
        </w:rPr>
        <w:t>包括办公费</w:t>
      </w:r>
      <w:r>
        <w:rPr>
          <w:rFonts w:hint="eastAsia"/>
          <w:lang w:val="en-US" w:eastAsia="zh-CN"/>
        </w:rPr>
        <w:t>5</w:t>
      </w:r>
      <w:r>
        <w:rPr>
          <w:lang w:val="en-US" w:eastAsia="zh-CN"/>
        </w:rPr>
        <w:t>.84</w:t>
      </w:r>
      <w:r>
        <w:rPr>
          <w:rFonts w:hint="eastAsia"/>
        </w:rPr>
        <w:t>万元、邮电费2万元、工会费3</w:t>
      </w:r>
      <w:r>
        <w:t>4.8</w:t>
      </w:r>
      <w:r>
        <w:rPr>
          <w:rFonts w:hint="eastAsia"/>
        </w:rPr>
        <w:t>万元、</w:t>
      </w:r>
      <w:r>
        <w:rPr>
          <w:rFonts w:hint="eastAsia"/>
          <w:lang w:eastAsia="zh-CN"/>
        </w:rPr>
        <w:t>在职职工</w:t>
      </w:r>
      <w:r>
        <w:rPr>
          <w:rFonts w:hint="eastAsia"/>
        </w:rPr>
        <w:t>福利费</w:t>
      </w:r>
      <w:r>
        <w:rPr>
          <w:rFonts w:hint="eastAsia"/>
          <w:lang w:val="en-US" w:eastAsia="zh-CN"/>
        </w:rPr>
        <w:t>2.</w:t>
      </w:r>
      <w:r>
        <w:rPr>
          <w:lang w:val="en-US" w:eastAsia="zh-CN"/>
        </w:rPr>
        <w:t>7</w:t>
      </w:r>
      <w:r>
        <w:rPr>
          <w:rFonts w:hint="eastAsia"/>
          <w:lang w:val="en-US" w:eastAsia="zh-CN"/>
        </w:rPr>
        <w:t>万元、离退人员福利费0.2万元、</w:t>
      </w:r>
      <w:r>
        <w:rPr>
          <w:rFonts w:hint="eastAsia"/>
        </w:rPr>
        <w:t>公务用车运行维护费5万元</w:t>
      </w:r>
      <w:r>
        <w:rPr>
          <w:rFonts w:hint="eastAsia"/>
          <w:lang w:eastAsia="zh-CN"/>
        </w:rPr>
        <w:t>、</w:t>
      </w:r>
      <w:r>
        <w:rPr>
          <w:rFonts w:hint="eastAsia"/>
        </w:rPr>
        <w:t>改革性补贴项目</w:t>
      </w:r>
      <w:r>
        <w:t>1</w:t>
      </w:r>
      <w:r>
        <w:rPr>
          <w:rFonts w:hint="eastAsia"/>
          <w:lang w:val="en-US" w:eastAsia="zh-CN"/>
        </w:rPr>
        <w:t>2</w:t>
      </w:r>
      <w:r>
        <w:rPr>
          <w:lang w:val="en-US" w:eastAsia="zh-CN"/>
        </w:rPr>
        <w:t>.5</w:t>
      </w:r>
      <w:r>
        <w:rPr>
          <w:rFonts w:hint="eastAsia"/>
        </w:rPr>
        <w:t>万元、办公用房电</w:t>
      </w:r>
      <w:r>
        <w:t>费1</w:t>
      </w:r>
      <w:r>
        <w:rPr>
          <w:rFonts w:hint="eastAsia"/>
        </w:rPr>
        <w:t>万元、网络运行维护费3.6万元、离退休干部报刊费0.1万</w:t>
      </w:r>
      <w:r>
        <w:t>元。</w:t>
      </w:r>
    </w:p>
    <w:p>
      <w:pPr>
        <w:spacing w:before="10" w:after="10" w:line="360" w:lineRule="auto"/>
        <w:ind w:firstLine="640"/>
        <w:jc w:val="left"/>
        <w:outlineLvl w:val="2"/>
      </w:pPr>
      <w:bookmarkStart w:id="12" w:name="_Toc_3_3_0000000013"/>
      <w:r>
        <w:rPr>
          <w:rFonts w:ascii="黑体" w:eastAsia="黑体" w:cs="黑体"/>
          <w:color w:val="000000"/>
          <w:sz w:val="32"/>
        </w:rPr>
        <w:t>四、财政拨款“三公”经费预算情况及增减变化原因</w:t>
      </w:r>
      <w:bookmarkEnd w:id="12"/>
    </w:p>
    <w:p>
      <w:pPr>
        <w:adjustRightInd w:val="0"/>
        <w:snapToGrid w:val="0"/>
        <w:spacing w:line="560" w:lineRule="exact"/>
        <w:ind w:firstLine="630" w:firstLineChars="225"/>
        <w:rPr>
          <w:rFonts w:hint="eastAsia" w:eastAsia="方正仿宋_GBK"/>
          <w:sz w:val="28"/>
        </w:rPr>
      </w:pPr>
      <w:r>
        <w:rPr>
          <w:rFonts w:hint="eastAsia" w:eastAsia="方正仿宋_GBK"/>
          <w:sz w:val="28"/>
        </w:rPr>
        <w:t>202</w:t>
      </w:r>
      <w:r>
        <w:rPr>
          <w:rFonts w:eastAsia="方正仿宋_GBK"/>
          <w:sz w:val="28"/>
        </w:rPr>
        <w:t>2</w:t>
      </w:r>
      <w:r>
        <w:rPr>
          <w:rFonts w:hint="eastAsia" w:eastAsia="方正仿宋_GBK"/>
          <w:sz w:val="28"/>
        </w:rPr>
        <w:t>年，财政拨款“三公”经费预算安排8万元，</w:t>
      </w:r>
      <w:r>
        <w:rPr>
          <w:rFonts w:eastAsia="方正仿宋_GBK"/>
          <w:sz w:val="28"/>
        </w:rPr>
        <w:t>与</w:t>
      </w:r>
      <w:r>
        <w:rPr>
          <w:rFonts w:hint="eastAsia" w:eastAsia="方正仿宋_GBK"/>
          <w:sz w:val="28"/>
        </w:rPr>
        <w:t>202</w:t>
      </w:r>
      <w:r>
        <w:rPr>
          <w:rFonts w:eastAsia="方正仿宋_GBK"/>
          <w:sz w:val="28"/>
        </w:rPr>
        <w:t>1</w:t>
      </w:r>
      <w:r>
        <w:rPr>
          <w:rFonts w:hint="eastAsia" w:eastAsia="方正仿宋_GBK"/>
          <w:sz w:val="28"/>
        </w:rPr>
        <w:t>年</w:t>
      </w:r>
      <w:r>
        <w:rPr>
          <w:rFonts w:eastAsia="方正仿宋_GBK"/>
          <w:sz w:val="28"/>
        </w:rPr>
        <w:t>无增减变动</w:t>
      </w:r>
      <w:r>
        <w:rPr>
          <w:rFonts w:hint="eastAsia" w:eastAsia="方正仿宋_GBK"/>
          <w:sz w:val="28"/>
        </w:rPr>
        <w:t>。其中：</w:t>
      </w:r>
      <w:r>
        <w:rPr>
          <w:rFonts w:hint="eastAsia" w:eastAsia="方正仿宋_GBK" w:cs="Arial Unicode MS"/>
          <w:sz w:val="28"/>
          <w:lang w:bidi="ar-SA"/>
        </w:rPr>
        <w:t>①</w:t>
      </w:r>
      <w:r>
        <w:rPr>
          <w:rFonts w:hint="eastAsia" w:eastAsia="方正仿宋_GBK"/>
          <w:sz w:val="28"/>
        </w:rPr>
        <w:t>因公出国（境）费0万元，比2020年无增减变化；</w:t>
      </w:r>
      <w:r>
        <w:rPr>
          <w:rFonts w:hint="eastAsia" w:eastAsia="方正仿宋_GBK" w:cs="Arial Unicode MS"/>
          <w:sz w:val="28"/>
          <w:lang w:bidi="ar-SA"/>
        </w:rPr>
        <w:t>②</w:t>
      </w:r>
      <w:r>
        <w:rPr>
          <w:rFonts w:hint="eastAsia" w:eastAsia="方正仿宋_GBK"/>
          <w:sz w:val="28"/>
        </w:rPr>
        <w:t>公务用车购置及运行费8万元，其中：公务用车购置费为0万元，比202</w:t>
      </w:r>
      <w:r>
        <w:rPr>
          <w:rFonts w:eastAsia="方正仿宋_GBK"/>
          <w:sz w:val="28"/>
        </w:rPr>
        <w:t>1</w:t>
      </w:r>
      <w:r>
        <w:rPr>
          <w:rFonts w:hint="eastAsia" w:eastAsia="方正仿宋_GBK"/>
          <w:sz w:val="28"/>
        </w:rPr>
        <w:t>年无增减变化；公务用车运行费8万元，比202</w:t>
      </w:r>
      <w:r>
        <w:rPr>
          <w:rFonts w:eastAsia="方正仿宋_GBK"/>
          <w:sz w:val="28"/>
        </w:rPr>
        <w:t>1</w:t>
      </w:r>
      <w:r>
        <w:rPr>
          <w:rFonts w:hint="eastAsia" w:eastAsia="方正仿宋_GBK"/>
          <w:sz w:val="28"/>
        </w:rPr>
        <w:t>年</w:t>
      </w:r>
      <w:r>
        <w:rPr>
          <w:rFonts w:eastAsia="方正仿宋_GBK"/>
          <w:sz w:val="28"/>
        </w:rPr>
        <w:t>无增减变动</w:t>
      </w:r>
      <w:r>
        <w:rPr>
          <w:rFonts w:hint="eastAsia" w:eastAsia="方正仿宋_GBK"/>
          <w:sz w:val="28"/>
        </w:rPr>
        <w:t>；</w:t>
      </w:r>
      <w:r>
        <w:rPr>
          <w:rFonts w:hint="eastAsia" w:eastAsia="方正仿宋_GBK" w:cs="Arial Unicode MS"/>
          <w:sz w:val="28"/>
          <w:lang w:bidi="ar-SA"/>
        </w:rPr>
        <w:t>③</w:t>
      </w:r>
      <w:r>
        <w:rPr>
          <w:rFonts w:hint="eastAsia" w:eastAsia="方正仿宋_GBK"/>
          <w:sz w:val="28"/>
        </w:rPr>
        <w:t>公务接待费0万元，比202</w:t>
      </w:r>
      <w:r>
        <w:rPr>
          <w:rFonts w:eastAsia="方正仿宋_GBK"/>
          <w:sz w:val="28"/>
        </w:rPr>
        <w:t>1</w:t>
      </w:r>
      <w:r>
        <w:rPr>
          <w:rFonts w:hint="eastAsia" w:eastAsia="方正仿宋_GBK"/>
          <w:sz w:val="28"/>
        </w:rPr>
        <w:t>年</w:t>
      </w:r>
      <w:r>
        <w:rPr>
          <w:rFonts w:eastAsia="方正仿宋_GBK"/>
          <w:sz w:val="28"/>
        </w:rPr>
        <w:t>无增减变动</w:t>
      </w:r>
      <w:r>
        <w:rPr>
          <w:rFonts w:hint="eastAsia" w:eastAsia="方正仿宋_GBK"/>
          <w:sz w:val="28"/>
        </w:rPr>
        <w:t>。</w:t>
      </w:r>
    </w:p>
    <w:p>
      <w:pPr>
        <w:pStyle w:val="21"/>
      </w:pPr>
    </w:p>
    <w:p>
      <w:pPr>
        <w:spacing w:before="10" w:after="10" w:line="360" w:lineRule="auto"/>
        <w:ind w:firstLine="640"/>
        <w:jc w:val="left"/>
        <w:outlineLvl w:val="2"/>
      </w:pPr>
      <w:bookmarkStart w:id="13" w:name="_Toc_3_3_0000000014"/>
      <w:r>
        <w:rPr>
          <w:rFonts w:ascii="黑体" w:eastAsia="黑体" w:cs="黑体"/>
          <w:color w:val="000000"/>
          <w:sz w:val="32"/>
        </w:rPr>
        <w:t>五、预算绩效信息</w:t>
      </w:r>
      <w:bookmarkEnd w:id="13"/>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　　坚持以习近平新时代中国特色社会主义思想为指导，深入贯彻落实习近平总书记对人民信访工作的指示批示精神，全面对标对表党中央和省、市、区委信访工作部署要求，着力完善制度机制、解决突出问题、优化职能责任，不断开创新时代信访工作新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 xml:space="preserve">（一）及时办理、转送、交办信访事项。      </w:t>
      </w:r>
    </w:p>
    <w:p>
      <w:pPr>
        <w:pStyle w:val="23"/>
      </w:pPr>
      <w:r>
        <w:t>绩效目标：及时办理、转送、交办信访事项，及时答复信访人。拓宽信访渠道，及时发现解决问题实现信访人息诉罢访。为区领导科学决策提供参考依据。</w:t>
      </w:r>
    </w:p>
    <w:p>
      <w:pPr>
        <w:pStyle w:val="23"/>
      </w:pPr>
      <w:r>
        <w:t>绩效指标：及时受理率、按期答复率、案件结案率、群众满意率、宣传普及率、均达90%以上，综合调研率、信访息访率达80%以上。</w:t>
      </w:r>
    </w:p>
    <w:p>
      <w:pPr>
        <w:pStyle w:val="23"/>
      </w:pPr>
      <w:r>
        <w:t>(二)确保信访工作各项业务顺利开展。</w:t>
      </w:r>
    </w:p>
    <w:p>
      <w:pPr>
        <w:pStyle w:val="23"/>
      </w:pPr>
      <w:r>
        <w:t>绩效目标：为全区信访工作正常开展服务，提供后勤保障。</w:t>
      </w:r>
    </w:p>
    <w:p>
      <w:pPr>
        <w:pStyle w:val="23"/>
      </w:pPr>
      <w:r>
        <w:t>绩效指标：开展2次信访业务培训，报送人民建议2篇以上，综合事务业务保障率、事务性工作完成率、群众满意率均达90%以上。</w:t>
      </w:r>
    </w:p>
    <w:p>
      <w:pPr>
        <w:pStyle w:val="23"/>
      </w:pPr>
      <w:r>
        <w:t>（三）有效化解不稳定隐患、维护社会稳定。</w:t>
      </w:r>
    </w:p>
    <w:p>
      <w:pPr>
        <w:pStyle w:val="23"/>
      </w:pPr>
      <w:r>
        <w:t>绩效目标:预防减少不稳定因素的发生，有效化解不稳定隐患、群体性事件和突发事件，维护全区社会稳定。</w:t>
      </w:r>
    </w:p>
    <w:p>
      <w:pPr>
        <w:pStyle w:val="23"/>
      </w:pPr>
      <w:r>
        <w:t>绩效指标:不稳定群体或人员台账建账率、不稳定群体或人员排查率、不稳定群体或人员受理、安保活动圆满完成率均达90%以上。</w:t>
      </w:r>
    </w:p>
    <w:p>
      <w:pPr>
        <w:pStyle w:val="23"/>
      </w:pPr>
      <w:r>
        <w:t>（四）反映社情民意，解决群众问题。</w:t>
      </w:r>
    </w:p>
    <w:p>
      <w:pPr>
        <w:pStyle w:val="23"/>
      </w:pPr>
      <w:r>
        <w:t>绩效目标：及时发现问题解决问题，把问题解决在县级以下，减少群众越级访，维护全区和谐稳定。</w:t>
      </w:r>
    </w:p>
    <w:p>
      <w:pPr>
        <w:pStyle w:val="23"/>
      </w:pPr>
      <w:r>
        <w:t>绩效指标:矛盾纠纷化解率、群众满意率、矛盾纠纷依法转处率、矛盾纠纷排查率均达90%以上，矛盾纠纷息访率达80%以上。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w:t>
      </w:r>
    </w:p>
    <w:p>
      <w:pPr>
        <w:pStyle w:val="24"/>
      </w:pPr>
      <w:r>
        <w:t>紧紧围绕区委、区政府工作重点和上级信访部门的工作部署和要求，进一步理清工作思路，加强信访工作管理的各项规章制度的体系建设，制定完善预算绩效管理制度、资金管理办法、工作保障制度等，为全年预算绩效目标的实现奠定制度基础，确保规范有序地完成2022年信访工作目标。</w:t>
      </w:r>
    </w:p>
    <w:p>
      <w:pPr>
        <w:pStyle w:val="24"/>
      </w:pPr>
      <w:r>
        <w:t>（二）加强支出管理</w:t>
      </w:r>
    </w:p>
    <w:p>
      <w:pPr>
        <w:pStyle w:val="24"/>
      </w:pPr>
      <w:r>
        <w:t>通过优化支出结构、编细编实预算、加快履行政府采购手续、尽快启动项目、及时支付资金、6月底前细化代编预算、按规定及时下达资金等多种措施，确保支出进度达标。</w:t>
      </w:r>
    </w:p>
    <w:p>
      <w:pPr>
        <w:pStyle w:val="24"/>
      </w:pPr>
      <w:r>
        <w:t>（三）加强绩效运行监控</w:t>
      </w:r>
    </w:p>
    <w:p>
      <w:pPr>
        <w:pStyle w:val="24"/>
      </w:pPr>
      <w:r>
        <w:t>按要求开展绩效运行监控，发现问题及时采取措施，确保绩效目标如期保质实现。</w:t>
      </w:r>
    </w:p>
    <w:p>
      <w:pPr>
        <w:pStyle w:val="24"/>
      </w:pPr>
      <w:r>
        <w:t>（四）做好绩效自评</w:t>
      </w:r>
    </w:p>
    <w:p>
      <w:pPr>
        <w:pStyle w:val="24"/>
      </w:pPr>
      <w:r>
        <w:t>按要求开展上年度部门预算绩效自评和重点评价工作，对评价中发现的问题及时整改，调整优化支出结构，提高财政资金使用效益。</w:t>
      </w:r>
    </w:p>
    <w:p>
      <w:pPr>
        <w:pStyle w:val="24"/>
      </w:pPr>
      <w:r>
        <w:t>（五）规范财务资产管理</w:t>
      </w:r>
    </w:p>
    <w:p>
      <w:pPr>
        <w:pStyle w:val="24"/>
      </w:pPr>
      <w:r>
        <w:t>完善财务管理制度，严格审批程序，加强固定资产登记、使用和报废处置管理，做到支出合理，物尽其用。</w:t>
      </w:r>
    </w:p>
    <w:p>
      <w:pPr>
        <w:pStyle w:val="24"/>
      </w:pPr>
      <w:r>
        <w:t>（六）加强内部监督</w:t>
      </w:r>
    </w:p>
    <w:p>
      <w:pPr>
        <w:pStyle w:val="24"/>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4"/>
      </w:pPr>
      <w:r>
        <w:t>（七）开展“四项”行动，强化问题解决。着力在化解信访矛盾“减存控增”上下功夫，坚持问题导向，牢牢盯住尚未化解的“钉子案”“骨头案”，牢牢盯住再次信访的重复事项，集中资源力量，加强分析研究，推动事心双解，防止问题积累。</w:t>
      </w:r>
    </w:p>
    <w:p>
      <w:pPr>
        <w:pStyle w:val="24"/>
      </w:pPr>
      <w:r>
        <w:t xml:space="preserve">（八）加强“三个”建设，夯实基层基础。学习借鉴新时代“枫桥经验”，加强和改进信访工作基层基础，推进关口前移、重心下移，提高乡村两级预防和处理信访问题的能力，实现“小事不出村、大事不出乡、矛盾不上交”。   </w:t>
      </w:r>
    </w:p>
    <w:p>
      <w:pPr>
        <w:pStyle w:val="24"/>
      </w:pPr>
      <w:r>
        <w:t>（九）加强宣传培训调研等。认真贯彻实施《信访条例》，认真组织开展《信访条例》宣传月活动，对信访干部进行理论讲解和业务实践操作；加强调研，提出优化财政资金配置、提高资金使用效益的意见和建议；加大宣传力度，强化预算绩效管理意识，促进预算绩效管理水平进一步提升。</w:t>
      </w:r>
    </w:p>
    <w:p>
      <w:pPr>
        <w:pStyle w:val="24"/>
      </w:pP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adjustRightInd w:val="0"/>
        <w:snapToGrid w:val="0"/>
        <w:spacing w:line="560" w:lineRule="exact"/>
        <w:ind w:firstLine="560" w:firstLineChars="200"/>
        <w:jc w:val="left"/>
        <w:outlineLvl w:val="0"/>
        <w:rPr>
          <w:rFonts w:hint="eastAsia" w:eastAsia="方正仿宋_GBK"/>
          <w:sz w:val="28"/>
          <w:highlight w:val="none"/>
          <w:lang w:val="en-US" w:eastAsia="zh-CN"/>
        </w:rPr>
      </w:pPr>
      <w:r>
        <w:rPr>
          <w:rFonts w:hint="eastAsia" w:eastAsia="方正仿宋_GBK"/>
          <w:sz w:val="28"/>
          <w:highlight w:val="none"/>
          <w:lang w:val="en-US" w:eastAsia="zh-CN"/>
        </w:rPr>
        <w:t xml:space="preserve"> 我部门202</w:t>
      </w:r>
      <w:r>
        <w:rPr>
          <w:rFonts w:eastAsia="方正仿宋_GBK"/>
          <w:sz w:val="28"/>
          <w:highlight w:val="none"/>
          <w:lang w:val="en-US" w:eastAsia="zh-CN"/>
        </w:rPr>
        <w:t>2</w:t>
      </w:r>
      <w:r>
        <w:rPr>
          <w:rFonts w:hint="eastAsia" w:eastAsia="方正仿宋_GBK"/>
          <w:sz w:val="28"/>
          <w:highlight w:val="none"/>
          <w:lang w:val="en-US" w:eastAsia="zh-CN"/>
        </w:rPr>
        <w:t>年未安排专项资金。</w:t>
      </w:r>
    </w:p>
    <w:p>
      <w:pPr>
        <w:spacing w:before="0" w:after="0" w:line="240" w:lineRule="auto"/>
        <w:ind w:firstLine="640"/>
        <w:jc w:val="left"/>
        <w:outlineLvl w:val="9"/>
      </w:pPr>
    </w:p>
    <w:p>
      <w:pPr>
        <w:pStyle w:val="25"/>
        <w:spacing w:before="0" w:after="0" w:line="240" w:lineRule="auto"/>
        <w:ind w:firstLine="640"/>
        <w:jc w:val="left"/>
        <w:outlineLvl w:val="9"/>
      </w:pPr>
      <w:r>
        <w:rPr>
          <w:rFonts w:ascii="方正楷体_GBK" w:eastAsia="方正楷体_GBK" w:cs="方正楷体_GBK"/>
          <w:b/>
          <w:color w:val="000000"/>
          <w:sz w:val="32"/>
        </w:rPr>
        <w:t>第三部分  预算项目绩效目标</w:t>
      </w:r>
    </w:p>
    <w:p>
      <w:pPr>
        <w:pStyle w:val="25"/>
        <w:spacing w:before="0" w:after="0"/>
        <w:ind w:firstLine="560"/>
        <w:jc w:val="left"/>
        <w:outlineLvl w:val="9"/>
      </w:pPr>
      <w:r>
        <w:rPr>
          <w:rFonts w:ascii="方正仿宋_GBK" w:eastAsia="方正仿宋_GBK" w:cs="方正仿宋_GBK"/>
          <w:b/>
          <w:color w:val="000000"/>
          <w:sz w:val="28"/>
        </w:rPr>
        <w:t>1、解决特殊疑难信访问题专项资金绩效目标表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6"/>
            </w:pPr>
            <w:r>
              <w:t>绩效目标</w:t>
            </w:r>
          </w:p>
        </w:tc>
        <w:tc>
          <w:tcPr>
            <w:tcW w:w="12756" w:type="dxa"/>
            <w:tcBorders>
              <w:bottom w:val="single" w:color="FFFFFF" w:sz="6" w:space="0"/>
            </w:tcBorders>
            <w:vAlign w:val="center"/>
          </w:tcPr>
          <w:p>
            <w:pPr>
              <w:pStyle w:val="27"/>
            </w:pPr>
            <w:r>
              <w:t>1.2022年投入100万元，对找不到解决主体、积累时间久远，难以化解和解决的“无头案、钉子案、骨头案”特殊疑难信访个案实现息诉罢访，对生活困难无其他救济渠道的信访人，帮助解决困难。</w:t>
            </w:r>
          </w:p>
        </w:tc>
      </w:tr>
    </w:tbl>
    <w:p>
      <w:pPr>
        <w:pStyle w:val="25"/>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6"/>
            </w:pPr>
            <w:r>
              <w:t>一级指标</w:t>
            </w:r>
          </w:p>
        </w:tc>
        <w:tc>
          <w:tcPr>
            <w:tcW w:w="2268" w:type="dxa"/>
            <w:vAlign w:val="center"/>
          </w:tcPr>
          <w:p>
            <w:pPr>
              <w:pStyle w:val="26"/>
            </w:pPr>
            <w:r>
              <w:t>二级指标</w:t>
            </w:r>
          </w:p>
        </w:tc>
        <w:tc>
          <w:tcPr>
            <w:tcW w:w="2835" w:type="dxa"/>
            <w:vAlign w:val="center"/>
          </w:tcPr>
          <w:p>
            <w:pPr>
              <w:pStyle w:val="26"/>
            </w:pPr>
            <w:r>
              <w:t>三级指标</w:t>
            </w:r>
          </w:p>
        </w:tc>
        <w:tc>
          <w:tcPr>
            <w:tcW w:w="2835" w:type="dxa"/>
            <w:vAlign w:val="center"/>
          </w:tcPr>
          <w:p>
            <w:pPr>
              <w:pStyle w:val="26"/>
            </w:pPr>
            <w:r>
              <w:t>绩效指标描述</w:t>
            </w:r>
          </w:p>
        </w:tc>
        <w:tc>
          <w:tcPr>
            <w:tcW w:w="2551" w:type="dxa"/>
            <w:vAlign w:val="center"/>
          </w:tcPr>
          <w:p>
            <w:pPr>
              <w:pStyle w:val="26"/>
            </w:pPr>
            <w:r>
              <w:t>指标值</w:t>
            </w:r>
          </w:p>
        </w:tc>
        <w:tc>
          <w:tcPr>
            <w:tcW w:w="2268"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7"/>
            </w:pPr>
            <w:r>
              <w:t>数量指标</w:t>
            </w:r>
          </w:p>
        </w:tc>
        <w:tc>
          <w:tcPr>
            <w:tcW w:w="2835" w:type="dxa"/>
            <w:vAlign w:val="center"/>
          </w:tcPr>
          <w:p>
            <w:pPr>
              <w:pStyle w:val="27"/>
            </w:pPr>
            <w:r>
              <w:t>政策知晓率</w:t>
            </w:r>
          </w:p>
        </w:tc>
        <w:tc>
          <w:tcPr>
            <w:tcW w:w="2835" w:type="dxa"/>
            <w:vAlign w:val="center"/>
          </w:tcPr>
          <w:p>
            <w:pPr>
              <w:pStyle w:val="27"/>
            </w:pPr>
            <w:r>
              <w:t>信访疑难案件补助资金群众知晓比例</w:t>
            </w:r>
          </w:p>
        </w:tc>
        <w:tc>
          <w:tcPr>
            <w:tcW w:w="2551" w:type="dxa"/>
            <w:vAlign w:val="center"/>
          </w:tcPr>
          <w:p>
            <w:pPr>
              <w:pStyle w:val="27"/>
            </w:pPr>
            <w:r>
              <w:t>≥80%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时效指标</w:t>
            </w:r>
          </w:p>
        </w:tc>
        <w:tc>
          <w:tcPr>
            <w:tcW w:w="2835" w:type="dxa"/>
            <w:vAlign w:val="center"/>
          </w:tcPr>
          <w:p>
            <w:pPr>
              <w:pStyle w:val="27"/>
            </w:pPr>
            <w:r>
              <w:t>按期答复率</w:t>
            </w:r>
          </w:p>
        </w:tc>
        <w:tc>
          <w:tcPr>
            <w:tcW w:w="2835" w:type="dxa"/>
            <w:vAlign w:val="center"/>
          </w:tcPr>
          <w:p>
            <w:pPr>
              <w:pStyle w:val="27"/>
            </w:pPr>
            <w:r>
              <w:t>按期答复的比例</w:t>
            </w:r>
          </w:p>
        </w:tc>
        <w:tc>
          <w:tcPr>
            <w:tcW w:w="2551" w:type="dxa"/>
            <w:vAlign w:val="center"/>
          </w:tcPr>
          <w:p>
            <w:pPr>
              <w:pStyle w:val="27"/>
            </w:pPr>
            <w:r>
              <w:t>≥90%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质量指标</w:t>
            </w:r>
          </w:p>
        </w:tc>
        <w:tc>
          <w:tcPr>
            <w:tcW w:w="2835" w:type="dxa"/>
            <w:vAlign w:val="center"/>
          </w:tcPr>
          <w:p>
            <w:pPr>
              <w:pStyle w:val="27"/>
            </w:pPr>
            <w:r>
              <w:t>及时受理率</w:t>
            </w:r>
          </w:p>
        </w:tc>
        <w:tc>
          <w:tcPr>
            <w:tcW w:w="2835" w:type="dxa"/>
            <w:vAlign w:val="center"/>
          </w:tcPr>
          <w:p>
            <w:pPr>
              <w:pStyle w:val="27"/>
            </w:pPr>
            <w:r>
              <w:t>及时受理案件比例</w:t>
            </w:r>
          </w:p>
        </w:tc>
        <w:tc>
          <w:tcPr>
            <w:tcW w:w="2551" w:type="dxa"/>
            <w:vAlign w:val="center"/>
          </w:tcPr>
          <w:p>
            <w:pPr>
              <w:pStyle w:val="27"/>
            </w:pPr>
            <w:r>
              <w:t>≥90%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成本指标</w:t>
            </w:r>
          </w:p>
        </w:tc>
        <w:tc>
          <w:tcPr>
            <w:tcW w:w="2835" w:type="dxa"/>
            <w:vAlign w:val="center"/>
          </w:tcPr>
          <w:p>
            <w:pPr>
              <w:pStyle w:val="27"/>
            </w:pPr>
            <w:r>
              <w:t>补助资金发放率</w:t>
            </w:r>
          </w:p>
        </w:tc>
        <w:tc>
          <w:tcPr>
            <w:tcW w:w="2835" w:type="dxa"/>
            <w:vAlign w:val="center"/>
          </w:tcPr>
          <w:p>
            <w:pPr>
              <w:pStyle w:val="27"/>
            </w:pPr>
            <w:r>
              <w:t>发放补助资金的比例</w:t>
            </w:r>
          </w:p>
        </w:tc>
        <w:tc>
          <w:tcPr>
            <w:tcW w:w="2551" w:type="dxa"/>
            <w:vAlign w:val="center"/>
          </w:tcPr>
          <w:p>
            <w:pPr>
              <w:pStyle w:val="27"/>
            </w:pPr>
            <w:r>
              <w:t>≥90%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1417" w:type="dxa"/>
            <w:vMerge w:val="restart"/>
            <w:vAlign w:val="center"/>
          </w:tcPr>
          <w:p>
            <w:pPr>
              <w:pStyle w:val="28"/>
            </w:pPr>
            <w:r>
              <w:t>效益指标</w:t>
            </w:r>
          </w:p>
        </w:tc>
        <w:tc>
          <w:tcPr>
            <w:tcW w:w="2268" w:type="dxa"/>
            <w:vAlign w:val="center"/>
          </w:tcPr>
          <w:p>
            <w:pPr>
              <w:pStyle w:val="27"/>
            </w:pPr>
            <w:r>
              <w:t>社会效益指标</w:t>
            </w:r>
          </w:p>
        </w:tc>
        <w:tc>
          <w:tcPr>
            <w:tcW w:w="2835" w:type="dxa"/>
            <w:vAlign w:val="center"/>
          </w:tcPr>
          <w:p>
            <w:pPr>
              <w:pStyle w:val="27"/>
            </w:pPr>
            <w:r>
              <w:t>信访救助率</w:t>
            </w:r>
          </w:p>
        </w:tc>
        <w:tc>
          <w:tcPr>
            <w:tcW w:w="2835" w:type="dxa"/>
            <w:vAlign w:val="center"/>
          </w:tcPr>
          <w:p>
            <w:pPr>
              <w:pStyle w:val="27"/>
            </w:pPr>
            <w:r>
              <w:t>已救助人数占应救助人数的比率</w:t>
            </w:r>
          </w:p>
        </w:tc>
        <w:tc>
          <w:tcPr>
            <w:tcW w:w="2551" w:type="dxa"/>
            <w:vAlign w:val="center"/>
          </w:tcPr>
          <w:p>
            <w:pPr>
              <w:pStyle w:val="27"/>
            </w:pPr>
            <w:r>
              <w:t>≥90%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社会效益指标</w:t>
            </w:r>
          </w:p>
        </w:tc>
        <w:tc>
          <w:tcPr>
            <w:tcW w:w="2835" w:type="dxa"/>
            <w:vAlign w:val="center"/>
          </w:tcPr>
          <w:p>
            <w:pPr>
              <w:pStyle w:val="27"/>
            </w:pPr>
            <w:r>
              <w:t>信访息访率</w:t>
            </w:r>
          </w:p>
        </w:tc>
        <w:tc>
          <w:tcPr>
            <w:tcW w:w="2835" w:type="dxa"/>
            <w:vAlign w:val="center"/>
          </w:tcPr>
          <w:p>
            <w:pPr>
              <w:pStyle w:val="27"/>
            </w:pPr>
            <w:r>
              <w:t>所救济信访人的息诉罢访数量与总救济信访人数量的比率</w:t>
            </w:r>
          </w:p>
        </w:tc>
        <w:tc>
          <w:tcPr>
            <w:tcW w:w="2551" w:type="dxa"/>
            <w:vAlign w:val="center"/>
          </w:tcPr>
          <w:p>
            <w:pPr>
              <w:pStyle w:val="27"/>
            </w:pPr>
            <w:r>
              <w:t>≥90%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群众对此项工作开展效果的满意度</w:t>
            </w:r>
          </w:p>
        </w:tc>
        <w:tc>
          <w:tcPr>
            <w:tcW w:w="2551" w:type="dxa"/>
            <w:vAlign w:val="center"/>
          </w:tcPr>
          <w:p>
            <w:pPr>
              <w:pStyle w:val="27"/>
            </w:pPr>
            <w:r>
              <w:t>≥80%</w:t>
            </w:r>
          </w:p>
        </w:tc>
        <w:tc>
          <w:tcPr>
            <w:tcW w:w="2268" w:type="dxa"/>
            <w:vAlign w:val="center"/>
          </w:tcPr>
          <w:p>
            <w:pPr>
              <w:pStyle w:val="27"/>
            </w:pPr>
            <w:r>
              <w:t>工作预计测算</w:t>
            </w:r>
          </w:p>
        </w:tc>
      </w:tr>
    </w:tbl>
    <w:p>
      <w:pPr>
        <w:pStyle w:val="25"/>
      </w:pPr>
    </w:p>
    <w:p>
      <w:pPr>
        <w:pStyle w:val="25"/>
        <w:spacing w:before="0" w:after="0"/>
        <w:ind w:firstLine="560"/>
        <w:jc w:val="left"/>
        <w:outlineLvl w:val="9"/>
      </w:pPr>
      <w:r>
        <w:rPr>
          <w:rFonts w:ascii="方正仿宋_GBK" w:eastAsia="方正仿宋_GBK" w:cs="方正仿宋_GBK"/>
          <w:b/>
          <w:color w:val="000000"/>
          <w:sz w:val="28"/>
        </w:rPr>
        <w:t>2、区社会治理综合服务中心改造经费(以前年度）绩效目标表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6"/>
            </w:pPr>
            <w:r>
              <w:t>绩效目标</w:t>
            </w:r>
          </w:p>
        </w:tc>
        <w:tc>
          <w:tcPr>
            <w:tcW w:w="12756" w:type="dxa"/>
            <w:tcBorders>
              <w:bottom w:val="single" w:color="FFFFFF" w:sz="6" w:space="0"/>
            </w:tcBorders>
            <w:vAlign w:val="center"/>
          </w:tcPr>
          <w:p>
            <w:pPr>
              <w:pStyle w:val="27"/>
            </w:pPr>
            <w:r>
              <w:t>1. 2022年申请区社会治理综合服务中心改造经费41.3万元,主要用于办公区域修缮，保证机关工作的正常运转。</w:t>
            </w:r>
          </w:p>
        </w:tc>
      </w:tr>
    </w:tbl>
    <w:p>
      <w:pPr>
        <w:pStyle w:val="25"/>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6"/>
            </w:pPr>
            <w:r>
              <w:t>一级指标</w:t>
            </w:r>
          </w:p>
        </w:tc>
        <w:tc>
          <w:tcPr>
            <w:tcW w:w="2268" w:type="dxa"/>
            <w:vAlign w:val="center"/>
          </w:tcPr>
          <w:p>
            <w:pPr>
              <w:pStyle w:val="26"/>
            </w:pPr>
            <w:r>
              <w:t>二级指标</w:t>
            </w:r>
          </w:p>
        </w:tc>
        <w:tc>
          <w:tcPr>
            <w:tcW w:w="2835" w:type="dxa"/>
            <w:vAlign w:val="center"/>
          </w:tcPr>
          <w:p>
            <w:pPr>
              <w:pStyle w:val="26"/>
            </w:pPr>
            <w:r>
              <w:t>三级指标</w:t>
            </w:r>
          </w:p>
        </w:tc>
        <w:tc>
          <w:tcPr>
            <w:tcW w:w="2835" w:type="dxa"/>
            <w:vAlign w:val="center"/>
          </w:tcPr>
          <w:p>
            <w:pPr>
              <w:pStyle w:val="26"/>
            </w:pPr>
            <w:r>
              <w:t>绩效指标描述</w:t>
            </w:r>
          </w:p>
        </w:tc>
        <w:tc>
          <w:tcPr>
            <w:tcW w:w="2551" w:type="dxa"/>
            <w:vAlign w:val="center"/>
          </w:tcPr>
          <w:p>
            <w:pPr>
              <w:pStyle w:val="26"/>
            </w:pPr>
            <w:r>
              <w:t>指标值</w:t>
            </w:r>
          </w:p>
        </w:tc>
        <w:tc>
          <w:tcPr>
            <w:tcW w:w="2268"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7"/>
            </w:pPr>
            <w:r>
              <w:t>数量指标</w:t>
            </w:r>
          </w:p>
        </w:tc>
        <w:tc>
          <w:tcPr>
            <w:tcW w:w="2835" w:type="dxa"/>
            <w:vAlign w:val="center"/>
          </w:tcPr>
          <w:p>
            <w:pPr>
              <w:pStyle w:val="27"/>
            </w:pPr>
            <w:r>
              <w:t>受益人数</w:t>
            </w:r>
          </w:p>
        </w:tc>
        <w:tc>
          <w:tcPr>
            <w:tcW w:w="2835" w:type="dxa"/>
            <w:vAlign w:val="center"/>
          </w:tcPr>
          <w:p>
            <w:pPr>
              <w:pStyle w:val="27"/>
            </w:pPr>
            <w:r>
              <w:t>项目改造后实际受益的人数</w:t>
            </w:r>
          </w:p>
        </w:tc>
        <w:tc>
          <w:tcPr>
            <w:tcW w:w="2551" w:type="dxa"/>
            <w:vAlign w:val="center"/>
          </w:tcPr>
          <w:p>
            <w:pPr>
              <w:pStyle w:val="27"/>
            </w:pPr>
            <w:r>
              <w:t>≥50%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成本指标</w:t>
            </w:r>
          </w:p>
        </w:tc>
        <w:tc>
          <w:tcPr>
            <w:tcW w:w="2835" w:type="dxa"/>
            <w:vAlign w:val="center"/>
          </w:tcPr>
          <w:p>
            <w:pPr>
              <w:pStyle w:val="27"/>
            </w:pPr>
            <w:r>
              <w:t>项目资金预算控制率</w:t>
            </w:r>
          </w:p>
        </w:tc>
        <w:tc>
          <w:tcPr>
            <w:tcW w:w="2835" w:type="dxa"/>
            <w:vAlign w:val="center"/>
          </w:tcPr>
          <w:p>
            <w:pPr>
              <w:pStyle w:val="27"/>
            </w:pPr>
            <w:r>
              <w:t>项目实际支出占年初预算的比率</w:t>
            </w:r>
          </w:p>
        </w:tc>
        <w:tc>
          <w:tcPr>
            <w:tcW w:w="2551" w:type="dxa"/>
            <w:vAlign w:val="center"/>
          </w:tcPr>
          <w:p>
            <w:pPr>
              <w:pStyle w:val="27"/>
            </w:pPr>
            <w:r>
              <w:t>≤41.3万元</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时效指标</w:t>
            </w:r>
          </w:p>
        </w:tc>
        <w:tc>
          <w:tcPr>
            <w:tcW w:w="2835" w:type="dxa"/>
            <w:vAlign w:val="center"/>
          </w:tcPr>
          <w:p>
            <w:pPr>
              <w:pStyle w:val="27"/>
            </w:pPr>
            <w:r>
              <w:t>资金支出进度率</w:t>
            </w:r>
          </w:p>
        </w:tc>
        <w:tc>
          <w:tcPr>
            <w:tcW w:w="2835" w:type="dxa"/>
            <w:vAlign w:val="center"/>
          </w:tcPr>
          <w:p>
            <w:pPr>
              <w:pStyle w:val="27"/>
            </w:pPr>
            <w:r>
              <w:t>资金支出进度占计划进度的比率</w:t>
            </w:r>
          </w:p>
        </w:tc>
        <w:tc>
          <w:tcPr>
            <w:tcW w:w="2551" w:type="dxa"/>
            <w:vAlign w:val="center"/>
          </w:tcPr>
          <w:p>
            <w:pPr>
              <w:pStyle w:val="27"/>
            </w:pPr>
            <w:r>
              <w:t>≥90%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质量指标</w:t>
            </w:r>
          </w:p>
        </w:tc>
        <w:tc>
          <w:tcPr>
            <w:tcW w:w="2835" w:type="dxa"/>
            <w:vAlign w:val="center"/>
          </w:tcPr>
          <w:p>
            <w:pPr>
              <w:pStyle w:val="27"/>
            </w:pPr>
            <w:r>
              <w:t>项目良性运行率</w:t>
            </w:r>
          </w:p>
        </w:tc>
        <w:tc>
          <w:tcPr>
            <w:tcW w:w="2835" w:type="dxa"/>
            <w:vAlign w:val="center"/>
          </w:tcPr>
          <w:p>
            <w:pPr>
              <w:pStyle w:val="27"/>
            </w:pPr>
            <w:r>
              <w:t>项目改造后良性运行的比率</w:t>
            </w:r>
          </w:p>
        </w:tc>
        <w:tc>
          <w:tcPr>
            <w:tcW w:w="2551" w:type="dxa"/>
            <w:vAlign w:val="center"/>
          </w:tcPr>
          <w:p>
            <w:pPr>
              <w:pStyle w:val="27"/>
            </w:pPr>
            <w:r>
              <w:t>≥90%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1417" w:type="dxa"/>
            <w:vAlign w:val="center"/>
          </w:tcPr>
          <w:p>
            <w:pPr>
              <w:pStyle w:val="28"/>
            </w:pPr>
            <w:r>
              <w:t>效益指标</w:t>
            </w:r>
          </w:p>
        </w:tc>
        <w:tc>
          <w:tcPr>
            <w:tcW w:w="2268" w:type="dxa"/>
            <w:vAlign w:val="center"/>
          </w:tcPr>
          <w:p>
            <w:pPr>
              <w:pStyle w:val="27"/>
            </w:pPr>
            <w:r>
              <w:t>可持续影响指标</w:t>
            </w:r>
          </w:p>
        </w:tc>
        <w:tc>
          <w:tcPr>
            <w:tcW w:w="2835" w:type="dxa"/>
            <w:vAlign w:val="center"/>
          </w:tcPr>
          <w:p>
            <w:pPr>
              <w:pStyle w:val="27"/>
            </w:pPr>
            <w:r>
              <w:t>业务保障能力提升情况</w:t>
            </w:r>
          </w:p>
        </w:tc>
        <w:tc>
          <w:tcPr>
            <w:tcW w:w="2835" w:type="dxa"/>
            <w:vAlign w:val="center"/>
          </w:tcPr>
          <w:p>
            <w:pPr>
              <w:pStyle w:val="27"/>
            </w:pPr>
            <w:r>
              <w:t>购置对业务保障能力的提升情况</w:t>
            </w:r>
          </w:p>
        </w:tc>
        <w:tc>
          <w:tcPr>
            <w:tcW w:w="2551" w:type="dxa"/>
            <w:vAlign w:val="center"/>
          </w:tcPr>
          <w:p>
            <w:pPr>
              <w:pStyle w:val="27"/>
            </w:pPr>
            <w:r>
              <w:t>≥90%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7"/>
            </w:pPr>
            <w:r>
              <w:t>服务对象满意度指标</w:t>
            </w:r>
          </w:p>
        </w:tc>
        <w:tc>
          <w:tcPr>
            <w:tcW w:w="2835" w:type="dxa"/>
            <w:vAlign w:val="center"/>
          </w:tcPr>
          <w:p>
            <w:pPr>
              <w:pStyle w:val="27"/>
            </w:pPr>
            <w:r>
              <w:t>受益人口满意率</w:t>
            </w:r>
          </w:p>
        </w:tc>
        <w:tc>
          <w:tcPr>
            <w:tcW w:w="2835" w:type="dxa"/>
            <w:vAlign w:val="center"/>
          </w:tcPr>
          <w:p>
            <w:pPr>
              <w:pStyle w:val="27"/>
            </w:pPr>
            <w:r>
              <w:t>受益人对此项工作开展效果的满意度</w:t>
            </w:r>
          </w:p>
        </w:tc>
        <w:tc>
          <w:tcPr>
            <w:tcW w:w="2551" w:type="dxa"/>
            <w:vAlign w:val="center"/>
          </w:tcPr>
          <w:p>
            <w:pPr>
              <w:pStyle w:val="27"/>
            </w:pPr>
            <w:r>
              <w:t>≥90%</w:t>
            </w:r>
          </w:p>
        </w:tc>
        <w:tc>
          <w:tcPr>
            <w:tcW w:w="2268" w:type="dxa"/>
            <w:vAlign w:val="center"/>
          </w:tcPr>
          <w:p>
            <w:pPr>
              <w:pStyle w:val="27"/>
            </w:pPr>
            <w:r>
              <w:t>工作预计测算</w:t>
            </w:r>
          </w:p>
        </w:tc>
      </w:tr>
    </w:tbl>
    <w:p>
      <w:pPr>
        <w:pStyle w:val="25"/>
      </w:pPr>
    </w:p>
    <w:p>
      <w:pPr>
        <w:pStyle w:val="25"/>
        <w:spacing w:before="0" w:after="0"/>
        <w:ind w:firstLine="560"/>
        <w:jc w:val="left"/>
        <w:outlineLvl w:val="9"/>
      </w:pPr>
      <w:r>
        <w:rPr>
          <w:rFonts w:ascii="方正仿宋_GBK" w:eastAsia="方正仿宋_GBK" w:cs="方正仿宋_GBK"/>
          <w:b/>
          <w:color w:val="000000"/>
          <w:sz w:val="28"/>
        </w:rPr>
        <w:t>3、群众工作中心经费绩效目标表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6"/>
            </w:pPr>
            <w:r>
              <w:t>绩效目标</w:t>
            </w:r>
          </w:p>
        </w:tc>
        <w:tc>
          <w:tcPr>
            <w:tcW w:w="12756" w:type="dxa"/>
            <w:tcBorders>
              <w:bottom w:val="single" w:color="FFFFFF" w:sz="6" w:space="0"/>
            </w:tcBorders>
            <w:vAlign w:val="center"/>
          </w:tcPr>
          <w:p>
            <w:pPr>
              <w:pStyle w:val="27"/>
            </w:pPr>
            <w:r>
              <w:t>1.2022年投入13万元，确保区群众工作中心正常运转，充分发挥律师在维护群众合法权益、化解矛盾、促进社会和谐稳定中的重要作用，集中解决群众问题，把问题解决在县级以下，减少群众越级访，维护全区和谐稳定。</w:t>
            </w:r>
          </w:p>
        </w:tc>
      </w:tr>
    </w:tbl>
    <w:p>
      <w:pPr>
        <w:pStyle w:val="25"/>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6"/>
            </w:pPr>
            <w:r>
              <w:t>一级指标</w:t>
            </w:r>
          </w:p>
        </w:tc>
        <w:tc>
          <w:tcPr>
            <w:tcW w:w="2268" w:type="dxa"/>
            <w:vAlign w:val="center"/>
          </w:tcPr>
          <w:p>
            <w:pPr>
              <w:pStyle w:val="26"/>
            </w:pPr>
            <w:r>
              <w:t>二级指标</w:t>
            </w:r>
          </w:p>
        </w:tc>
        <w:tc>
          <w:tcPr>
            <w:tcW w:w="2835" w:type="dxa"/>
            <w:vAlign w:val="center"/>
          </w:tcPr>
          <w:p>
            <w:pPr>
              <w:pStyle w:val="26"/>
            </w:pPr>
            <w:r>
              <w:t>三级指标</w:t>
            </w:r>
          </w:p>
        </w:tc>
        <w:tc>
          <w:tcPr>
            <w:tcW w:w="2835" w:type="dxa"/>
            <w:vAlign w:val="center"/>
          </w:tcPr>
          <w:p>
            <w:pPr>
              <w:pStyle w:val="26"/>
            </w:pPr>
            <w:r>
              <w:t>绩效指标描述</w:t>
            </w:r>
          </w:p>
        </w:tc>
        <w:tc>
          <w:tcPr>
            <w:tcW w:w="2551" w:type="dxa"/>
            <w:vAlign w:val="center"/>
          </w:tcPr>
          <w:p>
            <w:pPr>
              <w:pStyle w:val="26"/>
            </w:pPr>
            <w:r>
              <w:t>指标值</w:t>
            </w:r>
          </w:p>
        </w:tc>
        <w:tc>
          <w:tcPr>
            <w:tcW w:w="2268"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7"/>
            </w:pPr>
            <w:r>
              <w:t>数量指标</w:t>
            </w:r>
          </w:p>
        </w:tc>
        <w:tc>
          <w:tcPr>
            <w:tcW w:w="2835" w:type="dxa"/>
            <w:vAlign w:val="center"/>
          </w:tcPr>
          <w:p>
            <w:pPr>
              <w:pStyle w:val="27"/>
            </w:pPr>
            <w:r>
              <w:t>矛盾纠纷排查率</w:t>
            </w:r>
          </w:p>
        </w:tc>
        <w:tc>
          <w:tcPr>
            <w:tcW w:w="2835" w:type="dxa"/>
            <w:vAlign w:val="center"/>
          </w:tcPr>
          <w:p>
            <w:pPr>
              <w:pStyle w:val="27"/>
            </w:pPr>
            <w:r>
              <w:t>矛盾纠纷排查数量与矛盾纠纷总量的比率</w:t>
            </w:r>
          </w:p>
        </w:tc>
        <w:tc>
          <w:tcPr>
            <w:tcW w:w="2551" w:type="dxa"/>
            <w:vAlign w:val="center"/>
          </w:tcPr>
          <w:p>
            <w:pPr>
              <w:pStyle w:val="27"/>
            </w:pPr>
            <w:r>
              <w:t>≥80%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质量指标</w:t>
            </w:r>
          </w:p>
        </w:tc>
        <w:tc>
          <w:tcPr>
            <w:tcW w:w="2835" w:type="dxa"/>
            <w:vAlign w:val="center"/>
          </w:tcPr>
          <w:p>
            <w:pPr>
              <w:pStyle w:val="27"/>
            </w:pPr>
            <w:r>
              <w:t>矛盾纠纷依法转处率</w:t>
            </w:r>
          </w:p>
        </w:tc>
        <w:tc>
          <w:tcPr>
            <w:tcW w:w="2835" w:type="dxa"/>
            <w:vAlign w:val="center"/>
          </w:tcPr>
          <w:p>
            <w:pPr>
              <w:pStyle w:val="27"/>
            </w:pPr>
            <w:r>
              <w:t>转处矛盾纠纷的比例</w:t>
            </w:r>
          </w:p>
        </w:tc>
        <w:tc>
          <w:tcPr>
            <w:tcW w:w="2551" w:type="dxa"/>
            <w:vAlign w:val="center"/>
          </w:tcPr>
          <w:p>
            <w:pPr>
              <w:pStyle w:val="27"/>
            </w:pPr>
            <w:r>
              <w:t>≥80%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时效指标</w:t>
            </w:r>
          </w:p>
        </w:tc>
        <w:tc>
          <w:tcPr>
            <w:tcW w:w="2835" w:type="dxa"/>
            <w:vAlign w:val="center"/>
          </w:tcPr>
          <w:p>
            <w:pPr>
              <w:pStyle w:val="27"/>
            </w:pPr>
            <w:r>
              <w:t>及时受理率</w:t>
            </w:r>
          </w:p>
        </w:tc>
        <w:tc>
          <w:tcPr>
            <w:tcW w:w="2835" w:type="dxa"/>
            <w:vAlign w:val="center"/>
          </w:tcPr>
          <w:p>
            <w:pPr>
              <w:pStyle w:val="27"/>
            </w:pPr>
            <w:r>
              <w:t>及时受理案件比例</w:t>
            </w:r>
          </w:p>
        </w:tc>
        <w:tc>
          <w:tcPr>
            <w:tcW w:w="2551" w:type="dxa"/>
            <w:vAlign w:val="center"/>
          </w:tcPr>
          <w:p>
            <w:pPr>
              <w:pStyle w:val="27"/>
            </w:pPr>
            <w:r>
              <w:t>≥80%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成本指标</w:t>
            </w:r>
          </w:p>
        </w:tc>
        <w:tc>
          <w:tcPr>
            <w:tcW w:w="2835" w:type="dxa"/>
            <w:vAlign w:val="center"/>
          </w:tcPr>
          <w:p>
            <w:pPr>
              <w:pStyle w:val="27"/>
            </w:pPr>
            <w:r>
              <w:t>资金支出进度</w:t>
            </w:r>
          </w:p>
        </w:tc>
        <w:tc>
          <w:tcPr>
            <w:tcW w:w="2835" w:type="dxa"/>
            <w:vAlign w:val="center"/>
          </w:tcPr>
          <w:p>
            <w:pPr>
              <w:pStyle w:val="27"/>
            </w:pPr>
            <w:r>
              <w:t>资金支出进度占计划进度的比率</w:t>
            </w:r>
          </w:p>
        </w:tc>
        <w:tc>
          <w:tcPr>
            <w:tcW w:w="2551" w:type="dxa"/>
            <w:vAlign w:val="center"/>
          </w:tcPr>
          <w:p>
            <w:pPr>
              <w:pStyle w:val="27"/>
            </w:pPr>
            <w:r>
              <w:t>≥80%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1417" w:type="dxa"/>
            <w:vAlign w:val="center"/>
          </w:tcPr>
          <w:p>
            <w:pPr>
              <w:pStyle w:val="28"/>
            </w:pPr>
            <w:r>
              <w:t>效益指标</w:t>
            </w:r>
          </w:p>
        </w:tc>
        <w:tc>
          <w:tcPr>
            <w:tcW w:w="2268" w:type="dxa"/>
            <w:vAlign w:val="center"/>
          </w:tcPr>
          <w:p>
            <w:pPr>
              <w:pStyle w:val="27"/>
            </w:pPr>
            <w:r>
              <w:t>社会效益指标</w:t>
            </w:r>
          </w:p>
        </w:tc>
        <w:tc>
          <w:tcPr>
            <w:tcW w:w="2835" w:type="dxa"/>
            <w:vAlign w:val="center"/>
          </w:tcPr>
          <w:p>
            <w:pPr>
              <w:pStyle w:val="27"/>
            </w:pPr>
            <w:r>
              <w:t>矛盾纠纷化解率</w:t>
            </w:r>
          </w:p>
        </w:tc>
        <w:tc>
          <w:tcPr>
            <w:tcW w:w="2835" w:type="dxa"/>
            <w:vAlign w:val="center"/>
          </w:tcPr>
          <w:p>
            <w:pPr>
              <w:pStyle w:val="27"/>
            </w:pPr>
            <w:r>
              <w:t>矛盾纠纷化解数量与矛盾纠纷总数量的比率</w:t>
            </w:r>
          </w:p>
        </w:tc>
        <w:tc>
          <w:tcPr>
            <w:tcW w:w="2551" w:type="dxa"/>
            <w:vAlign w:val="center"/>
          </w:tcPr>
          <w:p>
            <w:pPr>
              <w:pStyle w:val="27"/>
            </w:pPr>
            <w:r>
              <w:t>≥80%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群众对此项工作开展效果的满意度</w:t>
            </w:r>
          </w:p>
        </w:tc>
        <w:tc>
          <w:tcPr>
            <w:tcW w:w="2551" w:type="dxa"/>
            <w:vAlign w:val="center"/>
          </w:tcPr>
          <w:p>
            <w:pPr>
              <w:pStyle w:val="27"/>
            </w:pPr>
            <w:r>
              <w:t>≥80%</w:t>
            </w:r>
          </w:p>
        </w:tc>
        <w:tc>
          <w:tcPr>
            <w:tcW w:w="2268" w:type="dxa"/>
            <w:vAlign w:val="center"/>
          </w:tcPr>
          <w:p>
            <w:pPr>
              <w:pStyle w:val="27"/>
            </w:pPr>
            <w:r>
              <w:t>工作预计测算</w:t>
            </w:r>
          </w:p>
        </w:tc>
      </w:tr>
    </w:tbl>
    <w:p>
      <w:pPr>
        <w:pStyle w:val="25"/>
      </w:pPr>
    </w:p>
    <w:p>
      <w:pPr>
        <w:pStyle w:val="25"/>
        <w:spacing w:before="0" w:after="0"/>
        <w:ind w:firstLine="560"/>
        <w:jc w:val="left"/>
        <w:outlineLvl w:val="9"/>
      </w:pPr>
      <w:r>
        <w:rPr>
          <w:rFonts w:ascii="方正仿宋_GBK" w:eastAsia="方正仿宋_GBK" w:cs="方正仿宋_GBK"/>
          <w:b/>
          <w:color w:val="000000"/>
          <w:sz w:val="28"/>
        </w:rPr>
        <w:t>4、信访工作岗位经费(劳务费）绩效目标表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6"/>
            </w:pPr>
            <w:r>
              <w:t>绩效目标</w:t>
            </w:r>
          </w:p>
        </w:tc>
        <w:tc>
          <w:tcPr>
            <w:tcW w:w="12756" w:type="dxa"/>
            <w:tcBorders>
              <w:bottom w:val="single" w:color="FFFFFF" w:sz="6" w:space="0"/>
            </w:tcBorders>
            <w:vAlign w:val="center"/>
          </w:tcPr>
          <w:p>
            <w:pPr>
              <w:pStyle w:val="27"/>
            </w:pPr>
            <w:r>
              <w:t>1.根据我单位与劳务派遣中心签定的劳务派遣合同，我局实有劳务派遣人员16人，2022年共需工资及保险费用73万元。主要用于：发放劳务派遣人员的工资、缴纳保险等费用，保证该类人员基本福利待遇。</w:t>
            </w:r>
          </w:p>
        </w:tc>
      </w:tr>
    </w:tbl>
    <w:p>
      <w:pPr>
        <w:pStyle w:val="25"/>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6"/>
            </w:pPr>
            <w:r>
              <w:t>一级指标</w:t>
            </w:r>
          </w:p>
        </w:tc>
        <w:tc>
          <w:tcPr>
            <w:tcW w:w="2268" w:type="dxa"/>
            <w:vAlign w:val="center"/>
          </w:tcPr>
          <w:p>
            <w:pPr>
              <w:pStyle w:val="26"/>
            </w:pPr>
            <w:r>
              <w:t>二级指标</w:t>
            </w:r>
          </w:p>
        </w:tc>
        <w:tc>
          <w:tcPr>
            <w:tcW w:w="2835" w:type="dxa"/>
            <w:vAlign w:val="center"/>
          </w:tcPr>
          <w:p>
            <w:pPr>
              <w:pStyle w:val="26"/>
            </w:pPr>
            <w:r>
              <w:t>三级指标</w:t>
            </w:r>
          </w:p>
        </w:tc>
        <w:tc>
          <w:tcPr>
            <w:tcW w:w="2835" w:type="dxa"/>
            <w:vAlign w:val="center"/>
          </w:tcPr>
          <w:p>
            <w:pPr>
              <w:pStyle w:val="26"/>
            </w:pPr>
            <w:r>
              <w:t>绩效指标描述</w:t>
            </w:r>
          </w:p>
        </w:tc>
        <w:tc>
          <w:tcPr>
            <w:tcW w:w="2551" w:type="dxa"/>
            <w:vAlign w:val="center"/>
          </w:tcPr>
          <w:p>
            <w:pPr>
              <w:pStyle w:val="26"/>
            </w:pPr>
            <w:r>
              <w:t>指标值</w:t>
            </w:r>
          </w:p>
        </w:tc>
        <w:tc>
          <w:tcPr>
            <w:tcW w:w="2268"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7"/>
            </w:pPr>
            <w:r>
              <w:t>数量指标</w:t>
            </w:r>
          </w:p>
        </w:tc>
        <w:tc>
          <w:tcPr>
            <w:tcW w:w="2835" w:type="dxa"/>
            <w:vAlign w:val="center"/>
          </w:tcPr>
          <w:p>
            <w:pPr>
              <w:pStyle w:val="27"/>
            </w:pPr>
            <w:r>
              <w:t>劳务派遣人员数量</w:t>
            </w:r>
          </w:p>
        </w:tc>
        <w:tc>
          <w:tcPr>
            <w:tcW w:w="2835" w:type="dxa"/>
            <w:vAlign w:val="center"/>
          </w:tcPr>
          <w:p>
            <w:pPr>
              <w:pStyle w:val="27"/>
            </w:pPr>
            <w:r>
              <w:t>聘用的劳务派遣人数</w:t>
            </w:r>
          </w:p>
        </w:tc>
        <w:tc>
          <w:tcPr>
            <w:tcW w:w="2551" w:type="dxa"/>
            <w:vAlign w:val="center"/>
          </w:tcPr>
          <w:p>
            <w:pPr>
              <w:pStyle w:val="27"/>
            </w:pPr>
            <w:r>
              <w:t>≤16人</w:t>
            </w:r>
          </w:p>
        </w:tc>
        <w:tc>
          <w:tcPr>
            <w:tcW w:w="2268" w:type="dxa"/>
            <w:vAlign w:val="center"/>
          </w:tcPr>
          <w:p>
            <w:pPr>
              <w:pStyle w:val="2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成本指标</w:t>
            </w:r>
          </w:p>
        </w:tc>
        <w:tc>
          <w:tcPr>
            <w:tcW w:w="2835" w:type="dxa"/>
            <w:vAlign w:val="center"/>
          </w:tcPr>
          <w:p>
            <w:pPr>
              <w:pStyle w:val="27"/>
            </w:pPr>
            <w:r>
              <w:t>预算资金成本</w:t>
            </w:r>
          </w:p>
        </w:tc>
        <w:tc>
          <w:tcPr>
            <w:tcW w:w="2835" w:type="dxa"/>
            <w:vAlign w:val="center"/>
          </w:tcPr>
          <w:p>
            <w:pPr>
              <w:pStyle w:val="27"/>
            </w:pPr>
            <w:r>
              <w:t>预算资金成本</w:t>
            </w:r>
          </w:p>
        </w:tc>
        <w:tc>
          <w:tcPr>
            <w:tcW w:w="2551" w:type="dxa"/>
            <w:vAlign w:val="center"/>
          </w:tcPr>
          <w:p>
            <w:pPr>
              <w:pStyle w:val="27"/>
            </w:pPr>
            <w:r>
              <w:t>≤73万元</w:t>
            </w:r>
          </w:p>
        </w:tc>
        <w:tc>
          <w:tcPr>
            <w:tcW w:w="2268" w:type="dxa"/>
            <w:vAlign w:val="center"/>
          </w:tcPr>
          <w:p>
            <w:pPr>
              <w:pStyle w:val="27"/>
            </w:pPr>
            <w:r>
              <w:t>预算资金支出情况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时效指标</w:t>
            </w:r>
          </w:p>
        </w:tc>
        <w:tc>
          <w:tcPr>
            <w:tcW w:w="2835" w:type="dxa"/>
            <w:vAlign w:val="center"/>
          </w:tcPr>
          <w:p>
            <w:pPr>
              <w:pStyle w:val="27"/>
            </w:pPr>
            <w:r>
              <w:t>工资发放及时率</w:t>
            </w:r>
          </w:p>
        </w:tc>
        <w:tc>
          <w:tcPr>
            <w:tcW w:w="2835" w:type="dxa"/>
            <w:vAlign w:val="center"/>
          </w:tcPr>
          <w:p>
            <w:pPr>
              <w:pStyle w:val="27"/>
            </w:pPr>
            <w:r>
              <w:t>工资发放的及时程度</w:t>
            </w:r>
          </w:p>
        </w:tc>
        <w:tc>
          <w:tcPr>
            <w:tcW w:w="2551" w:type="dxa"/>
            <w:vAlign w:val="center"/>
          </w:tcPr>
          <w:p>
            <w:pPr>
              <w:pStyle w:val="27"/>
            </w:pPr>
            <w:r>
              <w:t>≥90%</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质量指标</w:t>
            </w:r>
          </w:p>
        </w:tc>
        <w:tc>
          <w:tcPr>
            <w:tcW w:w="2835" w:type="dxa"/>
            <w:vAlign w:val="center"/>
          </w:tcPr>
          <w:p>
            <w:pPr>
              <w:pStyle w:val="27"/>
            </w:pPr>
            <w:r>
              <w:t>工资发放准确率</w:t>
            </w:r>
          </w:p>
        </w:tc>
        <w:tc>
          <w:tcPr>
            <w:tcW w:w="2835" w:type="dxa"/>
            <w:vAlign w:val="center"/>
          </w:tcPr>
          <w:p>
            <w:pPr>
              <w:pStyle w:val="27"/>
            </w:pPr>
            <w:r>
              <w:t>工资发放的准确程度</w:t>
            </w:r>
          </w:p>
        </w:tc>
        <w:tc>
          <w:tcPr>
            <w:tcW w:w="2551" w:type="dxa"/>
            <w:vAlign w:val="center"/>
          </w:tcPr>
          <w:p>
            <w:pPr>
              <w:pStyle w:val="27"/>
            </w:pPr>
            <w:r>
              <w:t>100%</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1417" w:type="dxa"/>
            <w:vMerge w:val="restart"/>
            <w:vAlign w:val="center"/>
          </w:tcPr>
          <w:p>
            <w:pPr>
              <w:pStyle w:val="28"/>
            </w:pPr>
            <w:r>
              <w:t>效益指标</w:t>
            </w:r>
          </w:p>
        </w:tc>
        <w:tc>
          <w:tcPr>
            <w:tcW w:w="2268" w:type="dxa"/>
            <w:vAlign w:val="center"/>
          </w:tcPr>
          <w:p>
            <w:pPr>
              <w:pStyle w:val="27"/>
            </w:pPr>
            <w:r>
              <w:t>社会效益指标</w:t>
            </w:r>
          </w:p>
        </w:tc>
        <w:tc>
          <w:tcPr>
            <w:tcW w:w="2835" w:type="dxa"/>
            <w:vAlign w:val="center"/>
          </w:tcPr>
          <w:p>
            <w:pPr>
              <w:pStyle w:val="27"/>
            </w:pPr>
            <w:r>
              <w:t>项目良性运行率</w:t>
            </w:r>
          </w:p>
        </w:tc>
        <w:tc>
          <w:tcPr>
            <w:tcW w:w="2835" w:type="dxa"/>
            <w:vAlign w:val="center"/>
          </w:tcPr>
          <w:p>
            <w:pPr>
              <w:pStyle w:val="27"/>
            </w:pPr>
            <w:r>
              <w:t>项目良性运行的比率</w:t>
            </w:r>
          </w:p>
        </w:tc>
        <w:tc>
          <w:tcPr>
            <w:tcW w:w="2551" w:type="dxa"/>
            <w:vAlign w:val="center"/>
          </w:tcPr>
          <w:p>
            <w:pPr>
              <w:pStyle w:val="27"/>
            </w:pPr>
            <w:r>
              <w:t>≥90%</w:t>
            </w:r>
          </w:p>
        </w:tc>
        <w:tc>
          <w:tcPr>
            <w:tcW w:w="2268" w:type="dxa"/>
            <w:vAlign w:val="center"/>
          </w:tcPr>
          <w:p>
            <w:pPr>
              <w:pStyle w:val="27"/>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社会效益指标</w:t>
            </w:r>
          </w:p>
        </w:tc>
        <w:tc>
          <w:tcPr>
            <w:tcW w:w="2835" w:type="dxa"/>
            <w:vAlign w:val="center"/>
          </w:tcPr>
          <w:p>
            <w:pPr>
              <w:pStyle w:val="27"/>
            </w:pPr>
            <w:r>
              <w:t>工作完成率</w:t>
            </w:r>
          </w:p>
        </w:tc>
        <w:tc>
          <w:tcPr>
            <w:tcW w:w="2835" w:type="dxa"/>
            <w:vAlign w:val="center"/>
          </w:tcPr>
          <w:p>
            <w:pPr>
              <w:pStyle w:val="27"/>
            </w:pPr>
            <w:r>
              <w:t>日常工作任务完成的比率</w:t>
            </w:r>
          </w:p>
        </w:tc>
        <w:tc>
          <w:tcPr>
            <w:tcW w:w="2551" w:type="dxa"/>
            <w:vAlign w:val="center"/>
          </w:tcPr>
          <w:p>
            <w:pPr>
              <w:pStyle w:val="27"/>
            </w:pPr>
            <w:r>
              <w:t>≥90%</w:t>
            </w:r>
          </w:p>
        </w:tc>
        <w:tc>
          <w:tcPr>
            <w:tcW w:w="2268" w:type="dxa"/>
            <w:vAlign w:val="center"/>
          </w:tcPr>
          <w:p>
            <w:pPr>
              <w:pStyle w:val="27"/>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7"/>
            </w:pPr>
            <w:r>
              <w:t>服务对象满意度指标</w:t>
            </w:r>
          </w:p>
        </w:tc>
        <w:tc>
          <w:tcPr>
            <w:tcW w:w="2835" w:type="dxa"/>
            <w:vAlign w:val="center"/>
          </w:tcPr>
          <w:p>
            <w:pPr>
              <w:pStyle w:val="27"/>
            </w:pPr>
            <w:r>
              <w:t>劳务派遣人员满意度</w:t>
            </w:r>
          </w:p>
        </w:tc>
        <w:tc>
          <w:tcPr>
            <w:tcW w:w="2835" w:type="dxa"/>
            <w:vAlign w:val="center"/>
          </w:tcPr>
          <w:p>
            <w:pPr>
              <w:pStyle w:val="27"/>
            </w:pPr>
            <w:r>
              <w:t>劳务派遣人员对工资待遇的满意度</w:t>
            </w:r>
          </w:p>
        </w:tc>
        <w:tc>
          <w:tcPr>
            <w:tcW w:w="2551" w:type="dxa"/>
            <w:vAlign w:val="center"/>
          </w:tcPr>
          <w:p>
            <w:pPr>
              <w:pStyle w:val="27"/>
            </w:pPr>
            <w:r>
              <w:t>≥90%</w:t>
            </w:r>
          </w:p>
        </w:tc>
        <w:tc>
          <w:tcPr>
            <w:tcW w:w="2268" w:type="dxa"/>
            <w:vAlign w:val="center"/>
          </w:tcPr>
          <w:p>
            <w:pPr>
              <w:pStyle w:val="27"/>
            </w:pPr>
            <w:r>
              <w:t>调查问卷</w:t>
            </w:r>
          </w:p>
        </w:tc>
      </w:tr>
    </w:tbl>
    <w:p>
      <w:pPr>
        <w:pStyle w:val="25"/>
      </w:pPr>
    </w:p>
    <w:p>
      <w:pPr>
        <w:pStyle w:val="25"/>
        <w:spacing w:before="0" w:after="0"/>
        <w:ind w:firstLine="560"/>
        <w:jc w:val="left"/>
        <w:outlineLvl w:val="9"/>
      </w:pPr>
      <w:r>
        <w:rPr>
          <w:rFonts w:ascii="方正仿宋_GBK" w:eastAsia="方正仿宋_GBK" w:cs="方正仿宋_GBK"/>
          <w:b/>
          <w:color w:val="000000"/>
          <w:sz w:val="28"/>
        </w:rPr>
        <w:t>5、信访维稳工作经费绩效目标表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6"/>
            </w:pPr>
            <w:r>
              <w:t>绩效目标</w:t>
            </w:r>
          </w:p>
        </w:tc>
        <w:tc>
          <w:tcPr>
            <w:tcW w:w="12756" w:type="dxa"/>
            <w:tcBorders>
              <w:bottom w:val="single" w:color="FFFFFF" w:sz="6" w:space="0"/>
            </w:tcBorders>
            <w:vAlign w:val="center"/>
          </w:tcPr>
          <w:p>
            <w:pPr>
              <w:pStyle w:val="27"/>
            </w:pPr>
            <w:r>
              <w:t>1.2022年投入90万元，用于长期驻京、赴省、暑期北戴河值班，日常安保任务及重大节日、敏感期期间增派值班力量，劝返、应急处置及协调联动等工作，维护社会稳定。</w:t>
            </w:r>
          </w:p>
        </w:tc>
      </w:tr>
    </w:tbl>
    <w:p>
      <w:pPr>
        <w:pStyle w:val="25"/>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6"/>
            </w:pPr>
            <w:r>
              <w:t>一级指标</w:t>
            </w:r>
          </w:p>
        </w:tc>
        <w:tc>
          <w:tcPr>
            <w:tcW w:w="2268" w:type="dxa"/>
            <w:vAlign w:val="center"/>
          </w:tcPr>
          <w:p>
            <w:pPr>
              <w:pStyle w:val="26"/>
            </w:pPr>
            <w:r>
              <w:t>二级指标</w:t>
            </w:r>
          </w:p>
        </w:tc>
        <w:tc>
          <w:tcPr>
            <w:tcW w:w="2835" w:type="dxa"/>
            <w:vAlign w:val="center"/>
          </w:tcPr>
          <w:p>
            <w:pPr>
              <w:pStyle w:val="26"/>
            </w:pPr>
            <w:r>
              <w:t>三级指标</w:t>
            </w:r>
          </w:p>
        </w:tc>
        <w:tc>
          <w:tcPr>
            <w:tcW w:w="2835" w:type="dxa"/>
            <w:vAlign w:val="center"/>
          </w:tcPr>
          <w:p>
            <w:pPr>
              <w:pStyle w:val="26"/>
            </w:pPr>
            <w:r>
              <w:t>绩效指标描述</w:t>
            </w:r>
          </w:p>
        </w:tc>
        <w:tc>
          <w:tcPr>
            <w:tcW w:w="2551" w:type="dxa"/>
            <w:vAlign w:val="center"/>
          </w:tcPr>
          <w:p>
            <w:pPr>
              <w:pStyle w:val="26"/>
            </w:pPr>
            <w:r>
              <w:t>指标值</w:t>
            </w:r>
          </w:p>
        </w:tc>
        <w:tc>
          <w:tcPr>
            <w:tcW w:w="2268"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7"/>
            </w:pPr>
            <w:r>
              <w:t>数量指标</w:t>
            </w:r>
          </w:p>
        </w:tc>
        <w:tc>
          <w:tcPr>
            <w:tcW w:w="2835" w:type="dxa"/>
            <w:vAlign w:val="center"/>
          </w:tcPr>
          <w:p>
            <w:pPr>
              <w:pStyle w:val="27"/>
            </w:pPr>
            <w:r>
              <w:t>不稳定群体或人员受理率</w:t>
            </w:r>
          </w:p>
        </w:tc>
        <w:tc>
          <w:tcPr>
            <w:tcW w:w="2835" w:type="dxa"/>
            <w:vAlign w:val="center"/>
          </w:tcPr>
          <w:p>
            <w:pPr>
              <w:pStyle w:val="27"/>
            </w:pPr>
            <w:r>
              <w:t>受理矛盾纠纷的比例</w:t>
            </w:r>
          </w:p>
        </w:tc>
        <w:tc>
          <w:tcPr>
            <w:tcW w:w="2551" w:type="dxa"/>
            <w:vAlign w:val="center"/>
          </w:tcPr>
          <w:p>
            <w:pPr>
              <w:pStyle w:val="27"/>
            </w:pPr>
            <w:r>
              <w:t>≥80%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质量指标</w:t>
            </w:r>
          </w:p>
        </w:tc>
        <w:tc>
          <w:tcPr>
            <w:tcW w:w="2835" w:type="dxa"/>
            <w:vAlign w:val="center"/>
          </w:tcPr>
          <w:p>
            <w:pPr>
              <w:pStyle w:val="27"/>
            </w:pPr>
            <w:r>
              <w:t>不稳定群体调解率</w:t>
            </w:r>
          </w:p>
        </w:tc>
        <w:tc>
          <w:tcPr>
            <w:tcW w:w="2835" w:type="dxa"/>
            <w:vAlign w:val="center"/>
          </w:tcPr>
          <w:p>
            <w:pPr>
              <w:pStyle w:val="27"/>
            </w:pPr>
            <w:r>
              <w:t>已调解的数量占全部不稳定群体的比率</w:t>
            </w:r>
          </w:p>
        </w:tc>
        <w:tc>
          <w:tcPr>
            <w:tcW w:w="2551" w:type="dxa"/>
            <w:vAlign w:val="center"/>
          </w:tcPr>
          <w:p>
            <w:pPr>
              <w:pStyle w:val="27"/>
            </w:pPr>
            <w:r>
              <w:t>≥80%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时效指标</w:t>
            </w:r>
          </w:p>
        </w:tc>
        <w:tc>
          <w:tcPr>
            <w:tcW w:w="2835" w:type="dxa"/>
            <w:vAlign w:val="center"/>
          </w:tcPr>
          <w:p>
            <w:pPr>
              <w:pStyle w:val="27"/>
            </w:pPr>
            <w:r>
              <w:t>突发问题应急处置率</w:t>
            </w:r>
          </w:p>
        </w:tc>
        <w:tc>
          <w:tcPr>
            <w:tcW w:w="2835" w:type="dxa"/>
            <w:vAlign w:val="center"/>
          </w:tcPr>
          <w:p>
            <w:pPr>
              <w:pStyle w:val="27"/>
            </w:pPr>
            <w:r>
              <w:t>突发问题应急处置数量占全部突发问题总量的比率</w:t>
            </w:r>
          </w:p>
        </w:tc>
        <w:tc>
          <w:tcPr>
            <w:tcW w:w="2551" w:type="dxa"/>
            <w:vAlign w:val="center"/>
          </w:tcPr>
          <w:p>
            <w:pPr>
              <w:pStyle w:val="27"/>
            </w:pPr>
            <w:r>
              <w:t>≥90%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成本指标</w:t>
            </w:r>
          </w:p>
        </w:tc>
        <w:tc>
          <w:tcPr>
            <w:tcW w:w="2835" w:type="dxa"/>
            <w:vAlign w:val="center"/>
          </w:tcPr>
          <w:p>
            <w:pPr>
              <w:pStyle w:val="27"/>
            </w:pPr>
            <w:r>
              <w:t>资金支出进度</w:t>
            </w:r>
          </w:p>
        </w:tc>
        <w:tc>
          <w:tcPr>
            <w:tcW w:w="2835" w:type="dxa"/>
            <w:vAlign w:val="center"/>
          </w:tcPr>
          <w:p>
            <w:pPr>
              <w:pStyle w:val="27"/>
            </w:pPr>
            <w:r>
              <w:t>资金支出进度占计划进度的比率</w:t>
            </w:r>
          </w:p>
        </w:tc>
        <w:tc>
          <w:tcPr>
            <w:tcW w:w="2551" w:type="dxa"/>
            <w:vAlign w:val="center"/>
          </w:tcPr>
          <w:p>
            <w:pPr>
              <w:pStyle w:val="27"/>
            </w:pPr>
            <w:r>
              <w:t>≥80%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1417" w:type="dxa"/>
            <w:vAlign w:val="center"/>
          </w:tcPr>
          <w:p>
            <w:pPr>
              <w:pStyle w:val="28"/>
            </w:pPr>
            <w:r>
              <w:t>效益指标</w:t>
            </w:r>
          </w:p>
        </w:tc>
        <w:tc>
          <w:tcPr>
            <w:tcW w:w="2268" w:type="dxa"/>
            <w:vAlign w:val="center"/>
          </w:tcPr>
          <w:p>
            <w:pPr>
              <w:pStyle w:val="27"/>
            </w:pPr>
            <w:r>
              <w:t>社会效益指标</w:t>
            </w:r>
          </w:p>
        </w:tc>
        <w:tc>
          <w:tcPr>
            <w:tcW w:w="2835" w:type="dxa"/>
            <w:vAlign w:val="center"/>
          </w:tcPr>
          <w:p>
            <w:pPr>
              <w:pStyle w:val="27"/>
            </w:pPr>
            <w:r>
              <w:t>安保活动圆满完成率</w:t>
            </w:r>
          </w:p>
        </w:tc>
        <w:tc>
          <w:tcPr>
            <w:tcW w:w="2835" w:type="dxa"/>
            <w:vAlign w:val="center"/>
          </w:tcPr>
          <w:p>
            <w:pPr>
              <w:pStyle w:val="27"/>
            </w:pPr>
            <w:r>
              <w:t>圆满完成的安保活动数量占全部安保活动梳理的比例</w:t>
            </w:r>
          </w:p>
        </w:tc>
        <w:tc>
          <w:tcPr>
            <w:tcW w:w="2551" w:type="dxa"/>
            <w:vAlign w:val="center"/>
          </w:tcPr>
          <w:p>
            <w:pPr>
              <w:pStyle w:val="27"/>
            </w:pPr>
            <w:r>
              <w:t>≥80%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群众对此项工作开展效果的满意度</w:t>
            </w:r>
          </w:p>
        </w:tc>
        <w:tc>
          <w:tcPr>
            <w:tcW w:w="2551" w:type="dxa"/>
            <w:vAlign w:val="center"/>
          </w:tcPr>
          <w:p>
            <w:pPr>
              <w:pStyle w:val="27"/>
            </w:pPr>
            <w:r>
              <w:t>≥80%</w:t>
            </w:r>
          </w:p>
        </w:tc>
        <w:tc>
          <w:tcPr>
            <w:tcW w:w="2268" w:type="dxa"/>
            <w:vAlign w:val="center"/>
          </w:tcPr>
          <w:p>
            <w:pPr>
              <w:pStyle w:val="27"/>
            </w:pPr>
            <w:r>
              <w:t>工作预计测算</w:t>
            </w:r>
          </w:p>
        </w:tc>
      </w:tr>
    </w:tbl>
    <w:p>
      <w:pPr>
        <w:pStyle w:val="25"/>
        <w:sectPr>
          <w:pgSz w:w="16840" w:h="11900" w:orient="landscape"/>
          <w:pgMar w:top="1361" w:right="1020" w:bottom="1361" w:left="1020" w:header="720" w:footer="720" w:gutter="0"/>
          <w:docGrid w:linePitch="326" w:charSpace="0"/>
        </w:sectPr>
      </w:pPr>
    </w:p>
    <w:p>
      <w:pPr>
        <w:spacing w:before="10" w:after="10" w:line="240" w:lineRule="auto"/>
        <w:ind w:firstLine="640"/>
        <w:jc w:val="left"/>
        <w:outlineLvl w:val="2"/>
      </w:pPr>
      <w:bookmarkStart w:id="14" w:name="_Toc_3_3_0000000015"/>
      <w:r>
        <w:rPr>
          <w:rFonts w:asci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2022年，唐山市丰南区信访局安排政府采购预算0.00万元。具体内容见下表。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部门政府采购预算</w:t>
      </w:r>
    </w:p>
    <w:tbl>
      <w:tblPr>
        <w:tblStyle w:val="7"/>
        <w:tblW w:w="150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884" w:type="dxa"/>
            <w:gridSpan w:val="7"/>
            <w:tcBorders>
              <w:top w:val="single" w:color="FFFFFF" w:sz="6" w:space="0"/>
              <w:left w:val="single" w:color="FFFFFF" w:sz="6" w:space="0"/>
              <w:right w:val="single" w:color="FFFFFF" w:sz="6" w:space="0"/>
            </w:tcBorders>
            <w:vAlign w:val="center"/>
          </w:tcPr>
          <w:p>
            <w:pPr>
              <w:pStyle w:val="10"/>
            </w:pPr>
            <w:r>
              <w:t>304唐山市丰南区信访局</w:t>
            </w:r>
          </w:p>
        </w:tc>
        <w:tc>
          <w:tcPr>
            <w:tcW w:w="813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99" w:type="dxa"/>
            <w:gridSpan w:val="2"/>
            <w:vAlign w:val="center"/>
          </w:tcPr>
          <w:p>
            <w:pPr>
              <w:pStyle w:val="11"/>
            </w:pPr>
            <w:r>
              <w:t>政府采购项目来源</w:t>
            </w:r>
          </w:p>
        </w:tc>
        <w:tc>
          <w:tcPr>
            <w:tcW w:w="1063" w:type="dxa"/>
            <w:vMerge w:val="restart"/>
            <w:vAlign w:val="center"/>
          </w:tcPr>
          <w:p>
            <w:pPr>
              <w:pStyle w:val="11"/>
            </w:pPr>
            <w:r>
              <w:t>采购物品名称</w:t>
            </w:r>
          </w:p>
        </w:tc>
        <w:tc>
          <w:tcPr>
            <w:tcW w:w="1063" w:type="dxa"/>
            <w:vMerge w:val="restart"/>
            <w:vAlign w:val="center"/>
          </w:tcPr>
          <w:p>
            <w:pPr>
              <w:pStyle w:val="11"/>
            </w:pPr>
            <w:r>
              <w:t>政府采购目录序号</w:t>
            </w:r>
          </w:p>
        </w:tc>
        <w:tc>
          <w:tcPr>
            <w:tcW w:w="665" w:type="dxa"/>
            <w:vMerge w:val="restart"/>
            <w:vAlign w:val="center"/>
          </w:tcPr>
          <w:p>
            <w:pPr>
              <w:pStyle w:val="11"/>
            </w:pPr>
            <w:r>
              <w:t>计量  单位</w:t>
            </w:r>
          </w:p>
        </w:tc>
        <w:tc>
          <w:tcPr>
            <w:tcW w:w="797" w:type="dxa"/>
            <w:vMerge w:val="restart"/>
            <w:vAlign w:val="center"/>
          </w:tcPr>
          <w:p>
            <w:pPr>
              <w:pStyle w:val="11"/>
            </w:pPr>
            <w:r>
              <w:t>数量</w:t>
            </w:r>
          </w:p>
        </w:tc>
        <w:tc>
          <w:tcPr>
            <w:tcW w:w="797" w:type="dxa"/>
            <w:vMerge w:val="restart"/>
            <w:vAlign w:val="center"/>
          </w:tcPr>
          <w:p>
            <w:pPr>
              <w:pStyle w:val="11"/>
            </w:pPr>
            <w:r>
              <w:t>单价</w:t>
            </w:r>
          </w:p>
        </w:tc>
        <w:tc>
          <w:tcPr>
            <w:tcW w:w="7232" w:type="dxa"/>
            <w:gridSpan w:val="8"/>
            <w:vAlign w:val="center"/>
          </w:tcPr>
          <w:p>
            <w:pPr>
              <w:pStyle w:val="11"/>
            </w:pPr>
            <w:r>
              <w:t>政府采购金额（当年部门预算安排资金）</w:t>
            </w:r>
          </w:p>
        </w:tc>
        <w:tc>
          <w:tcPr>
            <w:tcW w:w="90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595" w:type="dxa"/>
            <w:vAlign w:val="center"/>
          </w:tcPr>
          <w:p>
            <w:pPr>
              <w:pStyle w:val="11"/>
            </w:pPr>
            <w:r>
              <w:t>项目名称</w:t>
            </w:r>
          </w:p>
        </w:tc>
        <w:tc>
          <w:tcPr>
            <w:tcW w:w="904" w:type="dxa"/>
            <w:vAlign w:val="center"/>
          </w:tcPr>
          <w:p>
            <w:pPr>
              <w:pStyle w:val="11"/>
            </w:pPr>
            <w:r>
              <w:t>预算    资金</w:t>
            </w:r>
          </w:p>
        </w:tc>
        <w:tc>
          <w:tcPr>
            <w:tcW w:w="1063" w:type="dxa"/>
            <w:vMerge w:val="continue"/>
          </w:tcPr>
          <w:p>
            <w:pPr/>
          </w:p>
        </w:tc>
        <w:tc>
          <w:tcPr>
            <w:tcW w:w="1063" w:type="dxa"/>
            <w:vMerge w:val="continue"/>
          </w:tcPr>
          <w:p>
            <w:pPr/>
          </w:p>
        </w:tc>
        <w:tc>
          <w:tcPr>
            <w:tcW w:w="665" w:type="dxa"/>
            <w:vMerge w:val="continue"/>
          </w:tcPr>
          <w:p>
            <w:pPr/>
          </w:p>
        </w:tc>
        <w:tc>
          <w:tcPr>
            <w:tcW w:w="797" w:type="dxa"/>
            <w:vMerge w:val="continue"/>
          </w:tcPr>
          <w:p>
            <w:pPr/>
          </w:p>
        </w:tc>
        <w:tc>
          <w:tcPr>
            <w:tcW w:w="797" w:type="dxa"/>
            <w:vMerge w:val="continue"/>
          </w:tcPr>
          <w:p>
            <w:pPr/>
          </w:p>
        </w:tc>
        <w:tc>
          <w:tcPr>
            <w:tcW w:w="904" w:type="dxa"/>
            <w:vAlign w:val="center"/>
          </w:tcPr>
          <w:p>
            <w:pPr>
              <w:pStyle w:val="11"/>
            </w:pPr>
            <w:r>
              <w:t>合计</w:t>
            </w:r>
          </w:p>
        </w:tc>
        <w:tc>
          <w:tcPr>
            <w:tcW w:w="904" w:type="dxa"/>
            <w:vAlign w:val="center"/>
          </w:tcPr>
          <w:p>
            <w:pPr>
              <w:pStyle w:val="11"/>
            </w:pPr>
            <w:r>
              <w:t>一般公共预算拨款</w:t>
            </w:r>
          </w:p>
        </w:tc>
        <w:tc>
          <w:tcPr>
            <w:tcW w:w="904" w:type="dxa"/>
            <w:vAlign w:val="center"/>
          </w:tcPr>
          <w:p>
            <w:pPr>
              <w:pStyle w:val="11"/>
            </w:pPr>
            <w:r>
              <w:t>基金预算拨款</w:t>
            </w:r>
          </w:p>
        </w:tc>
        <w:tc>
          <w:tcPr>
            <w:tcW w:w="904" w:type="dxa"/>
            <w:vAlign w:val="center"/>
          </w:tcPr>
          <w:p>
            <w:pPr>
              <w:pStyle w:val="11"/>
            </w:pPr>
            <w:r>
              <w:t>国有资本经营预算拨款</w:t>
            </w:r>
          </w:p>
        </w:tc>
        <w:tc>
          <w:tcPr>
            <w:tcW w:w="904" w:type="dxa"/>
            <w:vAlign w:val="center"/>
          </w:tcPr>
          <w:p>
            <w:pPr>
              <w:pStyle w:val="11"/>
            </w:pPr>
            <w:r>
              <w:t>财政专户核拨</w:t>
            </w:r>
          </w:p>
        </w:tc>
        <w:tc>
          <w:tcPr>
            <w:tcW w:w="904" w:type="dxa"/>
            <w:vAlign w:val="center"/>
          </w:tcPr>
          <w:p>
            <w:pPr>
              <w:pStyle w:val="11"/>
            </w:pPr>
            <w:r>
              <w:t>单位    资金</w:t>
            </w:r>
          </w:p>
        </w:tc>
        <w:tc>
          <w:tcPr>
            <w:tcW w:w="904" w:type="dxa"/>
            <w:vAlign w:val="center"/>
          </w:tcPr>
          <w:p>
            <w:pPr>
              <w:pStyle w:val="11"/>
            </w:pPr>
            <w:r>
              <w:t>财政拨    款结转</w:t>
            </w:r>
          </w:p>
        </w:tc>
        <w:tc>
          <w:tcPr>
            <w:tcW w:w="904" w:type="dxa"/>
            <w:vAlign w:val="center"/>
          </w:tcPr>
          <w:p>
            <w:pPr>
              <w:pStyle w:val="11"/>
            </w:pPr>
            <w:r>
              <w:t>非财政    拨款结    转结余</w:t>
            </w:r>
          </w:p>
        </w:tc>
        <w:tc>
          <w:tcPr>
            <w:tcW w:w="904"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jc w:val="center"/>
        </w:trPr>
        <w:tc>
          <w:tcPr>
            <w:tcW w:w="1595" w:type="dxa"/>
            <w:vAlign w:val="center"/>
          </w:tcPr>
          <w:p>
            <w:pPr>
              <w:pStyle w:val="13"/>
            </w:pPr>
          </w:p>
        </w:tc>
        <w:tc>
          <w:tcPr>
            <w:tcW w:w="904" w:type="dxa"/>
            <w:vAlign w:val="center"/>
          </w:tcPr>
          <w:p>
            <w:pPr>
              <w:pStyle w:val="12"/>
            </w:pPr>
          </w:p>
        </w:tc>
        <w:tc>
          <w:tcPr>
            <w:tcW w:w="1063" w:type="dxa"/>
            <w:vAlign w:val="center"/>
          </w:tcPr>
          <w:p>
            <w:pPr>
              <w:pStyle w:val="13"/>
            </w:pPr>
          </w:p>
        </w:tc>
        <w:tc>
          <w:tcPr>
            <w:tcW w:w="1063" w:type="dxa"/>
            <w:vAlign w:val="center"/>
          </w:tcPr>
          <w:p>
            <w:pPr>
              <w:pStyle w:val="13"/>
            </w:pPr>
          </w:p>
        </w:tc>
        <w:tc>
          <w:tcPr>
            <w:tcW w:w="665" w:type="dxa"/>
            <w:vAlign w:val="center"/>
          </w:tcPr>
          <w:p>
            <w:pPr>
              <w:pStyle w:val="14"/>
            </w:pPr>
          </w:p>
        </w:tc>
        <w:tc>
          <w:tcPr>
            <w:tcW w:w="797" w:type="dxa"/>
            <w:vAlign w:val="center"/>
          </w:tcPr>
          <w:p>
            <w:pPr>
              <w:pStyle w:val="12"/>
            </w:pPr>
          </w:p>
        </w:tc>
        <w:tc>
          <w:tcPr>
            <w:tcW w:w="797" w:type="dxa"/>
            <w:vAlign w:val="center"/>
          </w:tcPr>
          <w:p>
            <w:pPr>
              <w:pStyle w:val="12"/>
            </w:pPr>
          </w:p>
        </w:tc>
        <w:tc>
          <w:tcPr>
            <w:tcW w:w="904" w:type="dxa"/>
            <w:vAlign w:val="center"/>
          </w:tcPr>
          <w:p>
            <w:pPr>
              <w:pStyle w:val="12"/>
            </w:pPr>
          </w:p>
        </w:tc>
        <w:tc>
          <w:tcPr>
            <w:tcW w:w="904" w:type="dxa"/>
            <w:vAlign w:val="center"/>
          </w:tcPr>
          <w:p>
            <w:pPr>
              <w:pStyle w:val="12"/>
            </w:pPr>
          </w:p>
        </w:tc>
        <w:tc>
          <w:tcPr>
            <w:tcW w:w="904" w:type="dxa"/>
            <w:vAlign w:val="center"/>
          </w:tcPr>
          <w:p>
            <w:pPr>
              <w:pStyle w:val="12"/>
            </w:pPr>
          </w:p>
        </w:tc>
        <w:tc>
          <w:tcPr>
            <w:tcW w:w="904" w:type="dxa"/>
            <w:vAlign w:val="center"/>
          </w:tcPr>
          <w:p>
            <w:pPr>
              <w:pStyle w:val="12"/>
            </w:pPr>
          </w:p>
        </w:tc>
        <w:tc>
          <w:tcPr>
            <w:tcW w:w="904" w:type="dxa"/>
            <w:vAlign w:val="center"/>
          </w:tcPr>
          <w:p>
            <w:pPr>
              <w:pStyle w:val="12"/>
            </w:pPr>
          </w:p>
        </w:tc>
        <w:tc>
          <w:tcPr>
            <w:tcW w:w="904" w:type="dxa"/>
            <w:vAlign w:val="center"/>
          </w:tcPr>
          <w:p>
            <w:pPr>
              <w:pStyle w:val="12"/>
            </w:pPr>
          </w:p>
        </w:tc>
        <w:tc>
          <w:tcPr>
            <w:tcW w:w="904" w:type="dxa"/>
            <w:vAlign w:val="center"/>
          </w:tcPr>
          <w:p>
            <w:pPr>
              <w:pStyle w:val="12"/>
            </w:pPr>
          </w:p>
        </w:tc>
        <w:tc>
          <w:tcPr>
            <w:tcW w:w="904" w:type="dxa"/>
            <w:vAlign w:val="center"/>
          </w:tcPr>
          <w:p>
            <w:pPr>
              <w:pStyle w:val="12"/>
            </w:pPr>
          </w:p>
        </w:tc>
        <w:tc>
          <w:tcPr>
            <w:tcW w:w="904" w:type="dxa"/>
            <w:vAlign w:val="center"/>
          </w:tcPr>
          <w:p>
            <w:pPr>
              <w:pStyle w:val="12"/>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唐山市丰南区信访局（含所属单位）上年末固定资产金额为411.7万元（详见下表）。本年度拟购置固定资产总额为0.00万元，已按要求列入政府采购预算，详见政府采购预算表。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部门固定资产占用情况表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304唐山市丰南区信访局</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extDirection w:val="lrTb"/>
            <w:vAlign w:val="center"/>
          </w:tcPr>
          <w:p>
            <w:pPr>
              <w:pStyle w:val="13"/>
              <w:ind w:firstLine="0" w:firstLineChars="0"/>
            </w:pPr>
            <w:r>
              <w:rPr>
                <w:rFonts w:hint="eastAsia" w:asciiTheme="minorEastAsia" w:hAnsiTheme="minorEastAsia" w:eastAsiaTheme="minorEastAsia"/>
                <w:lang w:eastAsia="zh-CN"/>
              </w:rPr>
              <w:t>固定资产</w:t>
            </w:r>
          </w:p>
        </w:tc>
        <w:tc>
          <w:tcPr>
            <w:tcW w:w="2835" w:type="dxa"/>
            <w:vAlign w:val="center"/>
          </w:tcPr>
          <w:p>
            <w:pPr>
              <w:pStyle w:val="14"/>
              <w:rPr>
                <w:rFonts w:hint="eastAsia" w:eastAsia="方正书宋_GBK"/>
                <w:lang w:val="en-US" w:eastAsia="zh-CN"/>
              </w:rPr>
            </w:pPr>
            <w:r>
              <w:rPr>
                <w:rFonts w:hint="eastAsia"/>
                <w:lang w:val="en-US" w:eastAsia="zh-CN"/>
              </w:rPr>
              <w:t>-</w:t>
            </w:r>
          </w:p>
        </w:tc>
        <w:tc>
          <w:tcPr>
            <w:tcW w:w="2835" w:type="dxa"/>
            <w:vAlign w:val="center"/>
          </w:tcPr>
          <w:p>
            <w:pPr>
              <w:pStyle w:val="12"/>
              <w:jc w:val="center"/>
              <w:rPr>
                <w:rFonts w:hint="eastAsia" w:eastAsia="方正书宋_GBK"/>
                <w:lang w:val="en-US" w:eastAsia="zh-CN"/>
              </w:rPr>
            </w:pPr>
            <w:r>
              <w:rPr>
                <w:rFonts w:hint="eastAsia"/>
                <w:lang w:val="en-US" w:eastAsia="zh-CN"/>
              </w:rPr>
              <w:t>411.7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7370" w:type="dxa"/>
            <w:textDirection w:val="lrTb"/>
            <w:vAlign w:val="center"/>
          </w:tcPr>
          <w:p>
            <w:pPr>
              <w:pStyle w:val="13"/>
              <w:ind w:firstLine="0" w:firstLineChars="0"/>
            </w:pPr>
            <w:r>
              <w:rPr>
                <w:rFonts w:hint="eastAsia" w:asciiTheme="minorEastAsia" w:hAnsiTheme="minorEastAsia" w:eastAsiaTheme="minorEastAsia"/>
                <w:lang w:eastAsia="zh-CN"/>
              </w:rPr>
              <w:t>一</w:t>
            </w:r>
            <w:r>
              <w:t>、房屋（平方米）</w:t>
            </w:r>
          </w:p>
        </w:tc>
        <w:tc>
          <w:tcPr>
            <w:tcW w:w="2835" w:type="dxa"/>
            <w:textDirection w:val="lrTb"/>
            <w:vAlign w:val="center"/>
          </w:tcPr>
          <w:p>
            <w:pPr>
              <w:widowControl/>
              <w:jc w:val="center"/>
              <w:rPr>
                <w:rFonts w:hint="eastAsia" w:eastAsia="方正书宋_GBK"/>
                <w:lang w:eastAsia="zh-CN"/>
              </w:rPr>
            </w:pPr>
            <w:r>
              <w:rPr>
                <w:rFonts w:hint="eastAsia" w:eastAsia="仿宋"/>
                <w:kern w:val="0"/>
                <w:sz w:val="22"/>
              </w:rPr>
              <w:t>2500</w:t>
            </w:r>
          </w:p>
        </w:tc>
        <w:tc>
          <w:tcPr>
            <w:tcW w:w="2835" w:type="dxa"/>
            <w:textDirection w:val="lrTb"/>
            <w:vAlign w:val="center"/>
          </w:tcPr>
          <w:p>
            <w:pPr>
              <w:widowControl/>
              <w:jc w:val="center"/>
            </w:pPr>
            <w:r>
              <w:rPr>
                <w:rFonts w:hint="eastAsia" w:eastAsia="仿宋"/>
                <w:kern w:val="0"/>
                <w:sz w:val="22"/>
                <w:lang w:val="en-US" w:eastAsia="zh-CN"/>
              </w:rPr>
              <w:t>217.21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extDirection w:val="lrTb"/>
            <w:vAlign w:val="center"/>
          </w:tcPr>
          <w:p>
            <w:pPr>
              <w:pStyle w:val="13"/>
              <w:ind w:firstLine="0" w:firstLineChars="0"/>
            </w:pPr>
            <w:r>
              <w:rPr>
                <w:rFonts w:hint="eastAsia" w:asciiTheme="minorEastAsia" w:hAnsiTheme="minorEastAsia" w:eastAsiaTheme="minorEastAsia"/>
                <w:lang w:eastAsia="zh-CN"/>
              </w:rPr>
              <w:t>二</w:t>
            </w:r>
            <w:r>
              <w:t>、车辆（台、辆）</w:t>
            </w:r>
          </w:p>
        </w:tc>
        <w:tc>
          <w:tcPr>
            <w:tcW w:w="2835" w:type="dxa"/>
            <w:textDirection w:val="lrTb"/>
            <w:vAlign w:val="center"/>
          </w:tcPr>
          <w:p>
            <w:pPr>
              <w:widowControl/>
              <w:jc w:val="center"/>
            </w:pPr>
            <w:r>
              <w:rPr>
                <w:rFonts w:hint="eastAsia" w:eastAsia="仿宋"/>
                <w:kern w:val="0"/>
                <w:sz w:val="22"/>
              </w:rPr>
              <w:t>2</w:t>
            </w:r>
          </w:p>
        </w:tc>
        <w:tc>
          <w:tcPr>
            <w:tcW w:w="2835" w:type="dxa"/>
            <w:vAlign w:val="center"/>
          </w:tcPr>
          <w:p>
            <w:pPr>
              <w:pStyle w:val="12"/>
              <w:jc w:val="center"/>
            </w:pPr>
            <w:r>
              <w:rPr>
                <w:rFonts w:hint="eastAsia" w:eastAsia="仿宋"/>
                <w:kern w:val="0"/>
                <w:sz w:val="22"/>
                <w:lang w:val="en-US" w:eastAsia="zh-CN"/>
              </w:rPr>
              <w:t>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extDirection w:val="lrTb"/>
            <w:vAlign w:val="center"/>
          </w:tcPr>
          <w:p>
            <w:pPr>
              <w:pStyle w:val="13"/>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三</w:t>
            </w:r>
            <w:r>
              <w:t>、其他固定资产</w:t>
            </w:r>
          </w:p>
        </w:tc>
        <w:tc>
          <w:tcPr>
            <w:tcW w:w="2835" w:type="dxa"/>
            <w:vAlign w:val="center"/>
          </w:tcPr>
          <w:p>
            <w:pPr>
              <w:pStyle w:val="14"/>
              <w:rPr>
                <w:rFonts w:hint="eastAsia" w:eastAsia="方正书宋_GBK"/>
                <w:lang w:val="en-US" w:eastAsia="zh-CN"/>
              </w:rPr>
            </w:pPr>
            <w:r>
              <w:rPr>
                <w:rFonts w:hint="eastAsia"/>
                <w:lang w:val="en-US" w:eastAsia="zh-CN"/>
              </w:rPr>
              <w:t>-</w:t>
            </w:r>
          </w:p>
        </w:tc>
        <w:tc>
          <w:tcPr>
            <w:tcW w:w="2835" w:type="dxa"/>
            <w:vAlign w:val="center"/>
          </w:tcPr>
          <w:p>
            <w:pPr>
              <w:pStyle w:val="12"/>
              <w:jc w:val="center"/>
              <w:rPr>
                <w:rFonts w:hint="eastAsia" w:eastAsia="方正书宋_GBK"/>
                <w:lang w:val="en-US" w:eastAsia="zh-CN"/>
              </w:rPr>
            </w:pPr>
            <w:r>
              <w:rPr>
                <w:rFonts w:hint="eastAsia"/>
                <w:lang w:val="en-US" w:eastAsia="zh-CN"/>
              </w:rPr>
              <w:t>167.09</w:t>
            </w:r>
          </w:p>
        </w:tc>
      </w:tr>
    </w:tbl>
    <w:p>
      <w:pPr>
        <w:spacing w:before="0" w:after="0" w:line="240" w:lineRule="auto"/>
        <w:ind w:firstLine="420"/>
        <w:jc w:val="left"/>
        <w:outlineLvl w:val="9"/>
        <w:rPr>
          <w:rFonts w:ascii="方正书宋_GBK" w:eastAsia="方正书宋_GBK" w:cs="方正书宋_GBK"/>
          <w:color w:val="000000"/>
          <w:sz w:val="21"/>
        </w:rPr>
      </w:pPr>
    </w:p>
    <w:p>
      <w:pPr>
        <w:spacing w:before="0" w:after="0" w:line="240" w:lineRule="auto"/>
        <w:ind w:firstLine="420"/>
        <w:jc w:val="left"/>
        <w:outlineLvl w:val="9"/>
      </w:pPr>
      <w:r>
        <w:rPr>
          <w:rFonts w:hint="eastAsia" w:ascii="方正书宋_GBK" w:eastAsia="方正书宋_GBK" w:cs="方正书宋_GBK"/>
          <w:color w:val="000000"/>
          <w:sz w:val="21"/>
          <w:lang w:eastAsia="zh-CN"/>
        </w:rPr>
        <w:t>注：</w:t>
      </w:r>
      <w:r>
        <w:rPr>
          <w:rFonts w:ascii="方正书宋_GBK" w:eastAsia="方正书宋_GBK" w:cs="方正书宋_GBK"/>
          <w:color w:val="000000"/>
          <w:sz w:val="21"/>
        </w:rPr>
        <w:t>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eastAsia="黑体" w:cs="黑体"/>
          <w:color w:val="000000"/>
          <w:sz w:val="32"/>
        </w:rPr>
        <w:t>九、其他需要说明的事项</w:t>
      </w:r>
      <w:bookmarkEnd w:id="17"/>
    </w:p>
    <w:p>
      <w:pPr>
        <w:spacing w:line="500" w:lineRule="exact"/>
        <w:ind w:firstLine="560" w:firstLineChars="200"/>
        <w:rPr>
          <w:rFonts w:eastAsia="方正仿宋_GBK"/>
          <w:color w:val="000000" w:themeColor="text1"/>
          <w:sz w:val="28"/>
        </w:rPr>
      </w:pPr>
      <w:r>
        <w:rPr>
          <w:rFonts w:hint="eastAsia" w:eastAsia="方正仿宋_GBK"/>
          <w:color w:val="000000" w:themeColor="text1"/>
          <w:sz w:val="28"/>
        </w:rPr>
        <w:t>部门预算政府性基金预算财政拨款支出表，此表无数据，因本单位不涉及政府性基金，因此无数据；</w:t>
      </w:r>
    </w:p>
    <w:p>
      <w:pPr>
        <w:spacing w:line="500" w:lineRule="exact"/>
        <w:ind w:firstLine="560" w:firstLineChars="200"/>
        <w:rPr>
          <w:rFonts w:hAnsi="宋体"/>
          <w:color w:val="000000" w:themeColor="text1"/>
          <w:sz w:val="28"/>
        </w:rPr>
      </w:pPr>
      <w:r>
        <w:rPr>
          <w:rFonts w:hint="eastAsia" w:eastAsia="方正仿宋_GBK"/>
          <w:color w:val="000000" w:themeColor="text1"/>
          <w:sz w:val="28"/>
        </w:rPr>
        <w:t>部门预算国有资本经营预算财政拨款支出表，此表无数据，因本单位不涉及国有资本经营，因此无数据。</w:t>
      </w:r>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docGrid w:linePitch="326" w:charSpace="0"/>
        </w:sectPr>
      </w:pPr>
      <w:r>
        <w:rPr>
          <w:rFonts w:asci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eastAsia="方正小标宋_GBK" w:cs="方正小标宋_GBK"/>
          <w:b w:val="0"/>
          <w:color w:val="000000"/>
          <w:sz w:val="44"/>
        </w:rPr>
        <w:t>一、唐山市丰南区信访局本级收支预算</w:t>
      </w:r>
      <w:bookmarkEnd w:id="18"/>
    </w:p>
    <w:p>
      <w:pPr>
        <w:spacing w:before="0" w:after="0" w:line="240" w:lineRule="auto"/>
        <w:ind w:firstLine="0"/>
        <w:jc w:val="center"/>
        <w:outlineLvl w:val="4"/>
      </w:pPr>
      <w:r>
        <w:rPr>
          <w:rFonts w:ascii="方正小标宋_GBK" w:eastAsia="方正小标宋_GBK" w:cs="方正小标宋_GBK"/>
          <w:color w:val="000000"/>
          <w:sz w:val="36"/>
        </w:rPr>
        <w:t>单位预算收支总表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304001唐山市丰南区信访局本级</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2"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4536"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t>一、一般公共预算拨款收入</w:t>
            </w:r>
          </w:p>
        </w:tc>
        <w:tc>
          <w:tcPr>
            <w:tcW w:w="2126" w:type="dxa"/>
            <w:vAlign w:val="center"/>
          </w:tcPr>
          <w:p>
            <w:pPr>
              <w:pStyle w:val="12"/>
            </w:pPr>
            <w:r>
              <w:t>689.37</w:t>
            </w:r>
          </w:p>
        </w:tc>
        <w:tc>
          <w:tcPr>
            <w:tcW w:w="4535" w:type="dxa"/>
            <w:vAlign w:val="center"/>
          </w:tcPr>
          <w:p>
            <w:pPr>
              <w:pStyle w:val="13"/>
            </w:pPr>
            <w:r>
              <w:t>一、一般公共服务支出</w:t>
            </w:r>
          </w:p>
        </w:tc>
        <w:tc>
          <w:tcPr>
            <w:tcW w:w="2126" w:type="dxa"/>
            <w:vAlign w:val="center"/>
          </w:tcPr>
          <w:p>
            <w:pPr>
              <w:pStyle w:val="12"/>
            </w:pPr>
            <w:r>
              <w:t>578.04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2</w:t>
            </w:r>
          </w:p>
        </w:tc>
        <w:tc>
          <w:tcPr>
            <w:tcW w:w="4536"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8</w:t>
            </w:r>
          </w:p>
        </w:tc>
        <w:tc>
          <w:tcPr>
            <w:tcW w:w="4536"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43.34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28.40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5"/>
            </w:pPr>
            <w:r>
              <w:t>本年收入合计</w:t>
            </w:r>
          </w:p>
        </w:tc>
        <w:tc>
          <w:tcPr>
            <w:tcW w:w="2126" w:type="dxa"/>
            <w:vAlign w:val="center"/>
          </w:tcPr>
          <w:p>
            <w:pPr>
              <w:pStyle w:val="16"/>
            </w:pPr>
            <w:r>
              <w:t>689.37</w:t>
            </w:r>
          </w:p>
        </w:tc>
        <w:tc>
          <w:tcPr>
            <w:tcW w:w="4535" w:type="dxa"/>
            <w:vAlign w:val="center"/>
          </w:tcPr>
          <w:p>
            <w:pPr>
              <w:pStyle w:val="15"/>
            </w:pPr>
            <w:r>
              <w:t>本年支出合计</w:t>
            </w:r>
          </w:p>
        </w:tc>
        <w:tc>
          <w:tcPr>
            <w:tcW w:w="2126" w:type="dxa"/>
            <w:vAlign w:val="center"/>
          </w:tcPr>
          <w:p>
            <w:pPr>
              <w:pStyle w:val="16"/>
            </w:pPr>
            <w:r>
              <w:t>689.37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32</w:t>
            </w:r>
          </w:p>
        </w:tc>
        <w:tc>
          <w:tcPr>
            <w:tcW w:w="4536"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5"/>
            </w:pPr>
            <w:r>
              <w:t>收入总计</w:t>
            </w:r>
          </w:p>
        </w:tc>
        <w:tc>
          <w:tcPr>
            <w:tcW w:w="2126" w:type="dxa"/>
            <w:vAlign w:val="center"/>
          </w:tcPr>
          <w:p>
            <w:pPr>
              <w:pStyle w:val="16"/>
            </w:pPr>
            <w:r>
              <w:t>689.37</w:t>
            </w:r>
          </w:p>
        </w:tc>
        <w:tc>
          <w:tcPr>
            <w:tcW w:w="4535" w:type="dxa"/>
            <w:vAlign w:val="center"/>
          </w:tcPr>
          <w:p>
            <w:pPr>
              <w:pStyle w:val="15"/>
            </w:pPr>
            <w:r>
              <w:t>支出总计</w:t>
            </w:r>
          </w:p>
        </w:tc>
        <w:tc>
          <w:tcPr>
            <w:tcW w:w="2126" w:type="dxa"/>
            <w:vAlign w:val="center"/>
          </w:tcPr>
          <w:p>
            <w:pPr>
              <w:pStyle w:val="16"/>
            </w:pPr>
            <w:r>
              <w:t>689.37</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单位预算收入总表</w:t>
      </w:r>
    </w:p>
    <w:tbl>
      <w:tblPr>
        <w:tblStyle w:val="7"/>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304001唐山市丰南区信访局本级</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p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p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689.37</w:t>
            </w:r>
          </w:p>
        </w:tc>
        <w:tc>
          <w:tcPr>
            <w:tcW w:w="1134" w:type="dxa"/>
            <w:vAlign w:val="center"/>
          </w:tcPr>
          <w:p>
            <w:pPr>
              <w:pStyle w:val="16"/>
            </w:pPr>
            <w:r>
              <w:t>689.37</w:t>
            </w:r>
          </w:p>
        </w:tc>
        <w:tc>
          <w:tcPr>
            <w:tcW w:w="1134" w:type="dxa"/>
            <w:vAlign w:val="center"/>
          </w:tcPr>
          <w:p>
            <w:pPr>
              <w:pStyle w:val="16"/>
            </w:pPr>
            <w:r>
              <w:t>689.37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578.04</w:t>
            </w:r>
          </w:p>
        </w:tc>
        <w:tc>
          <w:tcPr>
            <w:tcW w:w="1134" w:type="dxa"/>
            <w:vAlign w:val="center"/>
          </w:tcPr>
          <w:p>
            <w:pPr>
              <w:pStyle w:val="12"/>
            </w:pPr>
            <w:r>
              <w:t>578.04</w:t>
            </w:r>
          </w:p>
        </w:tc>
        <w:tc>
          <w:tcPr>
            <w:tcW w:w="1134" w:type="dxa"/>
            <w:vAlign w:val="center"/>
          </w:tcPr>
          <w:p>
            <w:pPr>
              <w:pStyle w:val="12"/>
            </w:pPr>
            <w:r>
              <w:t>578.04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578.04</w:t>
            </w:r>
          </w:p>
        </w:tc>
        <w:tc>
          <w:tcPr>
            <w:tcW w:w="1134" w:type="dxa"/>
            <w:vAlign w:val="center"/>
          </w:tcPr>
          <w:p>
            <w:pPr>
              <w:pStyle w:val="12"/>
            </w:pPr>
            <w:r>
              <w:t>578.04</w:t>
            </w:r>
          </w:p>
        </w:tc>
        <w:tc>
          <w:tcPr>
            <w:tcW w:w="1134" w:type="dxa"/>
            <w:vAlign w:val="center"/>
          </w:tcPr>
          <w:p>
            <w:pPr>
              <w:pStyle w:val="12"/>
            </w:pPr>
            <w:r>
              <w:t>578.04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2010308</w:t>
            </w:r>
          </w:p>
        </w:tc>
        <w:tc>
          <w:tcPr>
            <w:tcW w:w="1559" w:type="dxa"/>
            <w:vAlign w:val="center"/>
          </w:tcPr>
          <w:p>
            <w:pPr>
              <w:pStyle w:val="13"/>
            </w:pPr>
            <w:r>
              <w:t>信访事务</w:t>
            </w:r>
          </w:p>
        </w:tc>
        <w:tc>
          <w:tcPr>
            <w:tcW w:w="1134" w:type="dxa"/>
            <w:vAlign w:val="center"/>
          </w:tcPr>
          <w:p>
            <w:pPr>
              <w:pStyle w:val="12"/>
            </w:pPr>
            <w:r>
              <w:t>462.93</w:t>
            </w:r>
          </w:p>
        </w:tc>
        <w:tc>
          <w:tcPr>
            <w:tcW w:w="1134" w:type="dxa"/>
            <w:vAlign w:val="center"/>
          </w:tcPr>
          <w:p>
            <w:pPr>
              <w:pStyle w:val="12"/>
            </w:pPr>
            <w:r>
              <w:t>462.93</w:t>
            </w:r>
          </w:p>
        </w:tc>
        <w:tc>
          <w:tcPr>
            <w:tcW w:w="1134" w:type="dxa"/>
            <w:vAlign w:val="center"/>
          </w:tcPr>
          <w:p>
            <w:pPr>
              <w:pStyle w:val="12"/>
            </w:pPr>
            <w:r>
              <w:t>462.93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2010309</w:t>
            </w:r>
          </w:p>
        </w:tc>
        <w:tc>
          <w:tcPr>
            <w:tcW w:w="1559" w:type="dxa"/>
            <w:vAlign w:val="center"/>
          </w:tcPr>
          <w:p>
            <w:pPr>
              <w:pStyle w:val="13"/>
            </w:pPr>
            <w:r>
              <w:t>参事事务</w:t>
            </w:r>
          </w:p>
        </w:tc>
        <w:tc>
          <w:tcPr>
            <w:tcW w:w="1134" w:type="dxa"/>
            <w:vAlign w:val="center"/>
          </w:tcPr>
          <w:p>
            <w:pPr>
              <w:pStyle w:val="12"/>
            </w:pPr>
            <w:r>
              <w:t>1.90</w:t>
            </w:r>
          </w:p>
        </w:tc>
        <w:tc>
          <w:tcPr>
            <w:tcW w:w="1134" w:type="dxa"/>
            <w:vAlign w:val="center"/>
          </w:tcPr>
          <w:p>
            <w:pPr>
              <w:pStyle w:val="12"/>
            </w:pPr>
            <w:r>
              <w:t>1.90</w:t>
            </w:r>
          </w:p>
        </w:tc>
        <w:tc>
          <w:tcPr>
            <w:tcW w:w="1134" w:type="dxa"/>
            <w:vAlign w:val="center"/>
          </w:tcPr>
          <w:p>
            <w:pPr>
              <w:pStyle w:val="12"/>
            </w:pPr>
            <w:r>
              <w:t>1.90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113.21</w:t>
            </w:r>
          </w:p>
        </w:tc>
        <w:tc>
          <w:tcPr>
            <w:tcW w:w="1134" w:type="dxa"/>
            <w:vAlign w:val="center"/>
          </w:tcPr>
          <w:p>
            <w:pPr>
              <w:pStyle w:val="12"/>
            </w:pPr>
            <w:r>
              <w:t>113.21</w:t>
            </w:r>
          </w:p>
        </w:tc>
        <w:tc>
          <w:tcPr>
            <w:tcW w:w="1134" w:type="dxa"/>
            <w:vAlign w:val="center"/>
          </w:tcPr>
          <w:p>
            <w:pPr>
              <w:pStyle w:val="12"/>
            </w:pPr>
            <w:r>
              <w:t>113.21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43.34</w:t>
            </w:r>
          </w:p>
        </w:tc>
        <w:tc>
          <w:tcPr>
            <w:tcW w:w="1134" w:type="dxa"/>
            <w:vAlign w:val="center"/>
          </w:tcPr>
          <w:p>
            <w:pPr>
              <w:pStyle w:val="12"/>
            </w:pPr>
            <w:r>
              <w:t>43.34</w:t>
            </w:r>
          </w:p>
        </w:tc>
        <w:tc>
          <w:tcPr>
            <w:tcW w:w="1134" w:type="dxa"/>
            <w:vAlign w:val="center"/>
          </w:tcPr>
          <w:p>
            <w:pPr>
              <w:pStyle w:val="12"/>
            </w:pPr>
            <w:r>
              <w:t>43.34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43.34</w:t>
            </w:r>
          </w:p>
        </w:tc>
        <w:tc>
          <w:tcPr>
            <w:tcW w:w="1134" w:type="dxa"/>
            <w:vAlign w:val="center"/>
          </w:tcPr>
          <w:p>
            <w:pPr>
              <w:pStyle w:val="12"/>
            </w:pPr>
            <w:r>
              <w:t>43.34</w:t>
            </w:r>
          </w:p>
        </w:tc>
        <w:tc>
          <w:tcPr>
            <w:tcW w:w="1134" w:type="dxa"/>
            <w:vAlign w:val="center"/>
          </w:tcPr>
          <w:p>
            <w:pPr>
              <w:pStyle w:val="12"/>
            </w:pPr>
            <w:r>
              <w:t>43.34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7.30</w:t>
            </w:r>
          </w:p>
        </w:tc>
        <w:tc>
          <w:tcPr>
            <w:tcW w:w="1134" w:type="dxa"/>
            <w:vAlign w:val="center"/>
          </w:tcPr>
          <w:p>
            <w:pPr>
              <w:pStyle w:val="12"/>
            </w:pPr>
            <w:r>
              <w:t>7.30</w:t>
            </w:r>
          </w:p>
        </w:tc>
        <w:tc>
          <w:tcPr>
            <w:tcW w:w="1134" w:type="dxa"/>
            <w:vAlign w:val="center"/>
          </w:tcPr>
          <w:p>
            <w:pPr>
              <w:pStyle w:val="12"/>
            </w:pPr>
            <w:r>
              <w:t>7.30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36.04</w:t>
            </w:r>
          </w:p>
        </w:tc>
        <w:tc>
          <w:tcPr>
            <w:tcW w:w="1134" w:type="dxa"/>
            <w:vAlign w:val="center"/>
          </w:tcPr>
          <w:p>
            <w:pPr>
              <w:pStyle w:val="12"/>
            </w:pPr>
            <w:r>
              <w:t>36.04</w:t>
            </w:r>
          </w:p>
        </w:tc>
        <w:tc>
          <w:tcPr>
            <w:tcW w:w="1134" w:type="dxa"/>
            <w:vAlign w:val="center"/>
          </w:tcPr>
          <w:p>
            <w:pPr>
              <w:pStyle w:val="12"/>
            </w:pPr>
            <w:r>
              <w:t>36.04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39.59</w:t>
            </w:r>
          </w:p>
        </w:tc>
        <w:tc>
          <w:tcPr>
            <w:tcW w:w="1134" w:type="dxa"/>
            <w:vAlign w:val="center"/>
          </w:tcPr>
          <w:p>
            <w:pPr>
              <w:pStyle w:val="12"/>
            </w:pPr>
            <w:r>
              <w:t>39.59</w:t>
            </w:r>
          </w:p>
        </w:tc>
        <w:tc>
          <w:tcPr>
            <w:tcW w:w="1134" w:type="dxa"/>
            <w:vAlign w:val="center"/>
          </w:tcPr>
          <w:p>
            <w:pPr>
              <w:pStyle w:val="12"/>
            </w:pPr>
            <w:r>
              <w:t>39.59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39.59</w:t>
            </w:r>
          </w:p>
        </w:tc>
        <w:tc>
          <w:tcPr>
            <w:tcW w:w="1134" w:type="dxa"/>
            <w:vAlign w:val="center"/>
          </w:tcPr>
          <w:p>
            <w:pPr>
              <w:pStyle w:val="12"/>
            </w:pPr>
            <w:r>
              <w:t>39.59</w:t>
            </w:r>
          </w:p>
        </w:tc>
        <w:tc>
          <w:tcPr>
            <w:tcW w:w="1134" w:type="dxa"/>
            <w:vAlign w:val="center"/>
          </w:tcPr>
          <w:p>
            <w:pPr>
              <w:pStyle w:val="12"/>
            </w:pPr>
            <w:r>
              <w:t>39.59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19.07</w:t>
            </w:r>
          </w:p>
        </w:tc>
        <w:tc>
          <w:tcPr>
            <w:tcW w:w="1134" w:type="dxa"/>
            <w:vAlign w:val="center"/>
          </w:tcPr>
          <w:p>
            <w:pPr>
              <w:pStyle w:val="12"/>
            </w:pPr>
            <w:r>
              <w:t>19.07</w:t>
            </w:r>
          </w:p>
        </w:tc>
        <w:tc>
          <w:tcPr>
            <w:tcW w:w="1134" w:type="dxa"/>
            <w:vAlign w:val="center"/>
          </w:tcPr>
          <w:p>
            <w:pPr>
              <w:pStyle w:val="12"/>
            </w:pPr>
            <w:r>
              <w:t>19.07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680" w:type="dxa"/>
            <w:vAlign w:val="center"/>
          </w:tcPr>
          <w:p>
            <w:pPr>
              <w:pStyle w:val="14"/>
            </w:pPr>
            <w:r>
              <w:t>14</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20.52</w:t>
            </w:r>
          </w:p>
        </w:tc>
        <w:tc>
          <w:tcPr>
            <w:tcW w:w="1134" w:type="dxa"/>
            <w:vAlign w:val="center"/>
          </w:tcPr>
          <w:p>
            <w:pPr>
              <w:pStyle w:val="12"/>
            </w:pPr>
            <w:r>
              <w:t>20.52</w:t>
            </w:r>
          </w:p>
        </w:tc>
        <w:tc>
          <w:tcPr>
            <w:tcW w:w="1134" w:type="dxa"/>
            <w:vAlign w:val="center"/>
          </w:tcPr>
          <w:p>
            <w:pPr>
              <w:pStyle w:val="12"/>
            </w:pPr>
            <w:r>
              <w:t>20.52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28.40</w:t>
            </w:r>
          </w:p>
        </w:tc>
        <w:tc>
          <w:tcPr>
            <w:tcW w:w="1134" w:type="dxa"/>
            <w:vAlign w:val="center"/>
          </w:tcPr>
          <w:p>
            <w:pPr>
              <w:pStyle w:val="12"/>
            </w:pPr>
            <w:r>
              <w:t>28.40</w:t>
            </w:r>
          </w:p>
        </w:tc>
        <w:tc>
          <w:tcPr>
            <w:tcW w:w="1134" w:type="dxa"/>
            <w:vAlign w:val="center"/>
          </w:tcPr>
          <w:p>
            <w:pPr>
              <w:pStyle w:val="12"/>
            </w:pPr>
            <w:r>
              <w:t>28.40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28.40</w:t>
            </w:r>
          </w:p>
        </w:tc>
        <w:tc>
          <w:tcPr>
            <w:tcW w:w="1134" w:type="dxa"/>
            <w:vAlign w:val="center"/>
          </w:tcPr>
          <w:p>
            <w:pPr>
              <w:pStyle w:val="12"/>
            </w:pPr>
            <w:r>
              <w:t>28.40</w:t>
            </w:r>
          </w:p>
        </w:tc>
        <w:tc>
          <w:tcPr>
            <w:tcW w:w="1134" w:type="dxa"/>
            <w:vAlign w:val="center"/>
          </w:tcPr>
          <w:p>
            <w:pPr>
              <w:pStyle w:val="12"/>
            </w:pPr>
            <w:r>
              <w:t>28.40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28.40</w:t>
            </w:r>
          </w:p>
        </w:tc>
        <w:tc>
          <w:tcPr>
            <w:tcW w:w="1134" w:type="dxa"/>
            <w:vAlign w:val="center"/>
          </w:tcPr>
          <w:p>
            <w:pPr>
              <w:pStyle w:val="12"/>
            </w:pPr>
            <w:r>
              <w:t>28.40</w:t>
            </w:r>
          </w:p>
        </w:tc>
        <w:tc>
          <w:tcPr>
            <w:tcW w:w="1134" w:type="dxa"/>
            <w:vAlign w:val="center"/>
          </w:tcPr>
          <w:p>
            <w:pPr>
              <w:pStyle w:val="12"/>
            </w:pPr>
            <w:r>
              <w:t>28.40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单位预算支出总表</w:t>
      </w:r>
    </w:p>
    <w:tbl>
      <w:tblPr>
        <w:tblStyle w:val="7"/>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304001唐山市丰南区信访局本级</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992" w:type="dxa"/>
            <w:vAlign w:val="center"/>
          </w:tcPr>
          <w:p>
            <w:pPr>
              <w:pStyle w:val="11"/>
            </w:pPr>
            <w:r>
              <w:t>科目    编码</w:t>
            </w:r>
          </w:p>
        </w:tc>
        <w:tc>
          <w:tcPr>
            <w:tcW w:w="4536" w:type="dxa"/>
            <w:vAlign w:val="center"/>
          </w:tcPr>
          <w:p>
            <w:pPr>
              <w:pStyle w:val="11"/>
            </w:pPr>
            <w:r>
              <w:t>科目名称</w:t>
            </w: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c>
          <w:tcPr>
            <w:tcW w:w="136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6" w:type="dxa"/>
            <w:vAlign w:val="center"/>
          </w:tcPr>
          <w:p>
            <w:pPr>
              <w:pStyle w:val="15"/>
            </w:pPr>
            <w:r>
              <w:t>合计</w:t>
            </w:r>
          </w:p>
        </w:tc>
        <w:tc>
          <w:tcPr>
            <w:tcW w:w="1361" w:type="dxa"/>
            <w:vAlign w:val="center"/>
          </w:tcPr>
          <w:p>
            <w:pPr>
              <w:pStyle w:val="16"/>
            </w:pPr>
            <w:r>
              <w:t>689.37</w:t>
            </w:r>
          </w:p>
        </w:tc>
        <w:tc>
          <w:tcPr>
            <w:tcW w:w="1361" w:type="dxa"/>
            <w:vAlign w:val="center"/>
          </w:tcPr>
          <w:p>
            <w:pPr>
              <w:pStyle w:val="16"/>
            </w:pPr>
            <w:r>
              <w:t>372.07</w:t>
            </w:r>
          </w:p>
        </w:tc>
        <w:tc>
          <w:tcPr>
            <w:tcW w:w="1361" w:type="dxa"/>
            <w:vAlign w:val="center"/>
          </w:tcPr>
          <w:p>
            <w:pPr>
              <w:pStyle w:val="16"/>
            </w:pPr>
            <w:r>
              <w:t>317.30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6" w:type="dxa"/>
            <w:vAlign w:val="center"/>
          </w:tcPr>
          <w:p>
            <w:pPr>
              <w:pStyle w:val="13"/>
            </w:pPr>
            <w:r>
              <w:t>一般公共服务支出</w:t>
            </w:r>
          </w:p>
        </w:tc>
        <w:tc>
          <w:tcPr>
            <w:tcW w:w="1361" w:type="dxa"/>
            <w:vAlign w:val="center"/>
          </w:tcPr>
          <w:p>
            <w:pPr>
              <w:pStyle w:val="12"/>
            </w:pPr>
            <w:r>
              <w:t>578.04</w:t>
            </w:r>
          </w:p>
        </w:tc>
        <w:tc>
          <w:tcPr>
            <w:tcW w:w="1361" w:type="dxa"/>
            <w:vAlign w:val="center"/>
          </w:tcPr>
          <w:p>
            <w:pPr>
              <w:pStyle w:val="12"/>
            </w:pPr>
            <w:r>
              <w:t>260.74</w:t>
            </w:r>
          </w:p>
        </w:tc>
        <w:tc>
          <w:tcPr>
            <w:tcW w:w="1361" w:type="dxa"/>
            <w:vAlign w:val="center"/>
          </w:tcPr>
          <w:p>
            <w:pPr>
              <w:pStyle w:val="12"/>
            </w:pPr>
            <w:r>
              <w:t>317.30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6" w:type="dxa"/>
            <w:vAlign w:val="center"/>
          </w:tcPr>
          <w:p>
            <w:pPr>
              <w:pStyle w:val="13"/>
            </w:pPr>
            <w:r>
              <w:t>政府办公厅（室）及相关机构事务</w:t>
            </w:r>
          </w:p>
        </w:tc>
        <w:tc>
          <w:tcPr>
            <w:tcW w:w="1361" w:type="dxa"/>
            <w:vAlign w:val="center"/>
          </w:tcPr>
          <w:p>
            <w:pPr>
              <w:pStyle w:val="12"/>
            </w:pPr>
            <w:r>
              <w:t>578.04</w:t>
            </w:r>
          </w:p>
        </w:tc>
        <w:tc>
          <w:tcPr>
            <w:tcW w:w="1361" w:type="dxa"/>
            <w:vAlign w:val="center"/>
          </w:tcPr>
          <w:p>
            <w:pPr>
              <w:pStyle w:val="12"/>
            </w:pPr>
            <w:r>
              <w:t>260.74</w:t>
            </w:r>
          </w:p>
        </w:tc>
        <w:tc>
          <w:tcPr>
            <w:tcW w:w="1361" w:type="dxa"/>
            <w:vAlign w:val="center"/>
          </w:tcPr>
          <w:p>
            <w:pPr>
              <w:pStyle w:val="12"/>
            </w:pPr>
            <w:r>
              <w:t>317.30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2010308</w:t>
            </w:r>
          </w:p>
        </w:tc>
        <w:tc>
          <w:tcPr>
            <w:tcW w:w="4536" w:type="dxa"/>
            <w:vAlign w:val="center"/>
          </w:tcPr>
          <w:p>
            <w:pPr>
              <w:pStyle w:val="13"/>
            </w:pPr>
            <w:r>
              <w:t>信访事务</w:t>
            </w:r>
          </w:p>
        </w:tc>
        <w:tc>
          <w:tcPr>
            <w:tcW w:w="1361" w:type="dxa"/>
            <w:vAlign w:val="center"/>
          </w:tcPr>
          <w:p>
            <w:pPr>
              <w:pStyle w:val="12"/>
            </w:pPr>
            <w:r>
              <w:t>462.93</w:t>
            </w:r>
          </w:p>
        </w:tc>
        <w:tc>
          <w:tcPr>
            <w:tcW w:w="1361" w:type="dxa"/>
            <w:vAlign w:val="center"/>
          </w:tcPr>
          <w:p>
            <w:pPr>
              <w:pStyle w:val="12"/>
            </w:pPr>
            <w:r>
              <w:t>145.63</w:t>
            </w:r>
          </w:p>
        </w:tc>
        <w:tc>
          <w:tcPr>
            <w:tcW w:w="1361" w:type="dxa"/>
            <w:vAlign w:val="center"/>
          </w:tcPr>
          <w:p>
            <w:pPr>
              <w:pStyle w:val="12"/>
            </w:pPr>
            <w:r>
              <w:t>317.30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2010309</w:t>
            </w:r>
          </w:p>
        </w:tc>
        <w:tc>
          <w:tcPr>
            <w:tcW w:w="4536" w:type="dxa"/>
            <w:vAlign w:val="center"/>
          </w:tcPr>
          <w:p>
            <w:pPr>
              <w:pStyle w:val="13"/>
            </w:pPr>
            <w:r>
              <w:t>参事事务</w:t>
            </w:r>
          </w:p>
        </w:tc>
        <w:tc>
          <w:tcPr>
            <w:tcW w:w="1361" w:type="dxa"/>
            <w:vAlign w:val="center"/>
          </w:tcPr>
          <w:p>
            <w:pPr>
              <w:pStyle w:val="12"/>
            </w:pPr>
            <w:r>
              <w:t>1.90</w:t>
            </w:r>
          </w:p>
        </w:tc>
        <w:tc>
          <w:tcPr>
            <w:tcW w:w="1361" w:type="dxa"/>
            <w:vAlign w:val="center"/>
          </w:tcPr>
          <w:p>
            <w:pPr>
              <w:pStyle w:val="12"/>
            </w:pPr>
            <w:r>
              <w:t>1.90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6" w:type="dxa"/>
            <w:vAlign w:val="center"/>
          </w:tcPr>
          <w:p>
            <w:pPr>
              <w:pStyle w:val="13"/>
            </w:pPr>
            <w:r>
              <w:t>事业运行</w:t>
            </w:r>
          </w:p>
        </w:tc>
        <w:tc>
          <w:tcPr>
            <w:tcW w:w="1361" w:type="dxa"/>
            <w:vAlign w:val="center"/>
          </w:tcPr>
          <w:p>
            <w:pPr>
              <w:pStyle w:val="12"/>
            </w:pPr>
            <w:r>
              <w:t>113.21</w:t>
            </w:r>
          </w:p>
        </w:tc>
        <w:tc>
          <w:tcPr>
            <w:tcW w:w="1361" w:type="dxa"/>
            <w:vAlign w:val="center"/>
          </w:tcPr>
          <w:p>
            <w:pPr>
              <w:pStyle w:val="12"/>
            </w:pPr>
            <w:r>
              <w:t>113.21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6" w:type="dxa"/>
            <w:vAlign w:val="center"/>
          </w:tcPr>
          <w:p>
            <w:pPr>
              <w:pStyle w:val="13"/>
            </w:pPr>
            <w:r>
              <w:t>社会保障和就业支出</w:t>
            </w:r>
          </w:p>
        </w:tc>
        <w:tc>
          <w:tcPr>
            <w:tcW w:w="1361" w:type="dxa"/>
            <w:vAlign w:val="center"/>
          </w:tcPr>
          <w:p>
            <w:pPr>
              <w:pStyle w:val="12"/>
            </w:pPr>
            <w:r>
              <w:t>43.34</w:t>
            </w:r>
          </w:p>
        </w:tc>
        <w:tc>
          <w:tcPr>
            <w:tcW w:w="1361" w:type="dxa"/>
            <w:vAlign w:val="center"/>
          </w:tcPr>
          <w:p>
            <w:pPr>
              <w:pStyle w:val="12"/>
            </w:pPr>
            <w:r>
              <w:t>43.34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6" w:type="dxa"/>
            <w:vAlign w:val="center"/>
          </w:tcPr>
          <w:p>
            <w:pPr>
              <w:pStyle w:val="13"/>
            </w:pPr>
            <w:r>
              <w:t>行政事业单位养老支出</w:t>
            </w:r>
          </w:p>
        </w:tc>
        <w:tc>
          <w:tcPr>
            <w:tcW w:w="1361" w:type="dxa"/>
            <w:vAlign w:val="center"/>
          </w:tcPr>
          <w:p>
            <w:pPr>
              <w:pStyle w:val="12"/>
            </w:pPr>
            <w:r>
              <w:t>43.34</w:t>
            </w:r>
          </w:p>
        </w:tc>
        <w:tc>
          <w:tcPr>
            <w:tcW w:w="1361" w:type="dxa"/>
            <w:vAlign w:val="center"/>
          </w:tcPr>
          <w:p>
            <w:pPr>
              <w:pStyle w:val="12"/>
            </w:pPr>
            <w:r>
              <w:t>43.34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6" w:type="dxa"/>
            <w:vAlign w:val="center"/>
          </w:tcPr>
          <w:p>
            <w:pPr>
              <w:pStyle w:val="13"/>
            </w:pPr>
            <w:r>
              <w:t>行政单位离退休</w:t>
            </w:r>
          </w:p>
        </w:tc>
        <w:tc>
          <w:tcPr>
            <w:tcW w:w="1361" w:type="dxa"/>
            <w:vAlign w:val="center"/>
          </w:tcPr>
          <w:p>
            <w:pPr>
              <w:pStyle w:val="12"/>
            </w:pPr>
            <w:r>
              <w:t>7.30</w:t>
            </w:r>
          </w:p>
        </w:tc>
        <w:tc>
          <w:tcPr>
            <w:tcW w:w="1361" w:type="dxa"/>
            <w:vAlign w:val="center"/>
          </w:tcPr>
          <w:p>
            <w:pPr>
              <w:pStyle w:val="12"/>
            </w:pPr>
            <w:r>
              <w:t>7.30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6" w:type="dxa"/>
            <w:vAlign w:val="center"/>
          </w:tcPr>
          <w:p>
            <w:pPr>
              <w:pStyle w:val="13"/>
            </w:pPr>
            <w:r>
              <w:t>机关事业单位基本养老保险缴费支出</w:t>
            </w:r>
          </w:p>
        </w:tc>
        <w:tc>
          <w:tcPr>
            <w:tcW w:w="1361" w:type="dxa"/>
            <w:vAlign w:val="center"/>
          </w:tcPr>
          <w:p>
            <w:pPr>
              <w:pStyle w:val="12"/>
            </w:pPr>
            <w:r>
              <w:t>36.04</w:t>
            </w:r>
          </w:p>
        </w:tc>
        <w:tc>
          <w:tcPr>
            <w:tcW w:w="1361" w:type="dxa"/>
            <w:vAlign w:val="center"/>
          </w:tcPr>
          <w:p>
            <w:pPr>
              <w:pStyle w:val="12"/>
            </w:pPr>
            <w:r>
              <w:t>36.04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6" w:type="dxa"/>
            <w:vAlign w:val="center"/>
          </w:tcPr>
          <w:p>
            <w:pPr>
              <w:pStyle w:val="13"/>
            </w:pPr>
            <w:r>
              <w:t>卫生健康支出</w:t>
            </w:r>
          </w:p>
        </w:tc>
        <w:tc>
          <w:tcPr>
            <w:tcW w:w="1361" w:type="dxa"/>
            <w:vAlign w:val="center"/>
          </w:tcPr>
          <w:p>
            <w:pPr>
              <w:pStyle w:val="12"/>
            </w:pPr>
            <w:r>
              <w:t>39.59</w:t>
            </w:r>
          </w:p>
        </w:tc>
        <w:tc>
          <w:tcPr>
            <w:tcW w:w="1361" w:type="dxa"/>
            <w:vAlign w:val="center"/>
          </w:tcPr>
          <w:p>
            <w:pPr>
              <w:pStyle w:val="12"/>
            </w:pPr>
            <w:r>
              <w:t>39.59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21011</w:t>
            </w:r>
          </w:p>
        </w:tc>
        <w:tc>
          <w:tcPr>
            <w:tcW w:w="4536" w:type="dxa"/>
            <w:vAlign w:val="center"/>
          </w:tcPr>
          <w:p>
            <w:pPr>
              <w:pStyle w:val="13"/>
            </w:pPr>
            <w:r>
              <w:t>行政事业单位医疗</w:t>
            </w:r>
          </w:p>
        </w:tc>
        <w:tc>
          <w:tcPr>
            <w:tcW w:w="1361" w:type="dxa"/>
            <w:vAlign w:val="center"/>
          </w:tcPr>
          <w:p>
            <w:pPr>
              <w:pStyle w:val="12"/>
            </w:pPr>
            <w:r>
              <w:t>39.59</w:t>
            </w:r>
          </w:p>
        </w:tc>
        <w:tc>
          <w:tcPr>
            <w:tcW w:w="1361" w:type="dxa"/>
            <w:vAlign w:val="center"/>
          </w:tcPr>
          <w:p>
            <w:pPr>
              <w:pStyle w:val="12"/>
            </w:pPr>
            <w:r>
              <w:t>39.59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2101101</w:t>
            </w:r>
          </w:p>
        </w:tc>
        <w:tc>
          <w:tcPr>
            <w:tcW w:w="4536" w:type="dxa"/>
            <w:vAlign w:val="center"/>
          </w:tcPr>
          <w:p>
            <w:pPr>
              <w:pStyle w:val="13"/>
            </w:pPr>
            <w:r>
              <w:t>行政单位医疗</w:t>
            </w:r>
          </w:p>
        </w:tc>
        <w:tc>
          <w:tcPr>
            <w:tcW w:w="1361" w:type="dxa"/>
            <w:vAlign w:val="center"/>
          </w:tcPr>
          <w:p>
            <w:pPr>
              <w:pStyle w:val="12"/>
            </w:pPr>
            <w:r>
              <w:t>19.07</w:t>
            </w:r>
          </w:p>
        </w:tc>
        <w:tc>
          <w:tcPr>
            <w:tcW w:w="1361" w:type="dxa"/>
            <w:vAlign w:val="center"/>
          </w:tcPr>
          <w:p>
            <w:pPr>
              <w:pStyle w:val="12"/>
            </w:pPr>
            <w:r>
              <w:t>19.07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14</w:t>
            </w:r>
          </w:p>
        </w:tc>
        <w:tc>
          <w:tcPr>
            <w:tcW w:w="992" w:type="dxa"/>
            <w:vAlign w:val="center"/>
          </w:tcPr>
          <w:p>
            <w:pPr>
              <w:pStyle w:val="13"/>
            </w:pPr>
            <w:r>
              <w:t>2101103</w:t>
            </w:r>
          </w:p>
        </w:tc>
        <w:tc>
          <w:tcPr>
            <w:tcW w:w="4536" w:type="dxa"/>
            <w:vAlign w:val="center"/>
          </w:tcPr>
          <w:p>
            <w:pPr>
              <w:pStyle w:val="13"/>
            </w:pPr>
            <w:r>
              <w:t>公务员医疗补助</w:t>
            </w:r>
          </w:p>
        </w:tc>
        <w:tc>
          <w:tcPr>
            <w:tcW w:w="1361" w:type="dxa"/>
            <w:vAlign w:val="center"/>
          </w:tcPr>
          <w:p>
            <w:pPr>
              <w:pStyle w:val="12"/>
            </w:pPr>
            <w:r>
              <w:t>20.52</w:t>
            </w:r>
          </w:p>
        </w:tc>
        <w:tc>
          <w:tcPr>
            <w:tcW w:w="1361" w:type="dxa"/>
            <w:vAlign w:val="center"/>
          </w:tcPr>
          <w:p>
            <w:pPr>
              <w:pStyle w:val="12"/>
            </w:pPr>
            <w:r>
              <w:t>20.52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w:t>
            </w:r>
          </w:p>
        </w:tc>
        <w:tc>
          <w:tcPr>
            <w:tcW w:w="4536" w:type="dxa"/>
            <w:vAlign w:val="center"/>
          </w:tcPr>
          <w:p>
            <w:pPr>
              <w:pStyle w:val="13"/>
            </w:pPr>
            <w:r>
              <w:t>住房保障支出</w:t>
            </w:r>
          </w:p>
        </w:tc>
        <w:tc>
          <w:tcPr>
            <w:tcW w:w="1361" w:type="dxa"/>
            <w:vAlign w:val="center"/>
          </w:tcPr>
          <w:p>
            <w:pPr>
              <w:pStyle w:val="12"/>
            </w:pPr>
            <w:r>
              <w:t>28.40</w:t>
            </w:r>
          </w:p>
        </w:tc>
        <w:tc>
          <w:tcPr>
            <w:tcW w:w="1361" w:type="dxa"/>
            <w:vAlign w:val="center"/>
          </w:tcPr>
          <w:p>
            <w:pPr>
              <w:pStyle w:val="12"/>
            </w:pPr>
            <w:r>
              <w:t>28.40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w:t>
            </w:r>
          </w:p>
        </w:tc>
        <w:tc>
          <w:tcPr>
            <w:tcW w:w="4536" w:type="dxa"/>
            <w:vAlign w:val="center"/>
          </w:tcPr>
          <w:p>
            <w:pPr>
              <w:pStyle w:val="13"/>
            </w:pPr>
            <w:r>
              <w:t>住房改革支出</w:t>
            </w:r>
          </w:p>
        </w:tc>
        <w:tc>
          <w:tcPr>
            <w:tcW w:w="1361" w:type="dxa"/>
            <w:vAlign w:val="center"/>
          </w:tcPr>
          <w:p>
            <w:pPr>
              <w:pStyle w:val="12"/>
            </w:pPr>
            <w:r>
              <w:t>28.40</w:t>
            </w:r>
          </w:p>
        </w:tc>
        <w:tc>
          <w:tcPr>
            <w:tcW w:w="1361" w:type="dxa"/>
            <w:vAlign w:val="center"/>
          </w:tcPr>
          <w:p>
            <w:pPr>
              <w:pStyle w:val="12"/>
            </w:pPr>
            <w:r>
              <w:t>28.40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2210201</w:t>
            </w:r>
          </w:p>
        </w:tc>
        <w:tc>
          <w:tcPr>
            <w:tcW w:w="4536" w:type="dxa"/>
            <w:vAlign w:val="center"/>
          </w:tcPr>
          <w:p>
            <w:pPr>
              <w:pStyle w:val="13"/>
            </w:pPr>
            <w:r>
              <w:t>住房公积金</w:t>
            </w:r>
          </w:p>
        </w:tc>
        <w:tc>
          <w:tcPr>
            <w:tcW w:w="1361" w:type="dxa"/>
            <w:vAlign w:val="center"/>
          </w:tcPr>
          <w:p>
            <w:pPr>
              <w:pStyle w:val="12"/>
            </w:pPr>
            <w:r>
              <w:t>28.40</w:t>
            </w:r>
          </w:p>
        </w:tc>
        <w:tc>
          <w:tcPr>
            <w:tcW w:w="1361" w:type="dxa"/>
            <w:vAlign w:val="center"/>
          </w:tcPr>
          <w:p>
            <w:pPr>
              <w:pStyle w:val="12"/>
            </w:pPr>
            <w:r>
              <w:t>28.40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单位预算财政拨款收支总表</w:t>
      </w:r>
    </w:p>
    <w:tbl>
      <w:tblPr>
        <w:tblStyle w:val="7"/>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304001唐山市丰南区信访局本级</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689.37</w:t>
            </w:r>
          </w:p>
        </w:tc>
        <w:tc>
          <w:tcPr>
            <w:tcW w:w="3402" w:type="dxa"/>
            <w:vAlign w:val="center"/>
          </w:tcPr>
          <w:p>
            <w:pPr>
              <w:pStyle w:val="13"/>
            </w:pPr>
            <w:r>
              <w:t>一、一般公共服务支出</w:t>
            </w:r>
          </w:p>
        </w:tc>
        <w:tc>
          <w:tcPr>
            <w:tcW w:w="1474" w:type="dxa"/>
            <w:vAlign w:val="center"/>
          </w:tcPr>
          <w:p>
            <w:pPr>
              <w:pStyle w:val="12"/>
            </w:pPr>
            <w:r>
              <w:t>578.04</w:t>
            </w:r>
          </w:p>
        </w:tc>
        <w:tc>
          <w:tcPr>
            <w:tcW w:w="1474" w:type="dxa"/>
            <w:vAlign w:val="center"/>
          </w:tcPr>
          <w:p>
            <w:pPr>
              <w:pStyle w:val="12"/>
            </w:pPr>
            <w:r>
              <w:t>578.04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43.34</w:t>
            </w:r>
          </w:p>
        </w:tc>
        <w:tc>
          <w:tcPr>
            <w:tcW w:w="1474" w:type="dxa"/>
            <w:vAlign w:val="center"/>
          </w:tcPr>
          <w:p>
            <w:pPr>
              <w:pStyle w:val="12"/>
            </w:pPr>
            <w:r>
              <w:t>43.34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39.59</w:t>
            </w:r>
          </w:p>
        </w:tc>
        <w:tc>
          <w:tcPr>
            <w:tcW w:w="1474" w:type="dxa"/>
            <w:vAlign w:val="center"/>
          </w:tcPr>
          <w:p>
            <w:pPr>
              <w:pStyle w:val="12"/>
            </w:pPr>
            <w:r>
              <w:t>39.59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28.40</w:t>
            </w:r>
          </w:p>
        </w:tc>
        <w:tc>
          <w:tcPr>
            <w:tcW w:w="1474" w:type="dxa"/>
            <w:vAlign w:val="center"/>
          </w:tcPr>
          <w:p>
            <w:pPr>
              <w:pStyle w:val="12"/>
            </w:pPr>
            <w:r>
              <w:t>28.40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689.37</w:t>
            </w:r>
          </w:p>
        </w:tc>
        <w:tc>
          <w:tcPr>
            <w:tcW w:w="3402" w:type="dxa"/>
            <w:vAlign w:val="center"/>
          </w:tcPr>
          <w:p>
            <w:pPr>
              <w:pStyle w:val="15"/>
            </w:pPr>
            <w:r>
              <w:t>本年支出合计</w:t>
            </w:r>
          </w:p>
        </w:tc>
        <w:tc>
          <w:tcPr>
            <w:tcW w:w="1474" w:type="dxa"/>
            <w:vAlign w:val="center"/>
          </w:tcPr>
          <w:p>
            <w:pPr>
              <w:pStyle w:val="16"/>
            </w:pPr>
            <w:r>
              <w:t>689.37</w:t>
            </w:r>
          </w:p>
        </w:tc>
        <w:tc>
          <w:tcPr>
            <w:tcW w:w="1474" w:type="dxa"/>
            <w:vAlign w:val="center"/>
          </w:tcPr>
          <w:p>
            <w:pPr>
              <w:pStyle w:val="16"/>
            </w:pPr>
            <w:r>
              <w:t>689.37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689.37</w:t>
            </w:r>
          </w:p>
        </w:tc>
        <w:tc>
          <w:tcPr>
            <w:tcW w:w="3402" w:type="dxa"/>
            <w:vAlign w:val="center"/>
          </w:tcPr>
          <w:p>
            <w:pPr>
              <w:pStyle w:val="15"/>
            </w:pPr>
            <w:r>
              <w:t>支出总计</w:t>
            </w:r>
          </w:p>
        </w:tc>
        <w:tc>
          <w:tcPr>
            <w:tcW w:w="1474" w:type="dxa"/>
            <w:vAlign w:val="center"/>
          </w:tcPr>
          <w:p>
            <w:pPr>
              <w:pStyle w:val="16"/>
            </w:pPr>
            <w:r>
              <w:t>689.37</w:t>
            </w:r>
          </w:p>
        </w:tc>
        <w:tc>
          <w:tcPr>
            <w:tcW w:w="1474" w:type="dxa"/>
            <w:vAlign w:val="center"/>
          </w:tcPr>
          <w:p>
            <w:pPr>
              <w:pStyle w:val="16"/>
            </w:pPr>
            <w:r>
              <w:t>689.37</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304001唐山市丰南区信访局本级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689.37</w:t>
            </w:r>
          </w:p>
        </w:tc>
        <w:tc>
          <w:tcPr>
            <w:tcW w:w="2551" w:type="dxa"/>
            <w:vAlign w:val="center"/>
          </w:tcPr>
          <w:p>
            <w:pPr>
              <w:pStyle w:val="16"/>
            </w:pPr>
            <w:r>
              <w:t>372.07</w:t>
            </w:r>
          </w:p>
        </w:tc>
        <w:tc>
          <w:tcPr>
            <w:tcW w:w="2551" w:type="dxa"/>
            <w:vAlign w:val="center"/>
          </w:tcPr>
          <w:p>
            <w:pPr>
              <w:pStyle w:val="16"/>
            </w:pPr>
            <w:r>
              <w:t>317.30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578.04</w:t>
            </w:r>
          </w:p>
        </w:tc>
        <w:tc>
          <w:tcPr>
            <w:tcW w:w="2551" w:type="dxa"/>
            <w:vAlign w:val="center"/>
          </w:tcPr>
          <w:p>
            <w:pPr>
              <w:pStyle w:val="12"/>
            </w:pPr>
            <w:r>
              <w:t>260.74</w:t>
            </w:r>
          </w:p>
        </w:tc>
        <w:tc>
          <w:tcPr>
            <w:tcW w:w="2551" w:type="dxa"/>
            <w:vAlign w:val="center"/>
          </w:tcPr>
          <w:p>
            <w:pPr>
              <w:pStyle w:val="12"/>
            </w:pPr>
            <w:r>
              <w:t>317.30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578.04</w:t>
            </w:r>
          </w:p>
        </w:tc>
        <w:tc>
          <w:tcPr>
            <w:tcW w:w="2551" w:type="dxa"/>
            <w:vAlign w:val="center"/>
          </w:tcPr>
          <w:p>
            <w:pPr>
              <w:pStyle w:val="12"/>
            </w:pPr>
            <w:r>
              <w:t>260.74</w:t>
            </w:r>
          </w:p>
        </w:tc>
        <w:tc>
          <w:tcPr>
            <w:tcW w:w="2551" w:type="dxa"/>
            <w:vAlign w:val="center"/>
          </w:tcPr>
          <w:p>
            <w:pPr>
              <w:pStyle w:val="12"/>
            </w:pPr>
            <w:r>
              <w:t>317.30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2010308</w:t>
            </w:r>
          </w:p>
        </w:tc>
        <w:tc>
          <w:tcPr>
            <w:tcW w:w="4535" w:type="dxa"/>
            <w:vAlign w:val="center"/>
          </w:tcPr>
          <w:p>
            <w:pPr>
              <w:pStyle w:val="13"/>
            </w:pPr>
            <w:r>
              <w:t>信访事务</w:t>
            </w:r>
          </w:p>
        </w:tc>
        <w:tc>
          <w:tcPr>
            <w:tcW w:w="2551" w:type="dxa"/>
            <w:vAlign w:val="center"/>
          </w:tcPr>
          <w:p>
            <w:pPr>
              <w:pStyle w:val="12"/>
            </w:pPr>
            <w:r>
              <w:t>462.93</w:t>
            </w:r>
          </w:p>
        </w:tc>
        <w:tc>
          <w:tcPr>
            <w:tcW w:w="2551" w:type="dxa"/>
            <w:vAlign w:val="center"/>
          </w:tcPr>
          <w:p>
            <w:pPr>
              <w:pStyle w:val="12"/>
            </w:pPr>
            <w:r>
              <w:t>145.63</w:t>
            </w:r>
          </w:p>
        </w:tc>
        <w:tc>
          <w:tcPr>
            <w:tcW w:w="2551" w:type="dxa"/>
            <w:vAlign w:val="center"/>
          </w:tcPr>
          <w:p>
            <w:pPr>
              <w:pStyle w:val="12"/>
            </w:pPr>
            <w:r>
              <w:t>317.30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2010309</w:t>
            </w:r>
          </w:p>
        </w:tc>
        <w:tc>
          <w:tcPr>
            <w:tcW w:w="4535" w:type="dxa"/>
            <w:vAlign w:val="center"/>
          </w:tcPr>
          <w:p>
            <w:pPr>
              <w:pStyle w:val="13"/>
            </w:pPr>
            <w:r>
              <w:t>参事事务</w:t>
            </w:r>
          </w:p>
        </w:tc>
        <w:tc>
          <w:tcPr>
            <w:tcW w:w="2551" w:type="dxa"/>
            <w:vAlign w:val="center"/>
          </w:tcPr>
          <w:p>
            <w:pPr>
              <w:pStyle w:val="12"/>
            </w:pPr>
            <w:r>
              <w:t>1.90</w:t>
            </w:r>
          </w:p>
        </w:tc>
        <w:tc>
          <w:tcPr>
            <w:tcW w:w="2551" w:type="dxa"/>
            <w:vAlign w:val="center"/>
          </w:tcPr>
          <w:p>
            <w:pPr>
              <w:pStyle w:val="12"/>
            </w:pPr>
            <w:r>
              <w:t>1.90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113.21</w:t>
            </w:r>
          </w:p>
        </w:tc>
        <w:tc>
          <w:tcPr>
            <w:tcW w:w="2551" w:type="dxa"/>
            <w:vAlign w:val="center"/>
          </w:tcPr>
          <w:p>
            <w:pPr>
              <w:pStyle w:val="12"/>
            </w:pPr>
            <w:r>
              <w:t>113.21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43.34</w:t>
            </w:r>
          </w:p>
        </w:tc>
        <w:tc>
          <w:tcPr>
            <w:tcW w:w="2551" w:type="dxa"/>
            <w:vAlign w:val="center"/>
          </w:tcPr>
          <w:p>
            <w:pPr>
              <w:pStyle w:val="12"/>
            </w:pPr>
            <w:r>
              <w:t>43.34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43.34</w:t>
            </w:r>
          </w:p>
        </w:tc>
        <w:tc>
          <w:tcPr>
            <w:tcW w:w="2551" w:type="dxa"/>
            <w:vAlign w:val="center"/>
          </w:tcPr>
          <w:p>
            <w:pPr>
              <w:pStyle w:val="12"/>
            </w:pPr>
            <w:r>
              <w:t>43.34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7.30</w:t>
            </w:r>
          </w:p>
        </w:tc>
        <w:tc>
          <w:tcPr>
            <w:tcW w:w="2551" w:type="dxa"/>
            <w:vAlign w:val="center"/>
          </w:tcPr>
          <w:p>
            <w:pPr>
              <w:pStyle w:val="12"/>
            </w:pPr>
            <w:r>
              <w:t>7.30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36.04</w:t>
            </w:r>
          </w:p>
        </w:tc>
        <w:tc>
          <w:tcPr>
            <w:tcW w:w="2551" w:type="dxa"/>
            <w:vAlign w:val="center"/>
          </w:tcPr>
          <w:p>
            <w:pPr>
              <w:pStyle w:val="12"/>
            </w:pPr>
            <w:r>
              <w:t>36.04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39.59</w:t>
            </w:r>
          </w:p>
        </w:tc>
        <w:tc>
          <w:tcPr>
            <w:tcW w:w="2551" w:type="dxa"/>
            <w:vAlign w:val="center"/>
          </w:tcPr>
          <w:p>
            <w:pPr>
              <w:pStyle w:val="12"/>
            </w:pPr>
            <w:r>
              <w:t>39.59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39.59</w:t>
            </w:r>
          </w:p>
        </w:tc>
        <w:tc>
          <w:tcPr>
            <w:tcW w:w="2551" w:type="dxa"/>
            <w:vAlign w:val="center"/>
          </w:tcPr>
          <w:p>
            <w:pPr>
              <w:pStyle w:val="12"/>
            </w:pPr>
            <w:r>
              <w:t>39.59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19.07</w:t>
            </w:r>
          </w:p>
        </w:tc>
        <w:tc>
          <w:tcPr>
            <w:tcW w:w="2551" w:type="dxa"/>
            <w:vAlign w:val="center"/>
          </w:tcPr>
          <w:p>
            <w:pPr>
              <w:pStyle w:val="12"/>
            </w:pPr>
            <w:r>
              <w:t>19.07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14</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20.52</w:t>
            </w:r>
          </w:p>
        </w:tc>
        <w:tc>
          <w:tcPr>
            <w:tcW w:w="2551" w:type="dxa"/>
            <w:vAlign w:val="center"/>
          </w:tcPr>
          <w:p>
            <w:pPr>
              <w:pStyle w:val="12"/>
            </w:pPr>
            <w:r>
              <w:t>20.52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28.40</w:t>
            </w:r>
          </w:p>
        </w:tc>
        <w:tc>
          <w:tcPr>
            <w:tcW w:w="2551" w:type="dxa"/>
            <w:vAlign w:val="center"/>
          </w:tcPr>
          <w:p>
            <w:pPr>
              <w:pStyle w:val="12"/>
            </w:pPr>
            <w:r>
              <w:t>28.40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28.40</w:t>
            </w:r>
          </w:p>
        </w:tc>
        <w:tc>
          <w:tcPr>
            <w:tcW w:w="2551" w:type="dxa"/>
            <w:vAlign w:val="center"/>
          </w:tcPr>
          <w:p>
            <w:pPr>
              <w:pStyle w:val="12"/>
            </w:pPr>
            <w:r>
              <w:t>28.40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28.40</w:t>
            </w:r>
          </w:p>
        </w:tc>
        <w:tc>
          <w:tcPr>
            <w:tcW w:w="2551" w:type="dxa"/>
            <w:vAlign w:val="center"/>
          </w:tcPr>
          <w:p>
            <w:pPr>
              <w:pStyle w:val="12"/>
            </w:pPr>
            <w:r>
              <w:t>28.40</w:t>
            </w:r>
          </w:p>
        </w:tc>
        <w:tc>
          <w:tcPr>
            <w:tcW w:w="2551" w:type="dxa"/>
            <w:vAlign w:val="center"/>
          </w:tcPr>
          <w:p>
            <w:pPr>
              <w:pStyle w:val="1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单位预算一般公共预算财政拨款基本支出表</w:t>
      </w:r>
    </w:p>
    <w:tbl>
      <w:tblPr>
        <w:tblStyle w:val="7"/>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304001唐山市丰南区信访局本级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2"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372.07</w:t>
            </w:r>
          </w:p>
        </w:tc>
        <w:tc>
          <w:tcPr>
            <w:tcW w:w="2551" w:type="dxa"/>
            <w:vAlign w:val="center"/>
          </w:tcPr>
          <w:p>
            <w:pPr>
              <w:pStyle w:val="16"/>
            </w:pPr>
            <w:r>
              <w:t>334.33</w:t>
            </w:r>
          </w:p>
        </w:tc>
        <w:tc>
          <w:tcPr>
            <w:tcW w:w="2552" w:type="dxa"/>
            <w:vAlign w:val="center"/>
          </w:tcPr>
          <w:p>
            <w:pPr>
              <w:pStyle w:val="16"/>
            </w:pPr>
            <w:r>
              <w:t>37.74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326.96</w:t>
            </w:r>
          </w:p>
        </w:tc>
        <w:tc>
          <w:tcPr>
            <w:tcW w:w="2551" w:type="dxa"/>
            <w:vAlign w:val="center"/>
          </w:tcPr>
          <w:p>
            <w:pPr>
              <w:pStyle w:val="12"/>
            </w:pPr>
            <w:r>
              <w:t>326.96</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94.55</w:t>
            </w:r>
          </w:p>
        </w:tc>
        <w:tc>
          <w:tcPr>
            <w:tcW w:w="2551" w:type="dxa"/>
            <w:vAlign w:val="center"/>
          </w:tcPr>
          <w:p>
            <w:pPr>
              <w:pStyle w:val="12"/>
            </w:pPr>
            <w:r>
              <w:t>94.55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60.93</w:t>
            </w:r>
          </w:p>
        </w:tc>
        <w:tc>
          <w:tcPr>
            <w:tcW w:w="2551" w:type="dxa"/>
            <w:vAlign w:val="center"/>
          </w:tcPr>
          <w:p>
            <w:pPr>
              <w:pStyle w:val="12"/>
            </w:pPr>
            <w:r>
              <w:t>60.93</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2.89</w:t>
            </w:r>
          </w:p>
        </w:tc>
        <w:tc>
          <w:tcPr>
            <w:tcW w:w="2551" w:type="dxa"/>
            <w:vAlign w:val="center"/>
          </w:tcPr>
          <w:p>
            <w:pPr>
              <w:pStyle w:val="12"/>
            </w:pPr>
            <w:r>
              <w:t>2.89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56.83</w:t>
            </w:r>
          </w:p>
        </w:tc>
        <w:tc>
          <w:tcPr>
            <w:tcW w:w="2551" w:type="dxa"/>
            <w:vAlign w:val="center"/>
          </w:tcPr>
          <w:p>
            <w:pPr>
              <w:pStyle w:val="12"/>
            </w:pPr>
            <w:r>
              <w:t>56.83</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36.04</w:t>
            </w:r>
          </w:p>
        </w:tc>
        <w:tc>
          <w:tcPr>
            <w:tcW w:w="2551" w:type="dxa"/>
            <w:vAlign w:val="center"/>
          </w:tcPr>
          <w:p>
            <w:pPr>
              <w:pStyle w:val="12"/>
            </w:pPr>
            <w:r>
              <w:t>36.04</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8</w:t>
            </w:r>
          </w:p>
        </w:tc>
        <w:tc>
          <w:tcPr>
            <w:tcW w:w="1191" w:type="dxa"/>
            <w:vAlign w:val="center"/>
          </w:tcPr>
          <w:p>
            <w:pPr>
              <w:pStyle w:val="13"/>
            </w:pPr>
            <w:r>
              <w:t>30110</w:t>
            </w:r>
          </w:p>
        </w:tc>
        <w:tc>
          <w:tcPr>
            <w:tcW w:w="4535" w:type="dxa"/>
            <w:vAlign w:val="center"/>
          </w:tcPr>
          <w:p>
            <w:pPr>
              <w:pStyle w:val="13"/>
            </w:pPr>
            <w:r>
              <w:t>城镇职工基本医疗保险缴费</w:t>
            </w:r>
          </w:p>
        </w:tc>
        <w:tc>
          <w:tcPr>
            <w:tcW w:w="2551" w:type="dxa"/>
            <w:vAlign w:val="center"/>
          </w:tcPr>
          <w:p>
            <w:pPr>
              <w:pStyle w:val="12"/>
            </w:pPr>
            <w:r>
              <w:t>19.07</w:t>
            </w:r>
          </w:p>
        </w:tc>
        <w:tc>
          <w:tcPr>
            <w:tcW w:w="2551" w:type="dxa"/>
            <w:vAlign w:val="center"/>
          </w:tcPr>
          <w:p>
            <w:pPr>
              <w:pStyle w:val="12"/>
            </w:pPr>
            <w:r>
              <w:t>19.07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20.52</w:t>
            </w:r>
          </w:p>
        </w:tc>
        <w:tc>
          <w:tcPr>
            <w:tcW w:w="2551" w:type="dxa"/>
            <w:vAlign w:val="center"/>
          </w:tcPr>
          <w:p>
            <w:pPr>
              <w:pStyle w:val="12"/>
            </w:pPr>
            <w:r>
              <w:t>20.52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7.73</w:t>
            </w:r>
          </w:p>
        </w:tc>
        <w:tc>
          <w:tcPr>
            <w:tcW w:w="2551" w:type="dxa"/>
            <w:vAlign w:val="center"/>
          </w:tcPr>
          <w:p>
            <w:pPr>
              <w:pStyle w:val="12"/>
            </w:pPr>
            <w:r>
              <w:t>7.73</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28.40</w:t>
            </w:r>
          </w:p>
        </w:tc>
        <w:tc>
          <w:tcPr>
            <w:tcW w:w="2551" w:type="dxa"/>
            <w:vAlign w:val="center"/>
          </w:tcPr>
          <w:p>
            <w:pPr>
              <w:pStyle w:val="12"/>
            </w:pPr>
            <w:r>
              <w:t>28.40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37.74</w:t>
            </w:r>
          </w:p>
        </w:tc>
        <w:tc>
          <w:tcPr>
            <w:tcW w:w="2551" w:type="dxa"/>
            <w:vAlign w:val="center"/>
          </w:tcPr>
          <w:p>
            <w:pPr>
              <w:pStyle w:val="12"/>
            </w:pPr>
          </w:p>
        </w:tc>
        <w:tc>
          <w:tcPr>
            <w:tcW w:w="2552" w:type="dxa"/>
            <w:vAlign w:val="center"/>
          </w:tcPr>
          <w:p>
            <w:pPr>
              <w:pStyle w:val="12"/>
            </w:pPr>
            <w:r>
              <w:t>37.74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5.84</w:t>
            </w:r>
          </w:p>
        </w:tc>
        <w:tc>
          <w:tcPr>
            <w:tcW w:w="2551" w:type="dxa"/>
            <w:vAlign w:val="center"/>
          </w:tcPr>
          <w:p>
            <w:pPr>
              <w:pStyle w:val="12"/>
            </w:pPr>
          </w:p>
        </w:tc>
        <w:tc>
          <w:tcPr>
            <w:tcW w:w="2552" w:type="dxa"/>
            <w:vAlign w:val="center"/>
          </w:tcPr>
          <w:p>
            <w:pPr>
              <w:pStyle w:val="12"/>
            </w:pPr>
            <w:r>
              <w:t>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1.00</w:t>
            </w:r>
          </w:p>
        </w:tc>
        <w:tc>
          <w:tcPr>
            <w:tcW w:w="2551" w:type="dxa"/>
            <w:vAlign w:val="center"/>
          </w:tcPr>
          <w:p>
            <w:pPr>
              <w:pStyle w:val="12"/>
            </w:pPr>
          </w:p>
        </w:tc>
        <w:tc>
          <w:tcPr>
            <w:tcW w:w="2552" w:type="dxa"/>
            <w:vAlign w:val="center"/>
          </w:tcPr>
          <w:p>
            <w:pPr>
              <w:pStyle w:val="12"/>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7.70</w:t>
            </w:r>
          </w:p>
        </w:tc>
        <w:tc>
          <w:tcPr>
            <w:tcW w:w="2551" w:type="dxa"/>
            <w:vAlign w:val="center"/>
          </w:tcPr>
          <w:p>
            <w:pPr>
              <w:pStyle w:val="12"/>
            </w:pPr>
          </w:p>
        </w:tc>
        <w:tc>
          <w:tcPr>
            <w:tcW w:w="2552" w:type="dxa"/>
            <w:vAlign w:val="center"/>
          </w:tcPr>
          <w:p>
            <w:pPr>
              <w:pStyle w:val="12"/>
            </w:pPr>
            <w:r>
              <w:t>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30213</w:t>
            </w:r>
          </w:p>
        </w:tc>
        <w:tc>
          <w:tcPr>
            <w:tcW w:w="4535" w:type="dxa"/>
            <w:vAlign w:val="center"/>
          </w:tcPr>
          <w:p>
            <w:pPr>
              <w:pStyle w:val="13"/>
            </w:pPr>
            <w:r>
              <w:t>维修(护)费</w:t>
            </w:r>
          </w:p>
        </w:tc>
        <w:tc>
          <w:tcPr>
            <w:tcW w:w="2551" w:type="dxa"/>
            <w:vAlign w:val="center"/>
          </w:tcPr>
          <w:p>
            <w:pPr>
              <w:pStyle w:val="12"/>
            </w:pPr>
            <w:r>
              <w:t>3.60</w:t>
            </w:r>
          </w:p>
        </w:tc>
        <w:tc>
          <w:tcPr>
            <w:tcW w:w="2551" w:type="dxa"/>
            <w:vAlign w:val="center"/>
          </w:tcPr>
          <w:p>
            <w:pPr>
              <w:pStyle w:val="12"/>
            </w:pPr>
          </w:p>
        </w:tc>
        <w:tc>
          <w:tcPr>
            <w:tcW w:w="2552" w:type="dxa"/>
            <w:vAlign w:val="center"/>
          </w:tcPr>
          <w:p>
            <w:pPr>
              <w:pStyle w:val="12"/>
            </w:pPr>
            <w:r>
              <w:t>3.60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4.80</w:t>
            </w:r>
          </w:p>
        </w:tc>
        <w:tc>
          <w:tcPr>
            <w:tcW w:w="2551" w:type="dxa"/>
            <w:vAlign w:val="center"/>
          </w:tcPr>
          <w:p>
            <w:pPr>
              <w:pStyle w:val="12"/>
            </w:pPr>
          </w:p>
        </w:tc>
        <w:tc>
          <w:tcPr>
            <w:tcW w:w="2552" w:type="dxa"/>
            <w:vAlign w:val="center"/>
          </w:tcPr>
          <w:p>
            <w:pPr>
              <w:pStyle w:val="12"/>
            </w:pPr>
            <w:r>
              <w:t>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2.70</w:t>
            </w:r>
          </w:p>
        </w:tc>
        <w:tc>
          <w:tcPr>
            <w:tcW w:w="2551" w:type="dxa"/>
            <w:vAlign w:val="center"/>
          </w:tcPr>
          <w:p>
            <w:pPr>
              <w:pStyle w:val="12"/>
            </w:pPr>
          </w:p>
        </w:tc>
        <w:tc>
          <w:tcPr>
            <w:tcW w:w="2552" w:type="dxa"/>
            <w:vAlign w:val="center"/>
          </w:tcPr>
          <w:p>
            <w:pPr>
              <w:pStyle w:val="12"/>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5.00</w:t>
            </w:r>
          </w:p>
        </w:tc>
        <w:tc>
          <w:tcPr>
            <w:tcW w:w="2551" w:type="dxa"/>
            <w:vAlign w:val="center"/>
          </w:tcPr>
          <w:p>
            <w:pPr>
              <w:pStyle w:val="12"/>
            </w:pPr>
          </w:p>
        </w:tc>
        <w:tc>
          <w:tcPr>
            <w:tcW w:w="2552"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69" w:hRule="atLeast"/>
          <w:jc w:val="center"/>
        </w:trPr>
        <w:tc>
          <w:tcPr>
            <w:tcW w:w="850" w:type="dxa"/>
            <w:vAlign w:val="center"/>
          </w:tcPr>
          <w:p>
            <w:pPr>
              <w:pStyle w:val="14"/>
            </w:pPr>
            <w:r>
              <w:t>20</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6.80</w:t>
            </w:r>
          </w:p>
        </w:tc>
        <w:tc>
          <w:tcPr>
            <w:tcW w:w="2551" w:type="dxa"/>
            <w:vAlign w:val="center"/>
          </w:tcPr>
          <w:p>
            <w:pPr>
              <w:pStyle w:val="12"/>
            </w:pPr>
          </w:p>
        </w:tc>
        <w:tc>
          <w:tcPr>
            <w:tcW w:w="2552" w:type="dxa"/>
            <w:vAlign w:val="center"/>
          </w:tcPr>
          <w:p>
            <w:pPr>
              <w:pStyle w:val="12"/>
            </w:pPr>
            <w:r>
              <w:t>6.80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0.30</w:t>
            </w:r>
          </w:p>
        </w:tc>
        <w:tc>
          <w:tcPr>
            <w:tcW w:w="2551" w:type="dxa"/>
            <w:vAlign w:val="center"/>
          </w:tcPr>
          <w:p>
            <w:pPr>
              <w:pStyle w:val="12"/>
            </w:pPr>
          </w:p>
        </w:tc>
        <w:tc>
          <w:tcPr>
            <w:tcW w:w="2552" w:type="dxa"/>
            <w:vAlign w:val="center"/>
          </w:tcPr>
          <w:p>
            <w:pPr>
              <w:pStyle w:val="12"/>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7.37</w:t>
            </w:r>
          </w:p>
        </w:tc>
        <w:tc>
          <w:tcPr>
            <w:tcW w:w="2551" w:type="dxa"/>
            <w:vAlign w:val="center"/>
          </w:tcPr>
          <w:p>
            <w:pPr>
              <w:pStyle w:val="12"/>
            </w:pPr>
            <w:r>
              <w:t>7.37</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7.30</w:t>
            </w:r>
          </w:p>
        </w:tc>
        <w:tc>
          <w:tcPr>
            <w:tcW w:w="2551" w:type="dxa"/>
            <w:vAlign w:val="center"/>
          </w:tcPr>
          <w:p>
            <w:pPr>
              <w:pStyle w:val="12"/>
            </w:pPr>
            <w:r>
              <w:t>7.30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30309</w:t>
            </w:r>
          </w:p>
        </w:tc>
        <w:tc>
          <w:tcPr>
            <w:tcW w:w="4535" w:type="dxa"/>
            <w:vAlign w:val="center"/>
          </w:tcPr>
          <w:p>
            <w:pPr>
              <w:pStyle w:val="13"/>
            </w:pPr>
            <w:r>
              <w:t>奖励金</w:t>
            </w:r>
          </w:p>
        </w:tc>
        <w:tc>
          <w:tcPr>
            <w:tcW w:w="2551" w:type="dxa"/>
            <w:vAlign w:val="center"/>
          </w:tcPr>
          <w:p>
            <w:pPr>
              <w:pStyle w:val="12"/>
            </w:pPr>
            <w:r>
              <w:t>0.07</w:t>
            </w:r>
          </w:p>
        </w:tc>
        <w:tc>
          <w:tcPr>
            <w:tcW w:w="2551" w:type="dxa"/>
            <w:vAlign w:val="center"/>
          </w:tcPr>
          <w:p>
            <w:pPr>
              <w:pStyle w:val="12"/>
            </w:pPr>
            <w:r>
              <w:t>0.07</w:t>
            </w:r>
          </w:p>
        </w:tc>
        <w:tc>
          <w:tcPr>
            <w:tcW w:w="2552" w:type="dxa"/>
            <w:vAlign w:val="center"/>
          </w:tcPr>
          <w:p>
            <w:pPr>
              <w:pStyle w:val="12"/>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color w:val="000000"/>
          <w:sz w:val="36"/>
        </w:rPr>
        <w:t>单位预算政府基金预算财政拨款支出表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304001唐山市丰南区信访局本级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单位预算国有资本经营预算财政拨款支出表</w:t>
      </w:r>
    </w:p>
    <w:tbl>
      <w:tblPr>
        <w:tblStyle w:val="7"/>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304001唐山市丰南区信访局本级</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p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pPr/>
          </w:p>
        </w:tc>
        <w:tc>
          <w:tcPr>
            <w:tcW w:w="2551" w:type="dxa"/>
            <w:vMerge w:val="continue"/>
          </w:tcPr>
          <w:p>
            <w:pPr/>
          </w:p>
        </w:tc>
        <w:tc>
          <w:tcPr>
            <w:tcW w:w="2551"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eastAsia="方正小标宋_GBK" w:cs="方正小标宋_GBK"/>
          <w:color w:val="000000"/>
          <w:sz w:val="36"/>
        </w:rPr>
        <w:t>单位预算财政拨款“三公”经费支出表</w:t>
      </w:r>
    </w:p>
    <w:tbl>
      <w:tblPr>
        <w:tblStyle w:val="7"/>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304001唐山市丰南区信访局本级</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pPr/>
          </w:p>
        </w:tc>
        <w:tc>
          <w:tcPr>
            <w:tcW w:w="3798" w:type="dxa"/>
            <w:vMerge w:val="continue"/>
          </w:tcPr>
          <w:p>
            <w:p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pPr>
            <w:r>
              <w:t>8.00</w:t>
            </w:r>
          </w:p>
        </w:tc>
        <w:tc>
          <w:tcPr>
            <w:tcW w:w="2381" w:type="dxa"/>
            <w:vAlign w:val="center"/>
          </w:tcPr>
          <w:p>
            <w:pPr>
              <w:pStyle w:val="16"/>
            </w:pPr>
            <w:r>
              <w:t>8.00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2" w:type="dxa"/>
            <w:vAlign w:val="center"/>
          </w:tcPr>
          <w:p>
            <w:pPr>
              <w:pStyle w:val="12"/>
            </w:pPr>
            <w:r>
              <w:t>8.00</w:t>
            </w:r>
          </w:p>
        </w:tc>
        <w:tc>
          <w:tcPr>
            <w:tcW w:w="2381" w:type="dxa"/>
            <w:vAlign w:val="center"/>
          </w:tcPr>
          <w:p>
            <w:pPr>
              <w:pStyle w:val="12"/>
            </w:pPr>
            <w:r>
              <w:t>8.00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其中：教学科研人员因公出国（境）</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二、公务用车购置及维护费</w:t>
            </w:r>
          </w:p>
        </w:tc>
        <w:tc>
          <w:tcPr>
            <w:tcW w:w="2382" w:type="dxa"/>
            <w:vAlign w:val="center"/>
          </w:tcPr>
          <w:p>
            <w:pPr>
              <w:pStyle w:val="12"/>
            </w:pPr>
            <w:r>
              <w:t>8.00</w:t>
            </w:r>
          </w:p>
        </w:tc>
        <w:tc>
          <w:tcPr>
            <w:tcW w:w="2381" w:type="dxa"/>
            <w:vAlign w:val="center"/>
          </w:tcPr>
          <w:p>
            <w:pPr>
              <w:pStyle w:val="12"/>
            </w:pPr>
            <w:r>
              <w:t>8.00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2" w:type="dxa"/>
            <w:vAlign w:val="center"/>
          </w:tcPr>
          <w:p>
            <w:pPr>
              <w:pStyle w:val="12"/>
            </w:pPr>
            <w:r>
              <w:t>8.00</w:t>
            </w:r>
          </w:p>
        </w:tc>
        <w:tc>
          <w:tcPr>
            <w:tcW w:w="2381" w:type="dxa"/>
            <w:vAlign w:val="center"/>
          </w:tcPr>
          <w:p>
            <w:pPr>
              <w:pStyle w:val="12"/>
            </w:pPr>
            <w:r>
              <w:t>8.00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五、培训费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ectPr>
          <w:pgSz w:w="16840" w:h="11900" w:orient="landscape"/>
          <w:pgMar w:top="1361" w:right="1020" w:bottom="1361" w:left="1020" w:header="720" w:footer="720" w:gutter="0"/>
          <w:docGrid w:linePitch="326" w:charSpace="0"/>
        </w:sectPr>
      </w:pPr>
    </w:p>
    <w:p>
      <w:pPr>
        <w:spacing w:before="0" w:after="0" w:line="240" w:lineRule="auto"/>
        <w:ind w:firstLine="0"/>
        <w:jc w:val="center"/>
        <w:outlineLvl w:val="4"/>
      </w:pPr>
      <w:r>
        <w:rPr>
          <w:rFonts w:ascii="方正小标宋_GBK" w:eastAsia="方正小标宋_GBK" w:cs="方正小标宋_GBK"/>
          <w:b w:val="0"/>
          <w:color w:val="000000"/>
          <w:sz w:val="44"/>
        </w:rPr>
        <w:t>唐山市丰南区信访局本级2022年单位预算信息公开情况说明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按照《预算法》、《地方预决算公开操作规程》和《关于进一步推进预算公开工作的实施意见》规定，现将唐山市丰南区信访局本级2022年单位预算公开如下：</w:t>
      </w:r>
    </w:p>
    <w:p>
      <w:pPr>
        <w:spacing w:before="10" w:after="10" w:line="240" w:lineRule="auto"/>
        <w:ind w:firstLine="640"/>
        <w:jc w:val="left"/>
        <w:outlineLvl w:val="5"/>
      </w:pPr>
      <w:r>
        <w:rPr>
          <w:rFonts w:ascii="黑体" w:eastAsia="黑体" w:cs="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b/>
          <w:color w:val="000000"/>
          <w:sz w:val="32"/>
        </w:rPr>
        <w:t>单位职责：</w:t>
      </w:r>
    </w:p>
    <w:p>
      <w:pPr>
        <w:pStyle w:val="18"/>
      </w:pPr>
      <w:r>
        <w:t>　(一) 研究提出全区信访工作思路，拟订信访工作方针政策。</w:t>
      </w:r>
    </w:p>
    <w:p>
      <w:pPr>
        <w:pStyle w:val="18"/>
      </w:pPr>
      <w:r>
        <w:t>　　(二)处理人民群众来信，接待群众来访，受理群众网上投诉，查办信访案件，负责人民群众建议征集工作。</w:t>
      </w:r>
    </w:p>
    <w:p>
      <w:pPr>
        <w:pStyle w:val="18"/>
      </w:pPr>
      <w:r>
        <w:t>　　(三)调查研究和综合分析全区信访形势及信访工作状况，总结推广各地各部门信访工作经验，提出改进和加强信访工作的意见和建议。</w:t>
      </w:r>
    </w:p>
    <w:p>
      <w:pPr>
        <w:pStyle w:val="18"/>
      </w:pPr>
      <w:r>
        <w:t>　　(四)参与组织、协调、指导全区社会治安综合治理和维护社会政治稳定工作，协助保障国家、省、市和区重大政治活动顺利进行，参与处理影响社会政治稳定的突发性、群体性事件。</w:t>
      </w:r>
    </w:p>
    <w:p>
      <w:pPr>
        <w:pStyle w:val="18"/>
      </w:pPr>
      <w:r>
        <w:t>　　(五)督促检查和指导乡镇、街道党（工）委、政府（办事处）和区直部门的信访工作。对乡镇、街道党（工）委、政府（办事处）和区直部门信访工作年度责任目标进行考核，对全区社会治安综合治理和维护社会政治稳定年度责任目标中有关信访工作进行考核。</w:t>
      </w:r>
    </w:p>
    <w:p>
      <w:pPr>
        <w:pStyle w:val="18"/>
      </w:pPr>
      <w:r>
        <w:t>　　(六)协助国家信访局、省、市信访局处理属地群众进京、赴省、去市上访工作，综合协调处理跨地区、跨部门、跨行业的重要信访问题，协助公安机关维护区委、区政府机关正常工作秩序。</w:t>
      </w:r>
    </w:p>
    <w:p>
      <w:pPr>
        <w:pStyle w:val="18"/>
      </w:pPr>
      <w:r>
        <w:t>　　(七) 负责省、市、区级领导和区直部门领导公开接访和包联案件的组织协调工作。</w:t>
      </w:r>
    </w:p>
    <w:p>
      <w:pPr>
        <w:pStyle w:val="18"/>
      </w:pPr>
      <w:r>
        <w:t>　　(八) 承担唐山市丰南区信访工作联席会议的日常工作，督促落实联席会议决定的事项。</w:t>
      </w:r>
    </w:p>
    <w:p>
      <w:pPr>
        <w:pStyle w:val="18"/>
      </w:pPr>
      <w:r>
        <w:t>　　（九）完成区委、区政府以及国家、省、市信访局交办的其他任务。</w:t>
      </w:r>
    </w:p>
    <w:p>
      <w:pPr>
        <w:spacing w:before="0" w:after="0" w:line="240" w:lineRule="auto"/>
        <w:ind w:firstLine="640"/>
        <w:jc w:val="left"/>
        <w:outlineLvl w:val="9"/>
      </w:pPr>
      <w:r>
        <w:rPr>
          <w:rFonts w:ascii="方正楷体_GBK" w:eastAsia="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color w:val="000000"/>
          <w:sz w:val="32"/>
        </w:rPr>
        <w:t>单位机构设置情况</w:t>
      </w:r>
    </w:p>
    <w:tbl>
      <w:tblPr>
        <w:tblStyle w:val="7"/>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唐山市丰南区信访局本级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240" w:lineRule="auto"/>
        <w:ind w:firstLine="640"/>
        <w:jc w:val="left"/>
        <w:outlineLvl w:val="5"/>
      </w:pPr>
      <w:r>
        <w:rPr>
          <w:rFonts w:ascii="黑体" w:eastAsia="黑体" w:cs="黑体"/>
          <w:color w:val="000000"/>
          <w:sz w:val="32"/>
        </w:rPr>
        <w:t>二、单位预算安排的总体情况</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pPr>
        <w:spacing w:before="100" w:beforeAutospacing="1" w:line="360" w:lineRule="auto"/>
        <w:ind w:firstLine="560" w:firstLineChars="200"/>
        <w:rPr>
          <w:rFonts w:eastAsia="方正仿宋_GBK"/>
          <w:color w:val="000000" w:themeColor="text1"/>
          <w:sz w:val="28"/>
        </w:rPr>
      </w:pPr>
      <w:r>
        <w:rPr>
          <w:rFonts w:hint="eastAsia" w:eastAsia="方正仿宋_GBK"/>
          <w:color w:val="000000" w:themeColor="text1"/>
          <w:sz w:val="28"/>
          <w:lang w:eastAsia="zh-CN"/>
        </w:rPr>
        <w:t>（</w:t>
      </w:r>
      <w:r>
        <w:rPr>
          <w:rFonts w:hint="eastAsia" w:eastAsia="方正仿宋_GBK"/>
          <w:color w:val="000000" w:themeColor="text1"/>
          <w:sz w:val="28"/>
        </w:rPr>
        <w:t>一）收入说明</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2022年部门预算收入</w:t>
      </w:r>
      <w:r>
        <w:rPr>
          <w:rFonts w:hint="eastAsia" w:eastAsia="方正仿宋_GBK"/>
          <w:color w:val="000000" w:themeColor="text1"/>
          <w:sz w:val="28"/>
          <w:lang w:val="en-US" w:eastAsia="zh-CN"/>
        </w:rPr>
        <w:t>689.37</w:t>
      </w:r>
      <w:r>
        <w:rPr>
          <w:rFonts w:hint="eastAsia" w:eastAsia="方正仿宋_GBK"/>
          <w:color w:val="000000" w:themeColor="text1"/>
          <w:sz w:val="28"/>
        </w:rPr>
        <w:t>万元，其中：一般公共预算拨款</w:t>
      </w:r>
      <w:r>
        <w:rPr>
          <w:rFonts w:hint="eastAsia" w:eastAsia="方正仿宋_GBK"/>
          <w:color w:val="000000" w:themeColor="text1"/>
          <w:sz w:val="28"/>
          <w:lang w:val="en-US" w:eastAsia="zh-CN"/>
        </w:rPr>
        <w:t>689.37</w:t>
      </w:r>
      <w:r>
        <w:rPr>
          <w:rFonts w:hint="eastAsia" w:eastAsia="方正仿宋_GBK"/>
          <w:color w:val="000000" w:themeColor="text1"/>
          <w:sz w:val="28"/>
        </w:rPr>
        <w:t>万元，政府性基金预算拨款</w:t>
      </w:r>
      <w:r>
        <w:rPr>
          <w:rFonts w:hint="eastAsia" w:eastAsia="方正仿宋_GBK"/>
          <w:color w:val="000000" w:themeColor="text1"/>
          <w:sz w:val="28"/>
          <w:lang w:eastAsia="zh-CN"/>
        </w:rPr>
        <w:t>0</w:t>
      </w:r>
      <w:r>
        <w:rPr>
          <w:rFonts w:hint="eastAsia" w:eastAsia="方正仿宋_GBK"/>
          <w:color w:val="000000" w:themeColor="text1"/>
          <w:sz w:val="28"/>
        </w:rPr>
        <w:t>万元，国有资本经营预算拨款</w:t>
      </w:r>
      <w:r>
        <w:rPr>
          <w:rFonts w:hint="eastAsia" w:eastAsia="方正仿宋_GBK"/>
          <w:color w:val="000000" w:themeColor="text1"/>
          <w:sz w:val="28"/>
          <w:lang w:eastAsia="zh-CN"/>
        </w:rPr>
        <w:t>0</w:t>
      </w:r>
      <w:r>
        <w:rPr>
          <w:rFonts w:hint="eastAsia" w:eastAsia="方正仿宋_GBK"/>
          <w:color w:val="000000" w:themeColor="text1"/>
          <w:sz w:val="28"/>
        </w:rPr>
        <w:t>万元，财政专户核拨</w:t>
      </w:r>
      <w:r>
        <w:rPr>
          <w:rFonts w:hint="eastAsia" w:eastAsia="方正仿宋_GBK"/>
          <w:color w:val="000000" w:themeColor="text1"/>
          <w:sz w:val="28"/>
          <w:lang w:eastAsia="zh-CN"/>
        </w:rPr>
        <w:t>0</w:t>
      </w:r>
      <w:r>
        <w:rPr>
          <w:rFonts w:hint="eastAsia" w:eastAsia="方正仿宋_GBK"/>
          <w:color w:val="000000" w:themeColor="text1"/>
          <w:sz w:val="28"/>
        </w:rPr>
        <w:t>万元，单位资金</w:t>
      </w:r>
      <w:r>
        <w:rPr>
          <w:rFonts w:hint="eastAsia" w:eastAsia="方正仿宋_GBK"/>
          <w:color w:val="000000" w:themeColor="text1"/>
          <w:sz w:val="28"/>
          <w:lang w:eastAsia="zh-CN"/>
        </w:rPr>
        <w:t>0</w:t>
      </w:r>
      <w:r>
        <w:rPr>
          <w:rFonts w:hint="eastAsia" w:eastAsia="方正仿宋_GBK"/>
          <w:color w:val="000000" w:themeColor="text1"/>
          <w:sz w:val="28"/>
        </w:rPr>
        <w:t>万元。</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（二）支出说明</w:t>
      </w:r>
    </w:p>
    <w:p>
      <w:pPr>
        <w:spacing w:line="360" w:lineRule="auto"/>
        <w:ind w:firstLine="560" w:firstLineChars="200"/>
        <w:rPr>
          <w:rFonts w:eastAsia="方正仿宋_GBK"/>
          <w:color w:val="000000" w:themeColor="text1"/>
          <w:sz w:val="28"/>
        </w:rPr>
      </w:pPr>
      <w:r>
        <w:rPr>
          <w:rFonts w:hint="eastAsia" w:eastAsia="方正仿宋_GBK"/>
          <w:color w:val="000000" w:themeColor="text1"/>
          <w:sz w:val="28"/>
        </w:rPr>
        <w:t>2022年部门预算支出</w:t>
      </w:r>
      <w:r>
        <w:rPr>
          <w:rFonts w:hint="eastAsia" w:eastAsia="方正仿宋_GBK"/>
          <w:color w:val="000000" w:themeColor="text1"/>
          <w:sz w:val="28"/>
          <w:lang w:val="en-US" w:eastAsia="zh-CN"/>
        </w:rPr>
        <w:t>689.37</w:t>
      </w:r>
      <w:r>
        <w:rPr>
          <w:rFonts w:hint="eastAsia" w:eastAsia="方正仿宋_GBK"/>
          <w:color w:val="000000" w:themeColor="text1"/>
          <w:sz w:val="28"/>
        </w:rPr>
        <w:t>万元，其中：人员经费</w:t>
      </w:r>
      <w:r>
        <w:rPr>
          <w:rFonts w:hint="eastAsia" w:eastAsia="方正仿宋_GBK"/>
          <w:color w:val="000000" w:themeColor="text1"/>
          <w:sz w:val="28"/>
          <w:lang w:val="en-US" w:eastAsia="zh-CN"/>
        </w:rPr>
        <w:t>334.33</w:t>
      </w:r>
      <w:r>
        <w:rPr>
          <w:rFonts w:hint="eastAsia" w:eastAsia="方正仿宋_GBK"/>
          <w:color w:val="000000" w:themeColor="text1"/>
          <w:sz w:val="28"/>
        </w:rPr>
        <w:t>万元，日常公用经费</w:t>
      </w:r>
      <w:r>
        <w:rPr>
          <w:rFonts w:hint="eastAsia" w:eastAsia="方正仿宋_GBK"/>
          <w:color w:val="000000" w:themeColor="text1"/>
          <w:sz w:val="28"/>
          <w:lang w:val="en-US" w:eastAsia="zh-CN"/>
        </w:rPr>
        <w:t>37.74</w:t>
      </w:r>
      <w:r>
        <w:rPr>
          <w:rFonts w:hint="eastAsia" w:eastAsia="方正仿宋_GBK"/>
          <w:color w:val="000000" w:themeColor="text1"/>
          <w:sz w:val="28"/>
        </w:rPr>
        <w:t>万元，项目支出</w:t>
      </w:r>
      <w:r>
        <w:rPr>
          <w:rFonts w:hint="eastAsia" w:eastAsia="方正仿宋_GBK"/>
          <w:color w:val="000000" w:themeColor="text1"/>
          <w:sz w:val="28"/>
          <w:lang w:val="en-US" w:eastAsia="zh-CN"/>
        </w:rPr>
        <w:t>317.3</w:t>
      </w:r>
      <w:r>
        <w:rPr>
          <w:rFonts w:hint="eastAsia" w:eastAsia="方正仿宋_GBK"/>
          <w:color w:val="000000" w:themeColor="text1"/>
          <w:sz w:val="28"/>
        </w:rPr>
        <w:t>万元。</w:t>
      </w:r>
    </w:p>
    <w:p>
      <w:pPr>
        <w:spacing w:line="360" w:lineRule="auto"/>
        <w:ind w:firstLine="560" w:firstLineChars="200"/>
        <w:rPr>
          <w:rFonts w:ascii="楷体_GB2312" w:hAnsi="仿宋" w:eastAsia="楷体_GB2312"/>
          <w:color w:val="000000" w:themeColor="text1"/>
          <w:sz w:val="32"/>
          <w:szCs w:val="32"/>
        </w:rPr>
      </w:pPr>
      <w:r>
        <w:rPr>
          <w:rFonts w:hint="eastAsia" w:eastAsia="方正仿宋_GBK"/>
          <w:color w:val="000000" w:themeColor="text1"/>
          <w:sz w:val="28"/>
        </w:rPr>
        <w:t>（三）比上年增减情况</w:t>
      </w:r>
    </w:p>
    <w:p>
      <w:pPr>
        <w:spacing w:line="360" w:lineRule="auto"/>
        <w:ind w:firstLine="560" w:firstLineChars="200"/>
        <w:rPr>
          <w:rFonts w:eastAsia="方正仿宋_GBK"/>
          <w:sz w:val="28"/>
          <w:lang w:val="uk-UA"/>
        </w:rPr>
      </w:pPr>
      <w:r>
        <w:rPr>
          <w:rFonts w:hint="eastAsia" w:eastAsia="方正仿宋_GBK"/>
          <w:color w:val="000000" w:themeColor="text1"/>
          <w:sz w:val="28"/>
        </w:rPr>
        <w:t>2022年部门预算较2021年</w:t>
      </w:r>
      <w:r>
        <w:rPr>
          <w:rFonts w:hint="eastAsia" w:eastAsia="方正仿宋_GBK"/>
          <w:color w:val="000000" w:themeColor="text1"/>
          <w:sz w:val="28"/>
          <w:lang w:eastAsia="zh-CN"/>
        </w:rPr>
        <w:t>增加</w:t>
      </w:r>
      <w:r>
        <w:rPr>
          <w:rFonts w:hint="eastAsia" w:eastAsia="方正仿宋_GBK"/>
          <w:color w:val="000000" w:themeColor="text1"/>
          <w:sz w:val="28"/>
          <w:lang w:val="en-US" w:eastAsia="zh-CN"/>
        </w:rPr>
        <w:t>53.18</w:t>
      </w:r>
      <w:r>
        <w:rPr>
          <w:rFonts w:hint="eastAsia" w:eastAsia="方正仿宋_GBK"/>
          <w:color w:val="000000" w:themeColor="text1"/>
          <w:sz w:val="28"/>
        </w:rPr>
        <w:t>万元，其中</w:t>
      </w:r>
      <w:r>
        <w:rPr>
          <w:rFonts w:hint="eastAsia" w:eastAsia="方正仿宋_GBK"/>
          <w:sz w:val="28"/>
        </w:rPr>
        <w:t>：人员经费</w:t>
      </w:r>
      <w:r>
        <w:rPr>
          <w:rFonts w:hint="eastAsia" w:eastAsia="方正仿宋_GBK"/>
          <w:sz w:val="28"/>
          <w:lang w:eastAsia="zh-CN"/>
        </w:rPr>
        <w:t>增加</w:t>
      </w:r>
      <w:r>
        <w:rPr>
          <w:rFonts w:hint="eastAsia" w:eastAsia="方正仿宋_GBK"/>
          <w:sz w:val="28"/>
          <w:lang w:val="en-US" w:eastAsia="zh-CN"/>
        </w:rPr>
        <w:t>12.55</w:t>
      </w:r>
      <w:r>
        <w:rPr>
          <w:rFonts w:hint="eastAsia" w:eastAsia="方正仿宋_GBK"/>
          <w:sz w:val="28"/>
        </w:rPr>
        <w:t>万元，日常公用经费增加</w:t>
      </w:r>
      <w:r>
        <w:rPr>
          <w:rFonts w:hint="eastAsia" w:eastAsia="方正仿宋_GBK"/>
          <w:sz w:val="28"/>
          <w:lang w:val="en-US" w:eastAsia="zh-CN"/>
        </w:rPr>
        <w:t>0.14</w:t>
      </w:r>
      <w:r>
        <w:rPr>
          <w:rFonts w:hint="eastAsia" w:eastAsia="方正仿宋_GBK"/>
          <w:sz w:val="28"/>
        </w:rPr>
        <w:t>万元，项目经费</w:t>
      </w:r>
      <w:r>
        <w:rPr>
          <w:rFonts w:hint="eastAsia" w:eastAsia="方正仿宋_GBK"/>
          <w:sz w:val="28"/>
          <w:lang w:eastAsia="zh-CN"/>
        </w:rPr>
        <w:t>增加</w:t>
      </w:r>
      <w:r>
        <w:rPr>
          <w:rFonts w:hint="eastAsia" w:eastAsia="方正仿宋_GBK"/>
          <w:sz w:val="28"/>
          <w:lang w:val="en-US" w:eastAsia="zh-CN"/>
        </w:rPr>
        <w:t>40.49</w:t>
      </w:r>
      <w:r>
        <w:rPr>
          <w:rFonts w:hint="eastAsia" w:eastAsia="方正仿宋_GBK"/>
          <w:sz w:val="28"/>
        </w:rPr>
        <w:t>万元。</w:t>
      </w:r>
    </w:p>
    <w:p>
      <w:pPr>
        <w:spacing w:before="0" w:after="0" w:line="500" w:lineRule="exact"/>
        <w:ind w:firstLine="560"/>
        <w:jc w:val="left"/>
        <w:outlineLvl w:val="9"/>
      </w:pPr>
      <w:r>
        <w:rPr>
          <w:rFonts w:ascii="黑体" w:eastAsia="黑体" w:cs="黑体"/>
          <w:color w:val="000000"/>
          <w:sz w:val="32"/>
        </w:rPr>
        <w:t>三、机关运行经费安排情况</w:t>
      </w:r>
    </w:p>
    <w:p>
      <w:pPr>
        <w:pStyle w:val="20"/>
      </w:pPr>
      <w:r>
        <w:t>2022年机关运行经费共计安排37.74万元，</w:t>
      </w:r>
      <w:r>
        <w:rPr>
          <w:rFonts w:hint="eastAsia"/>
        </w:rPr>
        <w:t>包括办公费</w:t>
      </w:r>
      <w:r>
        <w:rPr>
          <w:rFonts w:hint="eastAsia"/>
          <w:lang w:val="en-US" w:eastAsia="zh-CN"/>
        </w:rPr>
        <w:t>5</w:t>
      </w:r>
      <w:r>
        <w:rPr>
          <w:lang w:val="en-US" w:eastAsia="zh-CN"/>
        </w:rPr>
        <w:t>.84</w:t>
      </w:r>
      <w:r>
        <w:rPr>
          <w:rFonts w:hint="eastAsia"/>
        </w:rPr>
        <w:t>万元、邮电费2万元、工会费3</w:t>
      </w:r>
      <w:r>
        <w:t>4.8</w:t>
      </w:r>
      <w:r>
        <w:rPr>
          <w:rFonts w:hint="eastAsia"/>
        </w:rPr>
        <w:t>万元、</w:t>
      </w:r>
      <w:r>
        <w:rPr>
          <w:rFonts w:hint="eastAsia"/>
          <w:lang w:eastAsia="zh-CN"/>
        </w:rPr>
        <w:t>在职职工</w:t>
      </w:r>
      <w:r>
        <w:rPr>
          <w:rFonts w:hint="eastAsia"/>
        </w:rPr>
        <w:t>福利费</w:t>
      </w:r>
      <w:r>
        <w:rPr>
          <w:rFonts w:hint="eastAsia"/>
          <w:lang w:val="en-US" w:eastAsia="zh-CN"/>
        </w:rPr>
        <w:t>2.</w:t>
      </w:r>
      <w:r>
        <w:rPr>
          <w:lang w:val="en-US" w:eastAsia="zh-CN"/>
        </w:rPr>
        <w:t>7</w:t>
      </w:r>
      <w:r>
        <w:rPr>
          <w:rFonts w:hint="eastAsia"/>
          <w:lang w:val="en-US" w:eastAsia="zh-CN"/>
        </w:rPr>
        <w:t>万元、离退人员福利费0.2万元、</w:t>
      </w:r>
      <w:r>
        <w:rPr>
          <w:rFonts w:hint="eastAsia"/>
        </w:rPr>
        <w:t>公务用车运行维护费5万元</w:t>
      </w:r>
      <w:r>
        <w:rPr>
          <w:rFonts w:hint="eastAsia"/>
          <w:lang w:eastAsia="zh-CN"/>
        </w:rPr>
        <w:t>、</w:t>
      </w:r>
      <w:r>
        <w:rPr>
          <w:rFonts w:hint="eastAsia"/>
        </w:rPr>
        <w:t>改革性补贴项目</w:t>
      </w:r>
      <w:r>
        <w:t>1</w:t>
      </w:r>
      <w:r>
        <w:rPr>
          <w:rFonts w:hint="eastAsia"/>
          <w:lang w:val="en-US" w:eastAsia="zh-CN"/>
        </w:rPr>
        <w:t>2</w:t>
      </w:r>
      <w:r>
        <w:rPr>
          <w:lang w:val="en-US" w:eastAsia="zh-CN"/>
        </w:rPr>
        <w:t>.5</w:t>
      </w:r>
      <w:r>
        <w:rPr>
          <w:rFonts w:hint="eastAsia"/>
        </w:rPr>
        <w:t>万元、办公用房电</w:t>
      </w:r>
      <w:r>
        <w:t>费1</w:t>
      </w:r>
      <w:r>
        <w:rPr>
          <w:rFonts w:hint="eastAsia"/>
        </w:rPr>
        <w:t>万元、网络运行维护费3.6万元、离退休干部报刊费0.1万</w:t>
      </w:r>
      <w:r>
        <w:t>元。</w:t>
      </w:r>
    </w:p>
    <w:p>
      <w:pPr>
        <w:spacing w:before="10" w:after="10" w:line="240" w:lineRule="auto"/>
        <w:ind w:firstLine="640"/>
        <w:jc w:val="left"/>
        <w:outlineLvl w:val="5"/>
      </w:pPr>
      <w:r>
        <w:rPr>
          <w:rFonts w:ascii="黑体" w:eastAsia="黑体" w:cs="黑体"/>
          <w:color w:val="000000"/>
          <w:sz w:val="32"/>
        </w:rPr>
        <w:t>四、财政拨款“三公”经费预算情况及增减变化原因</w:t>
      </w:r>
    </w:p>
    <w:p>
      <w:pPr>
        <w:adjustRightInd w:val="0"/>
        <w:snapToGrid w:val="0"/>
        <w:spacing w:line="560" w:lineRule="exact"/>
        <w:ind w:firstLine="630" w:firstLineChars="225"/>
        <w:rPr>
          <w:rFonts w:hint="eastAsia" w:eastAsia="方正仿宋_GBK"/>
          <w:sz w:val="28"/>
        </w:rPr>
      </w:pPr>
      <w:r>
        <w:rPr>
          <w:rFonts w:hint="eastAsia" w:eastAsia="方正仿宋_GBK"/>
          <w:sz w:val="28"/>
        </w:rPr>
        <w:t>202</w:t>
      </w:r>
      <w:r>
        <w:rPr>
          <w:rFonts w:eastAsia="方正仿宋_GBK"/>
          <w:sz w:val="28"/>
        </w:rPr>
        <w:t>2</w:t>
      </w:r>
      <w:r>
        <w:rPr>
          <w:rFonts w:hint="eastAsia" w:eastAsia="方正仿宋_GBK"/>
          <w:sz w:val="28"/>
        </w:rPr>
        <w:t>年，财政拨款“三公”经费预算安排8万元，</w:t>
      </w:r>
      <w:r>
        <w:rPr>
          <w:rFonts w:eastAsia="方正仿宋_GBK"/>
          <w:sz w:val="28"/>
        </w:rPr>
        <w:t>与</w:t>
      </w:r>
      <w:r>
        <w:rPr>
          <w:rFonts w:hint="eastAsia" w:eastAsia="方正仿宋_GBK"/>
          <w:sz w:val="28"/>
        </w:rPr>
        <w:t>202</w:t>
      </w:r>
      <w:r>
        <w:rPr>
          <w:rFonts w:eastAsia="方正仿宋_GBK"/>
          <w:sz w:val="28"/>
        </w:rPr>
        <w:t>1</w:t>
      </w:r>
      <w:r>
        <w:rPr>
          <w:rFonts w:hint="eastAsia" w:eastAsia="方正仿宋_GBK"/>
          <w:sz w:val="28"/>
        </w:rPr>
        <w:t>年</w:t>
      </w:r>
      <w:r>
        <w:rPr>
          <w:rFonts w:eastAsia="方正仿宋_GBK"/>
          <w:sz w:val="28"/>
        </w:rPr>
        <w:t>无增减变动</w:t>
      </w:r>
      <w:r>
        <w:rPr>
          <w:rFonts w:hint="eastAsia" w:eastAsia="方正仿宋_GBK"/>
          <w:sz w:val="28"/>
        </w:rPr>
        <w:t>。其中：</w:t>
      </w:r>
      <w:r>
        <w:rPr>
          <w:rFonts w:hint="eastAsia" w:eastAsia="方正仿宋_GBK" w:cs="Arial Unicode MS"/>
          <w:sz w:val="28"/>
          <w:lang w:bidi="ar-SA"/>
        </w:rPr>
        <w:t>①</w:t>
      </w:r>
      <w:r>
        <w:rPr>
          <w:rFonts w:hint="eastAsia" w:eastAsia="方正仿宋_GBK"/>
          <w:sz w:val="28"/>
        </w:rPr>
        <w:t>因公出国（境）费0万元，比2020年无增减变化；</w:t>
      </w:r>
      <w:r>
        <w:rPr>
          <w:rFonts w:hint="eastAsia" w:eastAsia="方正仿宋_GBK" w:cs="Arial Unicode MS"/>
          <w:sz w:val="28"/>
          <w:lang w:bidi="ar-SA"/>
        </w:rPr>
        <w:t>②</w:t>
      </w:r>
      <w:r>
        <w:rPr>
          <w:rFonts w:hint="eastAsia" w:eastAsia="方正仿宋_GBK"/>
          <w:sz w:val="28"/>
        </w:rPr>
        <w:t>公务用车购置及运行费8万元，其中：公务用车购置费为0万元，比202</w:t>
      </w:r>
      <w:r>
        <w:rPr>
          <w:rFonts w:eastAsia="方正仿宋_GBK"/>
          <w:sz w:val="28"/>
        </w:rPr>
        <w:t>1</w:t>
      </w:r>
      <w:r>
        <w:rPr>
          <w:rFonts w:hint="eastAsia" w:eastAsia="方正仿宋_GBK"/>
          <w:sz w:val="28"/>
        </w:rPr>
        <w:t>年无增减变化；公务用车运行费8万元，比202</w:t>
      </w:r>
      <w:r>
        <w:rPr>
          <w:rFonts w:eastAsia="方正仿宋_GBK"/>
          <w:sz w:val="28"/>
        </w:rPr>
        <w:t>1</w:t>
      </w:r>
      <w:r>
        <w:rPr>
          <w:rFonts w:hint="eastAsia" w:eastAsia="方正仿宋_GBK"/>
          <w:sz w:val="28"/>
        </w:rPr>
        <w:t>年</w:t>
      </w:r>
      <w:r>
        <w:rPr>
          <w:rFonts w:eastAsia="方正仿宋_GBK"/>
          <w:sz w:val="28"/>
        </w:rPr>
        <w:t>无增减变动</w:t>
      </w:r>
      <w:r>
        <w:rPr>
          <w:rFonts w:hint="eastAsia" w:eastAsia="方正仿宋_GBK"/>
          <w:sz w:val="28"/>
        </w:rPr>
        <w:t>；</w:t>
      </w:r>
      <w:r>
        <w:rPr>
          <w:rFonts w:hint="eastAsia" w:eastAsia="方正仿宋_GBK" w:cs="Arial Unicode MS"/>
          <w:sz w:val="28"/>
          <w:lang w:bidi="ar-SA"/>
        </w:rPr>
        <w:t>③</w:t>
      </w:r>
      <w:r>
        <w:rPr>
          <w:rFonts w:hint="eastAsia" w:eastAsia="方正仿宋_GBK"/>
          <w:sz w:val="28"/>
        </w:rPr>
        <w:t>公务接待费0万元，比202</w:t>
      </w:r>
      <w:r>
        <w:rPr>
          <w:rFonts w:eastAsia="方正仿宋_GBK"/>
          <w:sz w:val="28"/>
        </w:rPr>
        <w:t>1</w:t>
      </w:r>
      <w:r>
        <w:rPr>
          <w:rFonts w:hint="eastAsia" w:eastAsia="方正仿宋_GBK"/>
          <w:sz w:val="28"/>
        </w:rPr>
        <w:t>年</w:t>
      </w:r>
      <w:r>
        <w:rPr>
          <w:rFonts w:eastAsia="方正仿宋_GBK"/>
          <w:sz w:val="28"/>
        </w:rPr>
        <w:t>无增减变动</w:t>
      </w:r>
      <w:r>
        <w:rPr>
          <w:rFonts w:hint="eastAsia" w:eastAsia="方正仿宋_GBK"/>
          <w:sz w:val="28"/>
        </w:rPr>
        <w:t>。</w:t>
      </w:r>
    </w:p>
    <w:p>
      <w:pPr>
        <w:spacing w:before="10" w:after="10" w:line="360" w:lineRule="auto"/>
        <w:ind w:firstLine="640"/>
        <w:jc w:val="left"/>
        <w:outlineLvl w:val="2"/>
      </w:pPr>
      <w:r>
        <w:rPr>
          <w:rFonts w:ascii="黑体" w:eastAsia="黑体" w:cs="黑体"/>
          <w:color w:val="000000"/>
          <w:sz w:val="32"/>
        </w:rPr>
        <w:t>五、预算绩效信息</w:t>
      </w:r>
    </w:p>
    <w:p>
      <w:pPr>
        <w:spacing w:before="0" w:after="0" w:line="240" w:lineRule="auto"/>
        <w:ind w:firstLine="640"/>
        <w:jc w:val="left"/>
        <w:outlineLvl w:val="9"/>
      </w:pPr>
      <w:r>
        <w:rPr>
          <w:rFonts w:asci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　　坚持以习近平新时代中国特色社会主义思想为指导，深入贯彻落实习近平总书记对人民信访工作的指示批示精神，全面对标对表党中央和省、市、区委信访工作部署要求，着力完善制度机制、解决突出问题、优化职能责任，不断开创新时代信访工作新局面。</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 xml:space="preserve">（一）及时办理、转送、交办信访事项。      </w:t>
      </w:r>
    </w:p>
    <w:p>
      <w:pPr>
        <w:pStyle w:val="23"/>
      </w:pPr>
      <w:r>
        <w:t>绩效目标：及时办理、转送、交办信访事项，及时答复信访人。拓宽信访渠道，及时发现解决问题实现信访人息诉罢访。为区领导科学决策提供参考依据。</w:t>
      </w:r>
    </w:p>
    <w:p>
      <w:pPr>
        <w:pStyle w:val="23"/>
      </w:pPr>
      <w:r>
        <w:t>绩效指标：及时受理率、按期答复率、案件结案率、群众满意率、宣传普及率、均达90%以上，综合调研率、信访息访率达80%以上。</w:t>
      </w:r>
    </w:p>
    <w:p>
      <w:pPr>
        <w:pStyle w:val="23"/>
      </w:pPr>
      <w:r>
        <w:t>(二)确保信访工作各项业务顺利开展。</w:t>
      </w:r>
    </w:p>
    <w:p>
      <w:pPr>
        <w:pStyle w:val="23"/>
      </w:pPr>
      <w:r>
        <w:t>绩效目标：为全区信访工作正常开展服务，提供后勤保障。</w:t>
      </w:r>
    </w:p>
    <w:p>
      <w:pPr>
        <w:pStyle w:val="23"/>
      </w:pPr>
      <w:r>
        <w:t>绩效指标：开展2次信访业务培训，报送人民建议2篇以上，综合事务业务保障率、事务性工作完成率、群众满意率均达90%以上。</w:t>
      </w:r>
    </w:p>
    <w:p>
      <w:pPr>
        <w:pStyle w:val="23"/>
      </w:pPr>
      <w:r>
        <w:t>（三）有效化解不稳定隐患、维护社会稳定。</w:t>
      </w:r>
    </w:p>
    <w:p>
      <w:pPr>
        <w:pStyle w:val="23"/>
      </w:pPr>
      <w:r>
        <w:t>绩效目标:预防减少不稳定因素的发生，有效化解不稳定隐患、群体性事件和突发事件，维护全区社会稳定。</w:t>
      </w:r>
    </w:p>
    <w:p>
      <w:pPr>
        <w:pStyle w:val="23"/>
      </w:pPr>
      <w:r>
        <w:t>绩效指标:不稳定群体或人员台账建账率、不稳定群体或人员排查率、不稳定群体或人员受理、安保活动圆满完成率均达90%以上。</w:t>
      </w:r>
    </w:p>
    <w:p>
      <w:pPr>
        <w:pStyle w:val="23"/>
      </w:pPr>
      <w:r>
        <w:t>（四）反映社情民意，解决群众问题。</w:t>
      </w:r>
    </w:p>
    <w:p>
      <w:pPr>
        <w:pStyle w:val="23"/>
      </w:pPr>
      <w:r>
        <w:t>绩效目标：及时发现问题解决问题，把问题解决在县级以下，减少群众越级访，维护全区和谐稳定。</w:t>
      </w:r>
    </w:p>
    <w:p>
      <w:pPr>
        <w:pStyle w:val="23"/>
      </w:pPr>
      <w:r>
        <w:t>绩效指标:矛盾纠纷化解率、群众满意率、矛盾纠纷依法转处率、矛盾纠纷排查率均达90%以上，矛盾纠纷息访率达80%以上。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w:t>
      </w:r>
    </w:p>
    <w:p>
      <w:pPr>
        <w:pStyle w:val="24"/>
      </w:pPr>
      <w:r>
        <w:t>紧紧围绕区委、区政府工作重点和上级信访部门的工作部署和要求，进一步理清工作思路，加强信访工作管理的各项规章制度的体系建设，制定完善预算绩效管理制度、资金管理办法、工作保障制度等，为全年预算绩效目标的实现奠定制度基础，确保规范有序地完成2022年信访工作目标。</w:t>
      </w:r>
    </w:p>
    <w:p>
      <w:pPr>
        <w:pStyle w:val="24"/>
      </w:pPr>
      <w:r>
        <w:t>（二）加强支出管理</w:t>
      </w:r>
    </w:p>
    <w:p>
      <w:pPr>
        <w:pStyle w:val="24"/>
      </w:pPr>
      <w:r>
        <w:t>通过优化支出结构、编细编实预算、加快履行政府采购手续、尽快启动项目、及时支付资金、6月底前细化代编预算、按规定及时下达资金等多种措施，确保支出进度达标。</w:t>
      </w:r>
    </w:p>
    <w:p>
      <w:pPr>
        <w:pStyle w:val="24"/>
      </w:pPr>
      <w:r>
        <w:t>（三）加强绩效运行监控</w:t>
      </w:r>
    </w:p>
    <w:p>
      <w:pPr>
        <w:pStyle w:val="24"/>
      </w:pPr>
      <w:r>
        <w:t>按要求开展绩效运行监控，发现问题及时采取措施，确保绩效目标如期保质实现。</w:t>
      </w:r>
    </w:p>
    <w:p>
      <w:pPr>
        <w:pStyle w:val="24"/>
      </w:pPr>
      <w:r>
        <w:t>（四）做好绩效自评</w:t>
      </w:r>
    </w:p>
    <w:p>
      <w:pPr>
        <w:pStyle w:val="24"/>
      </w:pPr>
      <w:r>
        <w:t>按要求开展上年度部门预算绩效自评和重点评价工作，对评价中发现的问题及时整改，调整优化支出结构，提高财政资金使用效益。</w:t>
      </w:r>
    </w:p>
    <w:p>
      <w:pPr>
        <w:pStyle w:val="24"/>
      </w:pPr>
      <w:r>
        <w:t>（五）规范财务资产管理</w:t>
      </w:r>
    </w:p>
    <w:p>
      <w:pPr>
        <w:pStyle w:val="24"/>
      </w:pPr>
      <w:r>
        <w:t>完善财务管理制度，严格审批程序，加强固定资产登记、使用和报废处置管理，做到支出合理，物尽其用。</w:t>
      </w:r>
    </w:p>
    <w:p>
      <w:pPr>
        <w:pStyle w:val="24"/>
      </w:pPr>
      <w:r>
        <w:t>（六）加强内部监督</w:t>
      </w:r>
    </w:p>
    <w:p>
      <w:pPr>
        <w:pStyle w:val="24"/>
      </w:pPr>
      <w:r>
        <w:t>加强内部监督制度建设，对绩效运行情况、重大支出决策、资产处置及其他重要经济业务事项的决策和执行进行督导，对会计资料进行内部审计，并配合做好审计、财政监督等外部监督工作，确保财政资金安全有效。</w:t>
      </w:r>
    </w:p>
    <w:p>
      <w:pPr>
        <w:pStyle w:val="24"/>
      </w:pPr>
      <w:r>
        <w:t>（七）开展“四项”行动，强化问题解决。着力在化解信访矛盾“减存控增”上下功夫，坚持问题导向，牢牢盯住尚未化解的“钉子案”“骨头案”，牢牢盯住再次信访的重复事项，集中资源力量，加强分析研究，推动事心双解，防止问题积累。</w:t>
      </w:r>
    </w:p>
    <w:p>
      <w:pPr>
        <w:pStyle w:val="24"/>
      </w:pPr>
      <w:r>
        <w:t xml:space="preserve">（八）加强“三个”建设，夯实基层基础。学习借鉴新时代“枫桥经验”，加强和改进信访工作基层基础，推进关口前移、重心下移，提高乡村两级预防和处理信访问题的能力，实现“小事不出村、大事不出乡、矛盾不上交”。   </w:t>
      </w:r>
    </w:p>
    <w:p>
      <w:pPr>
        <w:pStyle w:val="24"/>
      </w:pPr>
      <w:r>
        <w:t>（九）加强宣传培训调研等。认真贯彻实施《信访条例》，认真组织开展《信访条例》宣传月活动，对信访干部进行理论讲解和业务实践操作；加强调研，提出优化财政资金配置、提高资金使用效益的意见和建议；加大宣传力度，强化预算绩效管理意识，促进预算绩效管理水平进一步提升。</w:t>
      </w:r>
    </w:p>
    <w:p>
      <w:pPr>
        <w:pStyle w:val="24"/>
      </w:pPr>
    </w:p>
    <w:p>
      <w:pPr>
        <w:spacing w:before="0" w:after="0" w:line="240" w:lineRule="auto"/>
        <w:ind w:firstLine="640"/>
        <w:jc w:val="left"/>
        <w:outlineLvl w:val="9"/>
        <w:rPr>
          <w:rFonts w:ascii="方正楷体_GBK" w:eastAsia="方正楷体_GBK" w:cs="方正楷体_GBK"/>
          <w:b/>
          <w:color w:val="000000"/>
          <w:sz w:val="32"/>
        </w:rPr>
      </w:pPr>
      <w:r>
        <w:rPr>
          <w:rFonts w:ascii="方正楷体_GBK" w:eastAsia="方正楷体_GBK" w:cs="方正楷体_GBK"/>
          <w:b/>
          <w:color w:val="000000"/>
          <w:sz w:val="32"/>
        </w:rPr>
        <w:t>第二部分  专项资金绩效目标</w:t>
      </w:r>
    </w:p>
    <w:p>
      <w:pPr>
        <w:spacing w:before="10" w:after="10" w:line="240" w:lineRule="auto"/>
        <w:ind w:firstLine="640"/>
        <w:jc w:val="left"/>
        <w:outlineLvl w:val="5"/>
        <w:rPr>
          <w:rFonts w:hint="eastAsia" w:eastAsia="方正仿宋_GBK"/>
          <w:sz w:val="28"/>
          <w:highlight w:val="none"/>
          <w:lang w:val="en-US" w:eastAsia="zh-CN"/>
        </w:rPr>
      </w:pPr>
      <w:r>
        <w:rPr>
          <w:rFonts w:hint="eastAsia" w:eastAsia="方正仿宋_GBK"/>
          <w:sz w:val="28"/>
          <w:highlight w:val="none"/>
          <w:lang w:val="en-US" w:eastAsia="zh-CN"/>
        </w:rPr>
        <w:t xml:space="preserve"> 我部门202</w:t>
      </w:r>
      <w:r>
        <w:rPr>
          <w:rFonts w:eastAsia="方正仿宋_GBK"/>
          <w:sz w:val="28"/>
          <w:highlight w:val="none"/>
          <w:lang w:val="en-US" w:eastAsia="zh-CN"/>
        </w:rPr>
        <w:t>2</w:t>
      </w:r>
      <w:r>
        <w:rPr>
          <w:rFonts w:hint="eastAsia" w:eastAsia="方正仿宋_GBK"/>
          <w:sz w:val="28"/>
          <w:highlight w:val="none"/>
          <w:lang w:val="en-US" w:eastAsia="zh-CN"/>
        </w:rPr>
        <w:t>年未安排专项资金</w:t>
      </w:r>
    </w:p>
    <w:p>
      <w:pPr>
        <w:spacing w:before="10" w:after="10" w:line="240" w:lineRule="auto"/>
        <w:ind w:firstLine="640"/>
        <w:jc w:val="left"/>
        <w:outlineLvl w:val="5"/>
        <w:rPr>
          <w:rFonts w:hint="eastAsia" w:eastAsia="方正仿宋_GBK"/>
          <w:sz w:val="28"/>
          <w:highlight w:val="none"/>
          <w:lang w:val="en-US" w:eastAsia="zh-CN"/>
        </w:rPr>
      </w:pPr>
      <w:r>
        <w:rPr>
          <w:rFonts w:ascii="方正楷体_GBK" w:eastAsia="方正楷体_GBK" w:cs="方正楷体_GBK"/>
          <w:b/>
          <w:color w:val="000000"/>
          <w:sz w:val="32"/>
        </w:rPr>
        <w:t>第三部分  预算项目绩效目标</w:t>
      </w:r>
    </w:p>
    <w:p>
      <w:pPr>
        <w:pStyle w:val="25"/>
        <w:spacing w:before="0" w:after="0"/>
        <w:ind w:firstLine="560"/>
        <w:jc w:val="left"/>
        <w:outlineLvl w:val="9"/>
      </w:pPr>
      <w:r>
        <w:rPr>
          <w:rFonts w:ascii="方正仿宋_GBK" w:eastAsia="方正仿宋_GBK" w:cs="方正仿宋_GBK"/>
          <w:b/>
          <w:color w:val="000000"/>
          <w:sz w:val="28"/>
        </w:rPr>
        <w:t>1、解决特殊疑难信访问题专项资金绩效目标表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6"/>
            </w:pPr>
            <w:r>
              <w:t>绩效目标</w:t>
            </w:r>
          </w:p>
        </w:tc>
        <w:tc>
          <w:tcPr>
            <w:tcW w:w="12756" w:type="dxa"/>
            <w:tcBorders>
              <w:bottom w:val="single" w:color="FFFFFF" w:sz="6" w:space="0"/>
            </w:tcBorders>
            <w:vAlign w:val="center"/>
          </w:tcPr>
          <w:p>
            <w:pPr>
              <w:pStyle w:val="27"/>
            </w:pPr>
            <w:r>
              <w:t>1.2022年投入100万元，对找不到解决主体、积累时间久远，难以化解和解决的“无头案、钉子案、骨头案”特殊疑难信访个案实现息诉罢访，对生活困难无其他救济渠道的信访人，帮助解决困难。</w:t>
            </w:r>
          </w:p>
        </w:tc>
      </w:tr>
    </w:tbl>
    <w:p>
      <w:pPr>
        <w:pStyle w:val="25"/>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6"/>
            </w:pPr>
            <w:r>
              <w:t>一级指标</w:t>
            </w:r>
          </w:p>
        </w:tc>
        <w:tc>
          <w:tcPr>
            <w:tcW w:w="2268" w:type="dxa"/>
            <w:vAlign w:val="center"/>
          </w:tcPr>
          <w:p>
            <w:pPr>
              <w:pStyle w:val="26"/>
            </w:pPr>
            <w:r>
              <w:t>二级指标</w:t>
            </w:r>
          </w:p>
        </w:tc>
        <w:tc>
          <w:tcPr>
            <w:tcW w:w="2835" w:type="dxa"/>
            <w:vAlign w:val="center"/>
          </w:tcPr>
          <w:p>
            <w:pPr>
              <w:pStyle w:val="26"/>
            </w:pPr>
            <w:r>
              <w:t>三级指标</w:t>
            </w:r>
          </w:p>
        </w:tc>
        <w:tc>
          <w:tcPr>
            <w:tcW w:w="2835" w:type="dxa"/>
            <w:vAlign w:val="center"/>
          </w:tcPr>
          <w:p>
            <w:pPr>
              <w:pStyle w:val="26"/>
            </w:pPr>
            <w:r>
              <w:t>绩效指标描述</w:t>
            </w:r>
          </w:p>
        </w:tc>
        <w:tc>
          <w:tcPr>
            <w:tcW w:w="2551" w:type="dxa"/>
            <w:vAlign w:val="center"/>
          </w:tcPr>
          <w:p>
            <w:pPr>
              <w:pStyle w:val="26"/>
            </w:pPr>
            <w:r>
              <w:t>指标值</w:t>
            </w:r>
          </w:p>
        </w:tc>
        <w:tc>
          <w:tcPr>
            <w:tcW w:w="2268"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7"/>
            </w:pPr>
            <w:r>
              <w:t>数量指标</w:t>
            </w:r>
          </w:p>
        </w:tc>
        <w:tc>
          <w:tcPr>
            <w:tcW w:w="2835" w:type="dxa"/>
            <w:vAlign w:val="center"/>
          </w:tcPr>
          <w:p>
            <w:pPr>
              <w:pStyle w:val="27"/>
            </w:pPr>
            <w:r>
              <w:t>政策知晓率</w:t>
            </w:r>
          </w:p>
        </w:tc>
        <w:tc>
          <w:tcPr>
            <w:tcW w:w="2835" w:type="dxa"/>
            <w:vAlign w:val="center"/>
          </w:tcPr>
          <w:p>
            <w:pPr>
              <w:pStyle w:val="27"/>
            </w:pPr>
            <w:r>
              <w:t>信访疑难案件补助资金群众知晓比例</w:t>
            </w:r>
          </w:p>
        </w:tc>
        <w:tc>
          <w:tcPr>
            <w:tcW w:w="2551" w:type="dxa"/>
            <w:vAlign w:val="center"/>
          </w:tcPr>
          <w:p>
            <w:pPr>
              <w:pStyle w:val="27"/>
            </w:pPr>
            <w:r>
              <w:t>≥80%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时效指标</w:t>
            </w:r>
          </w:p>
        </w:tc>
        <w:tc>
          <w:tcPr>
            <w:tcW w:w="2835" w:type="dxa"/>
            <w:vAlign w:val="center"/>
          </w:tcPr>
          <w:p>
            <w:pPr>
              <w:pStyle w:val="27"/>
            </w:pPr>
            <w:r>
              <w:t>按期答复率</w:t>
            </w:r>
          </w:p>
        </w:tc>
        <w:tc>
          <w:tcPr>
            <w:tcW w:w="2835" w:type="dxa"/>
            <w:vAlign w:val="center"/>
          </w:tcPr>
          <w:p>
            <w:pPr>
              <w:pStyle w:val="27"/>
            </w:pPr>
            <w:r>
              <w:t>按期答复的比例</w:t>
            </w:r>
          </w:p>
        </w:tc>
        <w:tc>
          <w:tcPr>
            <w:tcW w:w="2551" w:type="dxa"/>
            <w:vAlign w:val="center"/>
          </w:tcPr>
          <w:p>
            <w:pPr>
              <w:pStyle w:val="27"/>
            </w:pPr>
            <w:r>
              <w:t>≥90%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质量指标</w:t>
            </w:r>
          </w:p>
        </w:tc>
        <w:tc>
          <w:tcPr>
            <w:tcW w:w="2835" w:type="dxa"/>
            <w:vAlign w:val="center"/>
          </w:tcPr>
          <w:p>
            <w:pPr>
              <w:pStyle w:val="27"/>
            </w:pPr>
            <w:r>
              <w:t>及时受理率</w:t>
            </w:r>
          </w:p>
        </w:tc>
        <w:tc>
          <w:tcPr>
            <w:tcW w:w="2835" w:type="dxa"/>
            <w:vAlign w:val="center"/>
          </w:tcPr>
          <w:p>
            <w:pPr>
              <w:pStyle w:val="27"/>
            </w:pPr>
            <w:r>
              <w:t>及时受理案件比例</w:t>
            </w:r>
          </w:p>
        </w:tc>
        <w:tc>
          <w:tcPr>
            <w:tcW w:w="2551" w:type="dxa"/>
            <w:vAlign w:val="center"/>
          </w:tcPr>
          <w:p>
            <w:pPr>
              <w:pStyle w:val="27"/>
            </w:pPr>
            <w:r>
              <w:t>≥90%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成本指标</w:t>
            </w:r>
          </w:p>
        </w:tc>
        <w:tc>
          <w:tcPr>
            <w:tcW w:w="2835" w:type="dxa"/>
            <w:vAlign w:val="center"/>
          </w:tcPr>
          <w:p>
            <w:pPr>
              <w:pStyle w:val="27"/>
            </w:pPr>
            <w:r>
              <w:t>补助资金发放率</w:t>
            </w:r>
          </w:p>
        </w:tc>
        <w:tc>
          <w:tcPr>
            <w:tcW w:w="2835" w:type="dxa"/>
            <w:vAlign w:val="center"/>
          </w:tcPr>
          <w:p>
            <w:pPr>
              <w:pStyle w:val="27"/>
            </w:pPr>
            <w:r>
              <w:t>发放补助资金的比例</w:t>
            </w:r>
          </w:p>
        </w:tc>
        <w:tc>
          <w:tcPr>
            <w:tcW w:w="2551" w:type="dxa"/>
            <w:vAlign w:val="center"/>
          </w:tcPr>
          <w:p>
            <w:pPr>
              <w:pStyle w:val="27"/>
            </w:pPr>
            <w:r>
              <w:t>≥90%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1417" w:type="dxa"/>
            <w:vMerge w:val="restart"/>
            <w:vAlign w:val="center"/>
          </w:tcPr>
          <w:p>
            <w:pPr>
              <w:pStyle w:val="28"/>
            </w:pPr>
            <w:r>
              <w:t>效益指标</w:t>
            </w:r>
          </w:p>
        </w:tc>
        <w:tc>
          <w:tcPr>
            <w:tcW w:w="2268" w:type="dxa"/>
            <w:vAlign w:val="center"/>
          </w:tcPr>
          <w:p>
            <w:pPr>
              <w:pStyle w:val="27"/>
            </w:pPr>
            <w:r>
              <w:t>社会效益指标</w:t>
            </w:r>
          </w:p>
        </w:tc>
        <w:tc>
          <w:tcPr>
            <w:tcW w:w="2835" w:type="dxa"/>
            <w:vAlign w:val="center"/>
          </w:tcPr>
          <w:p>
            <w:pPr>
              <w:pStyle w:val="27"/>
            </w:pPr>
            <w:r>
              <w:t>信访救助率</w:t>
            </w:r>
          </w:p>
        </w:tc>
        <w:tc>
          <w:tcPr>
            <w:tcW w:w="2835" w:type="dxa"/>
            <w:vAlign w:val="center"/>
          </w:tcPr>
          <w:p>
            <w:pPr>
              <w:pStyle w:val="27"/>
            </w:pPr>
            <w:r>
              <w:t>已救助人数占应救助人数的比率</w:t>
            </w:r>
          </w:p>
        </w:tc>
        <w:tc>
          <w:tcPr>
            <w:tcW w:w="2551" w:type="dxa"/>
            <w:vAlign w:val="center"/>
          </w:tcPr>
          <w:p>
            <w:pPr>
              <w:pStyle w:val="27"/>
            </w:pPr>
            <w:r>
              <w:t>≥90%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社会效益指标</w:t>
            </w:r>
          </w:p>
        </w:tc>
        <w:tc>
          <w:tcPr>
            <w:tcW w:w="2835" w:type="dxa"/>
            <w:vAlign w:val="center"/>
          </w:tcPr>
          <w:p>
            <w:pPr>
              <w:pStyle w:val="27"/>
            </w:pPr>
            <w:r>
              <w:t>信访息访率</w:t>
            </w:r>
          </w:p>
        </w:tc>
        <w:tc>
          <w:tcPr>
            <w:tcW w:w="2835" w:type="dxa"/>
            <w:vAlign w:val="center"/>
          </w:tcPr>
          <w:p>
            <w:pPr>
              <w:pStyle w:val="27"/>
            </w:pPr>
            <w:r>
              <w:t>所救济信访人的息诉罢访数量与总救济信访人数量的比率</w:t>
            </w:r>
          </w:p>
        </w:tc>
        <w:tc>
          <w:tcPr>
            <w:tcW w:w="2551" w:type="dxa"/>
            <w:vAlign w:val="center"/>
          </w:tcPr>
          <w:p>
            <w:pPr>
              <w:pStyle w:val="27"/>
            </w:pPr>
            <w:r>
              <w:t>≥90%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群众对此项工作开展效果的满意度</w:t>
            </w:r>
          </w:p>
        </w:tc>
        <w:tc>
          <w:tcPr>
            <w:tcW w:w="2551" w:type="dxa"/>
            <w:vAlign w:val="center"/>
          </w:tcPr>
          <w:p>
            <w:pPr>
              <w:pStyle w:val="27"/>
            </w:pPr>
            <w:r>
              <w:t>≥80%</w:t>
            </w:r>
          </w:p>
        </w:tc>
        <w:tc>
          <w:tcPr>
            <w:tcW w:w="2268" w:type="dxa"/>
            <w:vAlign w:val="center"/>
          </w:tcPr>
          <w:p>
            <w:pPr>
              <w:pStyle w:val="27"/>
            </w:pPr>
            <w:r>
              <w:t>工作预计测算</w:t>
            </w:r>
          </w:p>
        </w:tc>
      </w:tr>
    </w:tbl>
    <w:p>
      <w:pPr>
        <w:pStyle w:val="25"/>
      </w:pPr>
    </w:p>
    <w:p>
      <w:pPr>
        <w:pStyle w:val="25"/>
        <w:spacing w:before="0" w:after="0"/>
        <w:ind w:firstLine="560"/>
        <w:jc w:val="left"/>
        <w:outlineLvl w:val="9"/>
      </w:pPr>
      <w:r>
        <w:rPr>
          <w:rFonts w:ascii="方正仿宋_GBK" w:eastAsia="方正仿宋_GBK" w:cs="方正仿宋_GBK"/>
          <w:b/>
          <w:color w:val="000000"/>
          <w:sz w:val="28"/>
        </w:rPr>
        <w:t>2、区社会治理综合服务中心改造经费(以前年度）绩效目标表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6"/>
            </w:pPr>
            <w:r>
              <w:t>绩效目标</w:t>
            </w:r>
          </w:p>
        </w:tc>
        <w:tc>
          <w:tcPr>
            <w:tcW w:w="12756" w:type="dxa"/>
            <w:tcBorders>
              <w:bottom w:val="single" w:color="FFFFFF" w:sz="6" w:space="0"/>
            </w:tcBorders>
            <w:vAlign w:val="center"/>
          </w:tcPr>
          <w:p>
            <w:pPr>
              <w:pStyle w:val="27"/>
            </w:pPr>
            <w:r>
              <w:t>1. 2022年申请区社会治理综合服务中心改造经费41.3万元,主要用于办公区域修缮，保证机关工作的正常运转。</w:t>
            </w:r>
          </w:p>
        </w:tc>
      </w:tr>
    </w:tbl>
    <w:p>
      <w:pPr>
        <w:pStyle w:val="25"/>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6"/>
            </w:pPr>
            <w:r>
              <w:t>一级指标</w:t>
            </w:r>
          </w:p>
        </w:tc>
        <w:tc>
          <w:tcPr>
            <w:tcW w:w="2268" w:type="dxa"/>
            <w:vAlign w:val="center"/>
          </w:tcPr>
          <w:p>
            <w:pPr>
              <w:pStyle w:val="26"/>
            </w:pPr>
            <w:r>
              <w:t>二级指标</w:t>
            </w:r>
          </w:p>
        </w:tc>
        <w:tc>
          <w:tcPr>
            <w:tcW w:w="2835" w:type="dxa"/>
            <w:vAlign w:val="center"/>
          </w:tcPr>
          <w:p>
            <w:pPr>
              <w:pStyle w:val="26"/>
            </w:pPr>
            <w:r>
              <w:t>三级指标</w:t>
            </w:r>
          </w:p>
        </w:tc>
        <w:tc>
          <w:tcPr>
            <w:tcW w:w="2835" w:type="dxa"/>
            <w:vAlign w:val="center"/>
          </w:tcPr>
          <w:p>
            <w:pPr>
              <w:pStyle w:val="26"/>
            </w:pPr>
            <w:r>
              <w:t>绩效指标描述</w:t>
            </w:r>
          </w:p>
        </w:tc>
        <w:tc>
          <w:tcPr>
            <w:tcW w:w="2551" w:type="dxa"/>
            <w:vAlign w:val="center"/>
          </w:tcPr>
          <w:p>
            <w:pPr>
              <w:pStyle w:val="26"/>
            </w:pPr>
            <w:r>
              <w:t>指标值</w:t>
            </w:r>
          </w:p>
        </w:tc>
        <w:tc>
          <w:tcPr>
            <w:tcW w:w="2268"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7"/>
            </w:pPr>
            <w:r>
              <w:t>数量指标</w:t>
            </w:r>
          </w:p>
        </w:tc>
        <w:tc>
          <w:tcPr>
            <w:tcW w:w="2835" w:type="dxa"/>
            <w:vAlign w:val="center"/>
          </w:tcPr>
          <w:p>
            <w:pPr>
              <w:pStyle w:val="27"/>
            </w:pPr>
            <w:r>
              <w:t>受益人数</w:t>
            </w:r>
          </w:p>
        </w:tc>
        <w:tc>
          <w:tcPr>
            <w:tcW w:w="2835" w:type="dxa"/>
            <w:vAlign w:val="center"/>
          </w:tcPr>
          <w:p>
            <w:pPr>
              <w:pStyle w:val="27"/>
            </w:pPr>
            <w:r>
              <w:t>项目改造后实际受益的人数</w:t>
            </w:r>
          </w:p>
        </w:tc>
        <w:tc>
          <w:tcPr>
            <w:tcW w:w="2551" w:type="dxa"/>
            <w:vAlign w:val="center"/>
          </w:tcPr>
          <w:p>
            <w:pPr>
              <w:pStyle w:val="27"/>
            </w:pPr>
            <w:r>
              <w:t>≥50%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成本指标</w:t>
            </w:r>
          </w:p>
        </w:tc>
        <w:tc>
          <w:tcPr>
            <w:tcW w:w="2835" w:type="dxa"/>
            <w:vAlign w:val="center"/>
          </w:tcPr>
          <w:p>
            <w:pPr>
              <w:pStyle w:val="27"/>
            </w:pPr>
            <w:r>
              <w:t>项目资金预算控制率</w:t>
            </w:r>
          </w:p>
        </w:tc>
        <w:tc>
          <w:tcPr>
            <w:tcW w:w="2835" w:type="dxa"/>
            <w:vAlign w:val="center"/>
          </w:tcPr>
          <w:p>
            <w:pPr>
              <w:pStyle w:val="27"/>
            </w:pPr>
            <w:r>
              <w:t>项目实际支出占年初预算的比率</w:t>
            </w:r>
          </w:p>
        </w:tc>
        <w:tc>
          <w:tcPr>
            <w:tcW w:w="2551" w:type="dxa"/>
            <w:vAlign w:val="center"/>
          </w:tcPr>
          <w:p>
            <w:pPr>
              <w:pStyle w:val="27"/>
            </w:pPr>
            <w:r>
              <w:t>≤41.3万元</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时效指标</w:t>
            </w:r>
          </w:p>
        </w:tc>
        <w:tc>
          <w:tcPr>
            <w:tcW w:w="2835" w:type="dxa"/>
            <w:vAlign w:val="center"/>
          </w:tcPr>
          <w:p>
            <w:pPr>
              <w:pStyle w:val="27"/>
            </w:pPr>
            <w:r>
              <w:t>资金支出进度率</w:t>
            </w:r>
          </w:p>
        </w:tc>
        <w:tc>
          <w:tcPr>
            <w:tcW w:w="2835" w:type="dxa"/>
            <w:vAlign w:val="center"/>
          </w:tcPr>
          <w:p>
            <w:pPr>
              <w:pStyle w:val="27"/>
            </w:pPr>
            <w:r>
              <w:t>资金支出进度占计划进度的比率</w:t>
            </w:r>
          </w:p>
        </w:tc>
        <w:tc>
          <w:tcPr>
            <w:tcW w:w="2551" w:type="dxa"/>
            <w:vAlign w:val="center"/>
          </w:tcPr>
          <w:p>
            <w:pPr>
              <w:pStyle w:val="27"/>
            </w:pPr>
            <w:r>
              <w:t>≥90%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质量指标</w:t>
            </w:r>
          </w:p>
        </w:tc>
        <w:tc>
          <w:tcPr>
            <w:tcW w:w="2835" w:type="dxa"/>
            <w:vAlign w:val="center"/>
          </w:tcPr>
          <w:p>
            <w:pPr>
              <w:pStyle w:val="27"/>
            </w:pPr>
            <w:r>
              <w:t>项目良性运行率</w:t>
            </w:r>
          </w:p>
        </w:tc>
        <w:tc>
          <w:tcPr>
            <w:tcW w:w="2835" w:type="dxa"/>
            <w:vAlign w:val="center"/>
          </w:tcPr>
          <w:p>
            <w:pPr>
              <w:pStyle w:val="27"/>
            </w:pPr>
            <w:r>
              <w:t>项目改造后良性运行的比率</w:t>
            </w:r>
          </w:p>
        </w:tc>
        <w:tc>
          <w:tcPr>
            <w:tcW w:w="2551" w:type="dxa"/>
            <w:vAlign w:val="center"/>
          </w:tcPr>
          <w:p>
            <w:pPr>
              <w:pStyle w:val="27"/>
            </w:pPr>
            <w:r>
              <w:t>≥90%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1417" w:type="dxa"/>
            <w:vAlign w:val="center"/>
          </w:tcPr>
          <w:p>
            <w:pPr>
              <w:pStyle w:val="28"/>
            </w:pPr>
            <w:r>
              <w:t>效益指标</w:t>
            </w:r>
          </w:p>
        </w:tc>
        <w:tc>
          <w:tcPr>
            <w:tcW w:w="2268" w:type="dxa"/>
            <w:vAlign w:val="center"/>
          </w:tcPr>
          <w:p>
            <w:pPr>
              <w:pStyle w:val="27"/>
            </w:pPr>
            <w:r>
              <w:t>可持续影响指标</w:t>
            </w:r>
          </w:p>
        </w:tc>
        <w:tc>
          <w:tcPr>
            <w:tcW w:w="2835" w:type="dxa"/>
            <w:vAlign w:val="center"/>
          </w:tcPr>
          <w:p>
            <w:pPr>
              <w:pStyle w:val="27"/>
            </w:pPr>
            <w:r>
              <w:t>业务保障能力提升情况</w:t>
            </w:r>
          </w:p>
        </w:tc>
        <w:tc>
          <w:tcPr>
            <w:tcW w:w="2835" w:type="dxa"/>
            <w:vAlign w:val="center"/>
          </w:tcPr>
          <w:p>
            <w:pPr>
              <w:pStyle w:val="27"/>
            </w:pPr>
            <w:r>
              <w:t>购置对业务保障能力的提升情况</w:t>
            </w:r>
          </w:p>
        </w:tc>
        <w:tc>
          <w:tcPr>
            <w:tcW w:w="2551" w:type="dxa"/>
            <w:vAlign w:val="center"/>
          </w:tcPr>
          <w:p>
            <w:pPr>
              <w:pStyle w:val="27"/>
            </w:pPr>
            <w:r>
              <w:t>≥90%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7"/>
            </w:pPr>
            <w:r>
              <w:t>服务对象满意度指标</w:t>
            </w:r>
          </w:p>
        </w:tc>
        <w:tc>
          <w:tcPr>
            <w:tcW w:w="2835" w:type="dxa"/>
            <w:vAlign w:val="center"/>
          </w:tcPr>
          <w:p>
            <w:pPr>
              <w:pStyle w:val="27"/>
            </w:pPr>
            <w:r>
              <w:t>受益人口满意率</w:t>
            </w:r>
          </w:p>
        </w:tc>
        <w:tc>
          <w:tcPr>
            <w:tcW w:w="2835" w:type="dxa"/>
            <w:vAlign w:val="center"/>
          </w:tcPr>
          <w:p>
            <w:pPr>
              <w:pStyle w:val="27"/>
            </w:pPr>
            <w:r>
              <w:t>受益人对此项工作开展效果的满意度</w:t>
            </w:r>
          </w:p>
        </w:tc>
        <w:tc>
          <w:tcPr>
            <w:tcW w:w="2551" w:type="dxa"/>
            <w:vAlign w:val="center"/>
          </w:tcPr>
          <w:p>
            <w:pPr>
              <w:pStyle w:val="27"/>
            </w:pPr>
            <w:r>
              <w:t>≥90%</w:t>
            </w:r>
          </w:p>
        </w:tc>
        <w:tc>
          <w:tcPr>
            <w:tcW w:w="2268" w:type="dxa"/>
            <w:vAlign w:val="center"/>
          </w:tcPr>
          <w:p>
            <w:pPr>
              <w:pStyle w:val="27"/>
            </w:pPr>
            <w:r>
              <w:t>工作预计测算</w:t>
            </w:r>
          </w:p>
        </w:tc>
      </w:tr>
    </w:tbl>
    <w:p>
      <w:pPr>
        <w:pStyle w:val="25"/>
      </w:pPr>
    </w:p>
    <w:p>
      <w:pPr>
        <w:pStyle w:val="25"/>
        <w:spacing w:before="0" w:after="0"/>
        <w:ind w:firstLine="560"/>
        <w:jc w:val="left"/>
        <w:outlineLvl w:val="9"/>
      </w:pPr>
      <w:r>
        <w:rPr>
          <w:rFonts w:ascii="方正仿宋_GBK" w:eastAsia="方正仿宋_GBK" w:cs="方正仿宋_GBK"/>
          <w:b/>
          <w:color w:val="000000"/>
          <w:sz w:val="28"/>
        </w:rPr>
        <w:t>3、群众工作中心经费绩效目标表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6"/>
            </w:pPr>
            <w:r>
              <w:t>绩效目标</w:t>
            </w:r>
          </w:p>
        </w:tc>
        <w:tc>
          <w:tcPr>
            <w:tcW w:w="12756" w:type="dxa"/>
            <w:tcBorders>
              <w:bottom w:val="single" w:color="FFFFFF" w:sz="6" w:space="0"/>
            </w:tcBorders>
            <w:vAlign w:val="center"/>
          </w:tcPr>
          <w:p>
            <w:pPr>
              <w:pStyle w:val="27"/>
            </w:pPr>
            <w:r>
              <w:t>1.2022年投入13万元，确保区群众工作中心正常运转，充分发挥律师在维护群众合法权益、化解矛盾、促进社会和谐稳定中的重要作用，集中解决群众问题，把问题解决在县级以下，减少群众越级访，维护全区和谐稳定。</w:t>
            </w:r>
          </w:p>
        </w:tc>
      </w:tr>
    </w:tbl>
    <w:p>
      <w:pPr>
        <w:pStyle w:val="25"/>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6"/>
            </w:pPr>
            <w:r>
              <w:t>一级指标</w:t>
            </w:r>
          </w:p>
        </w:tc>
        <w:tc>
          <w:tcPr>
            <w:tcW w:w="2268" w:type="dxa"/>
            <w:vAlign w:val="center"/>
          </w:tcPr>
          <w:p>
            <w:pPr>
              <w:pStyle w:val="26"/>
            </w:pPr>
            <w:r>
              <w:t>二级指标</w:t>
            </w:r>
          </w:p>
        </w:tc>
        <w:tc>
          <w:tcPr>
            <w:tcW w:w="2835" w:type="dxa"/>
            <w:vAlign w:val="center"/>
          </w:tcPr>
          <w:p>
            <w:pPr>
              <w:pStyle w:val="26"/>
            </w:pPr>
            <w:r>
              <w:t>三级指标</w:t>
            </w:r>
          </w:p>
        </w:tc>
        <w:tc>
          <w:tcPr>
            <w:tcW w:w="2835" w:type="dxa"/>
            <w:vAlign w:val="center"/>
          </w:tcPr>
          <w:p>
            <w:pPr>
              <w:pStyle w:val="26"/>
            </w:pPr>
            <w:r>
              <w:t>绩效指标描述</w:t>
            </w:r>
          </w:p>
        </w:tc>
        <w:tc>
          <w:tcPr>
            <w:tcW w:w="2551" w:type="dxa"/>
            <w:vAlign w:val="center"/>
          </w:tcPr>
          <w:p>
            <w:pPr>
              <w:pStyle w:val="26"/>
            </w:pPr>
            <w:r>
              <w:t>指标值</w:t>
            </w:r>
          </w:p>
        </w:tc>
        <w:tc>
          <w:tcPr>
            <w:tcW w:w="2268"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7"/>
            </w:pPr>
            <w:r>
              <w:t>数量指标</w:t>
            </w:r>
          </w:p>
        </w:tc>
        <w:tc>
          <w:tcPr>
            <w:tcW w:w="2835" w:type="dxa"/>
            <w:vAlign w:val="center"/>
          </w:tcPr>
          <w:p>
            <w:pPr>
              <w:pStyle w:val="27"/>
            </w:pPr>
            <w:r>
              <w:t>矛盾纠纷排查率</w:t>
            </w:r>
          </w:p>
        </w:tc>
        <w:tc>
          <w:tcPr>
            <w:tcW w:w="2835" w:type="dxa"/>
            <w:vAlign w:val="center"/>
          </w:tcPr>
          <w:p>
            <w:pPr>
              <w:pStyle w:val="27"/>
            </w:pPr>
            <w:r>
              <w:t>矛盾纠纷排查数量与矛盾纠纷总量的比率</w:t>
            </w:r>
          </w:p>
        </w:tc>
        <w:tc>
          <w:tcPr>
            <w:tcW w:w="2551" w:type="dxa"/>
            <w:vAlign w:val="center"/>
          </w:tcPr>
          <w:p>
            <w:pPr>
              <w:pStyle w:val="27"/>
            </w:pPr>
            <w:r>
              <w:t>≥80%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质量指标</w:t>
            </w:r>
          </w:p>
        </w:tc>
        <w:tc>
          <w:tcPr>
            <w:tcW w:w="2835" w:type="dxa"/>
            <w:vAlign w:val="center"/>
          </w:tcPr>
          <w:p>
            <w:pPr>
              <w:pStyle w:val="27"/>
            </w:pPr>
            <w:r>
              <w:t>矛盾纠纷依法转处率</w:t>
            </w:r>
          </w:p>
        </w:tc>
        <w:tc>
          <w:tcPr>
            <w:tcW w:w="2835" w:type="dxa"/>
            <w:vAlign w:val="center"/>
          </w:tcPr>
          <w:p>
            <w:pPr>
              <w:pStyle w:val="27"/>
            </w:pPr>
            <w:r>
              <w:t>转处矛盾纠纷的比例</w:t>
            </w:r>
          </w:p>
        </w:tc>
        <w:tc>
          <w:tcPr>
            <w:tcW w:w="2551" w:type="dxa"/>
            <w:vAlign w:val="center"/>
          </w:tcPr>
          <w:p>
            <w:pPr>
              <w:pStyle w:val="27"/>
            </w:pPr>
            <w:r>
              <w:t>≥80%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时效指标</w:t>
            </w:r>
          </w:p>
        </w:tc>
        <w:tc>
          <w:tcPr>
            <w:tcW w:w="2835" w:type="dxa"/>
            <w:vAlign w:val="center"/>
          </w:tcPr>
          <w:p>
            <w:pPr>
              <w:pStyle w:val="27"/>
            </w:pPr>
            <w:r>
              <w:t>及时受理率</w:t>
            </w:r>
          </w:p>
        </w:tc>
        <w:tc>
          <w:tcPr>
            <w:tcW w:w="2835" w:type="dxa"/>
            <w:vAlign w:val="center"/>
          </w:tcPr>
          <w:p>
            <w:pPr>
              <w:pStyle w:val="27"/>
            </w:pPr>
            <w:r>
              <w:t>及时受理案件比例</w:t>
            </w:r>
          </w:p>
        </w:tc>
        <w:tc>
          <w:tcPr>
            <w:tcW w:w="2551" w:type="dxa"/>
            <w:vAlign w:val="center"/>
          </w:tcPr>
          <w:p>
            <w:pPr>
              <w:pStyle w:val="27"/>
            </w:pPr>
            <w:r>
              <w:t>≥80%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成本指标</w:t>
            </w:r>
          </w:p>
        </w:tc>
        <w:tc>
          <w:tcPr>
            <w:tcW w:w="2835" w:type="dxa"/>
            <w:vAlign w:val="center"/>
          </w:tcPr>
          <w:p>
            <w:pPr>
              <w:pStyle w:val="27"/>
            </w:pPr>
            <w:r>
              <w:t>资金支出进度</w:t>
            </w:r>
          </w:p>
        </w:tc>
        <w:tc>
          <w:tcPr>
            <w:tcW w:w="2835" w:type="dxa"/>
            <w:vAlign w:val="center"/>
          </w:tcPr>
          <w:p>
            <w:pPr>
              <w:pStyle w:val="27"/>
            </w:pPr>
            <w:r>
              <w:t>资金支出进度占计划进度的比率</w:t>
            </w:r>
          </w:p>
        </w:tc>
        <w:tc>
          <w:tcPr>
            <w:tcW w:w="2551" w:type="dxa"/>
            <w:vAlign w:val="center"/>
          </w:tcPr>
          <w:p>
            <w:pPr>
              <w:pStyle w:val="27"/>
            </w:pPr>
            <w:r>
              <w:t>≥80%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1417" w:type="dxa"/>
            <w:vAlign w:val="center"/>
          </w:tcPr>
          <w:p>
            <w:pPr>
              <w:pStyle w:val="28"/>
            </w:pPr>
            <w:r>
              <w:t>效益指标</w:t>
            </w:r>
          </w:p>
        </w:tc>
        <w:tc>
          <w:tcPr>
            <w:tcW w:w="2268" w:type="dxa"/>
            <w:vAlign w:val="center"/>
          </w:tcPr>
          <w:p>
            <w:pPr>
              <w:pStyle w:val="27"/>
            </w:pPr>
            <w:r>
              <w:t>社会效益指标</w:t>
            </w:r>
          </w:p>
        </w:tc>
        <w:tc>
          <w:tcPr>
            <w:tcW w:w="2835" w:type="dxa"/>
            <w:vAlign w:val="center"/>
          </w:tcPr>
          <w:p>
            <w:pPr>
              <w:pStyle w:val="27"/>
            </w:pPr>
            <w:r>
              <w:t>矛盾纠纷化解率</w:t>
            </w:r>
          </w:p>
        </w:tc>
        <w:tc>
          <w:tcPr>
            <w:tcW w:w="2835" w:type="dxa"/>
            <w:vAlign w:val="center"/>
          </w:tcPr>
          <w:p>
            <w:pPr>
              <w:pStyle w:val="27"/>
            </w:pPr>
            <w:r>
              <w:t>矛盾纠纷化解数量与矛盾纠纷总数量的比率</w:t>
            </w:r>
          </w:p>
        </w:tc>
        <w:tc>
          <w:tcPr>
            <w:tcW w:w="2551" w:type="dxa"/>
            <w:vAlign w:val="center"/>
          </w:tcPr>
          <w:p>
            <w:pPr>
              <w:pStyle w:val="27"/>
            </w:pPr>
            <w:r>
              <w:t>≥80%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群众对此项工作开展效果的满意度</w:t>
            </w:r>
          </w:p>
        </w:tc>
        <w:tc>
          <w:tcPr>
            <w:tcW w:w="2551" w:type="dxa"/>
            <w:vAlign w:val="center"/>
          </w:tcPr>
          <w:p>
            <w:pPr>
              <w:pStyle w:val="27"/>
            </w:pPr>
            <w:r>
              <w:t>≥80%</w:t>
            </w:r>
          </w:p>
        </w:tc>
        <w:tc>
          <w:tcPr>
            <w:tcW w:w="2268" w:type="dxa"/>
            <w:vAlign w:val="center"/>
          </w:tcPr>
          <w:p>
            <w:pPr>
              <w:pStyle w:val="27"/>
            </w:pPr>
            <w:r>
              <w:t>工作预计测算</w:t>
            </w:r>
          </w:p>
        </w:tc>
      </w:tr>
    </w:tbl>
    <w:p>
      <w:pPr>
        <w:pStyle w:val="25"/>
      </w:pPr>
    </w:p>
    <w:p>
      <w:pPr>
        <w:pStyle w:val="25"/>
        <w:spacing w:before="0" w:after="0"/>
        <w:ind w:firstLine="560"/>
        <w:jc w:val="left"/>
        <w:outlineLvl w:val="9"/>
      </w:pPr>
      <w:r>
        <w:rPr>
          <w:rFonts w:ascii="方正仿宋_GBK" w:eastAsia="方正仿宋_GBK" w:cs="方正仿宋_GBK"/>
          <w:b/>
          <w:color w:val="000000"/>
          <w:sz w:val="28"/>
        </w:rPr>
        <w:t>4、信访工作岗位经费(劳务费）绩效目标表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6"/>
            </w:pPr>
            <w:r>
              <w:t>绩效目标</w:t>
            </w:r>
          </w:p>
        </w:tc>
        <w:tc>
          <w:tcPr>
            <w:tcW w:w="12756" w:type="dxa"/>
            <w:tcBorders>
              <w:bottom w:val="single" w:color="FFFFFF" w:sz="6" w:space="0"/>
            </w:tcBorders>
            <w:vAlign w:val="center"/>
          </w:tcPr>
          <w:p>
            <w:pPr>
              <w:pStyle w:val="27"/>
            </w:pPr>
            <w:r>
              <w:t>1.根据我单位与劳务派遣中心签定的劳务派遣合同，我局实有劳务派遣人员16人，2022年共需工资及保险费用73万元。主要用于：发放劳务派遣人员的工资、缴纳保险等费用，保证该类人员基本福利待遇。</w:t>
            </w:r>
          </w:p>
        </w:tc>
      </w:tr>
    </w:tbl>
    <w:p>
      <w:pPr>
        <w:pStyle w:val="25"/>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6"/>
            </w:pPr>
            <w:r>
              <w:t>一级指标</w:t>
            </w:r>
          </w:p>
        </w:tc>
        <w:tc>
          <w:tcPr>
            <w:tcW w:w="2268" w:type="dxa"/>
            <w:vAlign w:val="center"/>
          </w:tcPr>
          <w:p>
            <w:pPr>
              <w:pStyle w:val="26"/>
            </w:pPr>
            <w:r>
              <w:t>二级指标</w:t>
            </w:r>
          </w:p>
        </w:tc>
        <w:tc>
          <w:tcPr>
            <w:tcW w:w="2835" w:type="dxa"/>
            <w:vAlign w:val="center"/>
          </w:tcPr>
          <w:p>
            <w:pPr>
              <w:pStyle w:val="26"/>
            </w:pPr>
            <w:r>
              <w:t>三级指标</w:t>
            </w:r>
          </w:p>
        </w:tc>
        <w:tc>
          <w:tcPr>
            <w:tcW w:w="2835" w:type="dxa"/>
            <w:vAlign w:val="center"/>
          </w:tcPr>
          <w:p>
            <w:pPr>
              <w:pStyle w:val="26"/>
            </w:pPr>
            <w:r>
              <w:t>绩效指标描述</w:t>
            </w:r>
          </w:p>
        </w:tc>
        <w:tc>
          <w:tcPr>
            <w:tcW w:w="2551" w:type="dxa"/>
            <w:vAlign w:val="center"/>
          </w:tcPr>
          <w:p>
            <w:pPr>
              <w:pStyle w:val="26"/>
            </w:pPr>
            <w:r>
              <w:t>指标值</w:t>
            </w:r>
          </w:p>
        </w:tc>
        <w:tc>
          <w:tcPr>
            <w:tcW w:w="2268"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7"/>
            </w:pPr>
            <w:r>
              <w:t>数量指标</w:t>
            </w:r>
          </w:p>
        </w:tc>
        <w:tc>
          <w:tcPr>
            <w:tcW w:w="2835" w:type="dxa"/>
            <w:vAlign w:val="center"/>
          </w:tcPr>
          <w:p>
            <w:pPr>
              <w:pStyle w:val="27"/>
            </w:pPr>
            <w:r>
              <w:t>劳务派遣人员数量</w:t>
            </w:r>
          </w:p>
        </w:tc>
        <w:tc>
          <w:tcPr>
            <w:tcW w:w="2835" w:type="dxa"/>
            <w:vAlign w:val="center"/>
          </w:tcPr>
          <w:p>
            <w:pPr>
              <w:pStyle w:val="27"/>
            </w:pPr>
            <w:r>
              <w:t>聘用的劳务派遣人数</w:t>
            </w:r>
          </w:p>
        </w:tc>
        <w:tc>
          <w:tcPr>
            <w:tcW w:w="2551" w:type="dxa"/>
            <w:vAlign w:val="center"/>
          </w:tcPr>
          <w:p>
            <w:pPr>
              <w:pStyle w:val="27"/>
            </w:pPr>
            <w:r>
              <w:t>≤16人</w:t>
            </w:r>
          </w:p>
        </w:tc>
        <w:tc>
          <w:tcPr>
            <w:tcW w:w="2268" w:type="dxa"/>
            <w:vAlign w:val="center"/>
          </w:tcPr>
          <w:p>
            <w:pPr>
              <w:pStyle w:val="27"/>
            </w:pPr>
            <w:r>
              <w:t>聘用合同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成本指标</w:t>
            </w:r>
          </w:p>
        </w:tc>
        <w:tc>
          <w:tcPr>
            <w:tcW w:w="2835" w:type="dxa"/>
            <w:vAlign w:val="center"/>
          </w:tcPr>
          <w:p>
            <w:pPr>
              <w:pStyle w:val="27"/>
            </w:pPr>
            <w:r>
              <w:t>预算资金成本</w:t>
            </w:r>
          </w:p>
        </w:tc>
        <w:tc>
          <w:tcPr>
            <w:tcW w:w="2835" w:type="dxa"/>
            <w:vAlign w:val="center"/>
          </w:tcPr>
          <w:p>
            <w:pPr>
              <w:pStyle w:val="27"/>
            </w:pPr>
            <w:r>
              <w:t>预算资金成本</w:t>
            </w:r>
          </w:p>
        </w:tc>
        <w:tc>
          <w:tcPr>
            <w:tcW w:w="2551" w:type="dxa"/>
            <w:vAlign w:val="center"/>
          </w:tcPr>
          <w:p>
            <w:pPr>
              <w:pStyle w:val="27"/>
            </w:pPr>
            <w:r>
              <w:t>≤73万元</w:t>
            </w:r>
          </w:p>
        </w:tc>
        <w:tc>
          <w:tcPr>
            <w:tcW w:w="2268" w:type="dxa"/>
            <w:vAlign w:val="center"/>
          </w:tcPr>
          <w:p>
            <w:pPr>
              <w:pStyle w:val="27"/>
            </w:pPr>
            <w:r>
              <w:t>预算资金支出情况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时效指标</w:t>
            </w:r>
          </w:p>
        </w:tc>
        <w:tc>
          <w:tcPr>
            <w:tcW w:w="2835" w:type="dxa"/>
            <w:vAlign w:val="center"/>
          </w:tcPr>
          <w:p>
            <w:pPr>
              <w:pStyle w:val="27"/>
            </w:pPr>
            <w:r>
              <w:t>工资发放及时率</w:t>
            </w:r>
          </w:p>
        </w:tc>
        <w:tc>
          <w:tcPr>
            <w:tcW w:w="2835" w:type="dxa"/>
            <w:vAlign w:val="center"/>
          </w:tcPr>
          <w:p>
            <w:pPr>
              <w:pStyle w:val="27"/>
            </w:pPr>
            <w:r>
              <w:t>工资发放的及时程度</w:t>
            </w:r>
          </w:p>
        </w:tc>
        <w:tc>
          <w:tcPr>
            <w:tcW w:w="2551" w:type="dxa"/>
            <w:vAlign w:val="center"/>
          </w:tcPr>
          <w:p>
            <w:pPr>
              <w:pStyle w:val="27"/>
            </w:pPr>
            <w:r>
              <w:t>≥90%</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质量指标</w:t>
            </w:r>
          </w:p>
        </w:tc>
        <w:tc>
          <w:tcPr>
            <w:tcW w:w="2835" w:type="dxa"/>
            <w:vAlign w:val="center"/>
          </w:tcPr>
          <w:p>
            <w:pPr>
              <w:pStyle w:val="27"/>
            </w:pPr>
            <w:r>
              <w:t>工资发放准确率</w:t>
            </w:r>
          </w:p>
        </w:tc>
        <w:tc>
          <w:tcPr>
            <w:tcW w:w="2835" w:type="dxa"/>
            <w:vAlign w:val="center"/>
          </w:tcPr>
          <w:p>
            <w:pPr>
              <w:pStyle w:val="27"/>
            </w:pPr>
            <w:r>
              <w:t>工资发放的准确程度</w:t>
            </w:r>
          </w:p>
        </w:tc>
        <w:tc>
          <w:tcPr>
            <w:tcW w:w="2551" w:type="dxa"/>
            <w:vAlign w:val="center"/>
          </w:tcPr>
          <w:p>
            <w:pPr>
              <w:pStyle w:val="27"/>
            </w:pPr>
            <w:r>
              <w:t>100%</w:t>
            </w:r>
          </w:p>
        </w:tc>
        <w:tc>
          <w:tcPr>
            <w:tcW w:w="2268" w:type="dxa"/>
            <w:vAlign w:val="center"/>
          </w:tcPr>
          <w:p>
            <w:pPr>
              <w:pStyle w:val="27"/>
            </w:pPr>
            <w:r>
              <w:t>工资发放情况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1417" w:type="dxa"/>
            <w:vMerge w:val="restart"/>
            <w:vAlign w:val="center"/>
          </w:tcPr>
          <w:p>
            <w:pPr>
              <w:pStyle w:val="28"/>
            </w:pPr>
            <w:r>
              <w:t>效益指标</w:t>
            </w:r>
          </w:p>
        </w:tc>
        <w:tc>
          <w:tcPr>
            <w:tcW w:w="2268" w:type="dxa"/>
            <w:vAlign w:val="center"/>
          </w:tcPr>
          <w:p>
            <w:pPr>
              <w:pStyle w:val="27"/>
            </w:pPr>
            <w:r>
              <w:t>社会效益指标</w:t>
            </w:r>
          </w:p>
        </w:tc>
        <w:tc>
          <w:tcPr>
            <w:tcW w:w="2835" w:type="dxa"/>
            <w:vAlign w:val="center"/>
          </w:tcPr>
          <w:p>
            <w:pPr>
              <w:pStyle w:val="27"/>
            </w:pPr>
            <w:r>
              <w:t>项目良性运行率</w:t>
            </w:r>
          </w:p>
        </w:tc>
        <w:tc>
          <w:tcPr>
            <w:tcW w:w="2835" w:type="dxa"/>
            <w:vAlign w:val="center"/>
          </w:tcPr>
          <w:p>
            <w:pPr>
              <w:pStyle w:val="27"/>
            </w:pPr>
            <w:r>
              <w:t>项目良性运行的比率</w:t>
            </w:r>
          </w:p>
        </w:tc>
        <w:tc>
          <w:tcPr>
            <w:tcW w:w="2551" w:type="dxa"/>
            <w:vAlign w:val="center"/>
          </w:tcPr>
          <w:p>
            <w:pPr>
              <w:pStyle w:val="27"/>
            </w:pPr>
            <w:r>
              <w:t>≥90%</w:t>
            </w:r>
          </w:p>
        </w:tc>
        <w:tc>
          <w:tcPr>
            <w:tcW w:w="2268" w:type="dxa"/>
            <w:vAlign w:val="center"/>
          </w:tcPr>
          <w:p>
            <w:pPr>
              <w:pStyle w:val="27"/>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社会效益指标</w:t>
            </w:r>
          </w:p>
        </w:tc>
        <w:tc>
          <w:tcPr>
            <w:tcW w:w="2835" w:type="dxa"/>
            <w:vAlign w:val="center"/>
          </w:tcPr>
          <w:p>
            <w:pPr>
              <w:pStyle w:val="27"/>
            </w:pPr>
            <w:r>
              <w:t>工作完成率</w:t>
            </w:r>
          </w:p>
        </w:tc>
        <w:tc>
          <w:tcPr>
            <w:tcW w:w="2835" w:type="dxa"/>
            <w:vAlign w:val="center"/>
          </w:tcPr>
          <w:p>
            <w:pPr>
              <w:pStyle w:val="27"/>
            </w:pPr>
            <w:r>
              <w:t>日常工作任务完成的比率</w:t>
            </w:r>
          </w:p>
        </w:tc>
        <w:tc>
          <w:tcPr>
            <w:tcW w:w="2551" w:type="dxa"/>
            <w:vAlign w:val="center"/>
          </w:tcPr>
          <w:p>
            <w:pPr>
              <w:pStyle w:val="27"/>
            </w:pPr>
            <w:r>
              <w:t>≥90%</w:t>
            </w:r>
          </w:p>
        </w:tc>
        <w:tc>
          <w:tcPr>
            <w:tcW w:w="2268" w:type="dxa"/>
            <w:vAlign w:val="center"/>
          </w:tcPr>
          <w:p>
            <w:pPr>
              <w:pStyle w:val="27"/>
            </w:pPr>
            <w:r>
              <w:t>单位运转情况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7"/>
            </w:pPr>
            <w:r>
              <w:t>服务对象满意度指标</w:t>
            </w:r>
          </w:p>
        </w:tc>
        <w:tc>
          <w:tcPr>
            <w:tcW w:w="2835" w:type="dxa"/>
            <w:vAlign w:val="center"/>
          </w:tcPr>
          <w:p>
            <w:pPr>
              <w:pStyle w:val="27"/>
            </w:pPr>
            <w:r>
              <w:t>劳务派遣人员满意度</w:t>
            </w:r>
          </w:p>
        </w:tc>
        <w:tc>
          <w:tcPr>
            <w:tcW w:w="2835" w:type="dxa"/>
            <w:vAlign w:val="center"/>
          </w:tcPr>
          <w:p>
            <w:pPr>
              <w:pStyle w:val="27"/>
            </w:pPr>
            <w:r>
              <w:t>劳务派遣人员对工资待遇的满意度</w:t>
            </w:r>
          </w:p>
        </w:tc>
        <w:tc>
          <w:tcPr>
            <w:tcW w:w="2551" w:type="dxa"/>
            <w:vAlign w:val="center"/>
          </w:tcPr>
          <w:p>
            <w:pPr>
              <w:pStyle w:val="27"/>
            </w:pPr>
            <w:r>
              <w:t>≥90%</w:t>
            </w:r>
          </w:p>
        </w:tc>
        <w:tc>
          <w:tcPr>
            <w:tcW w:w="2268" w:type="dxa"/>
            <w:vAlign w:val="center"/>
          </w:tcPr>
          <w:p>
            <w:pPr>
              <w:pStyle w:val="27"/>
            </w:pPr>
            <w:r>
              <w:t>调查问卷</w:t>
            </w:r>
          </w:p>
        </w:tc>
      </w:tr>
    </w:tbl>
    <w:p>
      <w:pPr>
        <w:pStyle w:val="25"/>
      </w:pPr>
    </w:p>
    <w:p>
      <w:pPr>
        <w:pStyle w:val="25"/>
        <w:spacing w:before="0" w:after="0"/>
        <w:ind w:firstLine="560"/>
        <w:jc w:val="left"/>
        <w:outlineLvl w:val="9"/>
      </w:pPr>
      <w:r>
        <w:rPr>
          <w:rFonts w:ascii="方正仿宋_GBK" w:eastAsia="方正仿宋_GBK" w:cs="方正仿宋_GBK"/>
          <w:b/>
          <w:color w:val="000000"/>
          <w:sz w:val="28"/>
        </w:rPr>
        <w:t>5、信访维稳工作经费绩效目标表</w:t>
      </w:r>
    </w:p>
    <w:tbl>
      <w:tblPr>
        <w:tblStyle w:val="7"/>
        <w:tblW w:w="14173"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26"/>
            </w:pPr>
            <w:r>
              <w:t>绩效目标</w:t>
            </w:r>
          </w:p>
        </w:tc>
        <w:tc>
          <w:tcPr>
            <w:tcW w:w="12756" w:type="dxa"/>
            <w:tcBorders>
              <w:bottom w:val="single" w:color="FFFFFF" w:sz="6" w:space="0"/>
            </w:tcBorders>
            <w:vAlign w:val="center"/>
          </w:tcPr>
          <w:p>
            <w:pPr>
              <w:pStyle w:val="27"/>
            </w:pPr>
            <w:r>
              <w:t>1.2022年投入90万元，用于长期驻京、赴省、暑期北戴河值班，日常安保任务及重大节日、敏感期期间增派值班力量，劝返、应急处置及协调联动等工作，维护社会稳定。</w:t>
            </w:r>
          </w:p>
        </w:tc>
      </w:tr>
    </w:tbl>
    <w:p>
      <w:pPr>
        <w:pStyle w:val="25"/>
        <w:spacing w:before="0" w:after="0" w:line="2" w:lineRule="exact"/>
        <w:ind w:firstLine="0"/>
        <w:jc w:val="center"/>
        <w:outlineLvl w:val="9"/>
      </w:pPr>
      <w:r>
        <w:rPr>
          <w:rFonts w:ascii="方正书宋_GBK" w:eastAsia="方正书宋_GBK" w:cs="方正书宋_GBK"/>
          <w:color w:val="000000"/>
          <w:sz w:val="18"/>
        </w:rPr>
        <w:t xml:space="preserve"> </w:t>
      </w:r>
    </w:p>
    <w:tbl>
      <w:tblPr>
        <w:tblStyle w:val="7"/>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417" w:type="dxa"/>
            <w:vAlign w:val="center"/>
          </w:tcPr>
          <w:p>
            <w:pPr>
              <w:pStyle w:val="26"/>
            </w:pPr>
            <w:r>
              <w:t>一级指标</w:t>
            </w:r>
          </w:p>
        </w:tc>
        <w:tc>
          <w:tcPr>
            <w:tcW w:w="2268" w:type="dxa"/>
            <w:vAlign w:val="center"/>
          </w:tcPr>
          <w:p>
            <w:pPr>
              <w:pStyle w:val="26"/>
            </w:pPr>
            <w:r>
              <w:t>二级指标</w:t>
            </w:r>
          </w:p>
        </w:tc>
        <w:tc>
          <w:tcPr>
            <w:tcW w:w="2835" w:type="dxa"/>
            <w:vAlign w:val="center"/>
          </w:tcPr>
          <w:p>
            <w:pPr>
              <w:pStyle w:val="26"/>
            </w:pPr>
            <w:r>
              <w:t>三级指标</w:t>
            </w:r>
          </w:p>
        </w:tc>
        <w:tc>
          <w:tcPr>
            <w:tcW w:w="2835" w:type="dxa"/>
            <w:vAlign w:val="center"/>
          </w:tcPr>
          <w:p>
            <w:pPr>
              <w:pStyle w:val="26"/>
            </w:pPr>
            <w:r>
              <w:t>绩效指标描述</w:t>
            </w:r>
          </w:p>
        </w:tc>
        <w:tc>
          <w:tcPr>
            <w:tcW w:w="2551" w:type="dxa"/>
            <w:vAlign w:val="center"/>
          </w:tcPr>
          <w:p>
            <w:pPr>
              <w:pStyle w:val="26"/>
            </w:pPr>
            <w:r>
              <w:t>指标值</w:t>
            </w:r>
          </w:p>
        </w:tc>
        <w:tc>
          <w:tcPr>
            <w:tcW w:w="2268" w:type="dxa"/>
            <w:vAlign w:val="center"/>
          </w:tcPr>
          <w:p>
            <w:pPr>
              <w:pStyle w:val="26"/>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restart"/>
            <w:vAlign w:val="center"/>
          </w:tcPr>
          <w:p>
            <w:pPr>
              <w:pStyle w:val="28"/>
            </w:pPr>
            <w:r>
              <w:t>产出指标</w:t>
            </w:r>
          </w:p>
        </w:tc>
        <w:tc>
          <w:tcPr>
            <w:tcW w:w="2268" w:type="dxa"/>
            <w:vAlign w:val="center"/>
          </w:tcPr>
          <w:p>
            <w:pPr>
              <w:pStyle w:val="27"/>
            </w:pPr>
            <w:r>
              <w:t>数量指标</w:t>
            </w:r>
          </w:p>
        </w:tc>
        <w:tc>
          <w:tcPr>
            <w:tcW w:w="2835" w:type="dxa"/>
            <w:vAlign w:val="center"/>
          </w:tcPr>
          <w:p>
            <w:pPr>
              <w:pStyle w:val="27"/>
            </w:pPr>
            <w:r>
              <w:t>不稳定群体或人员受理率</w:t>
            </w:r>
          </w:p>
        </w:tc>
        <w:tc>
          <w:tcPr>
            <w:tcW w:w="2835" w:type="dxa"/>
            <w:vAlign w:val="center"/>
          </w:tcPr>
          <w:p>
            <w:pPr>
              <w:pStyle w:val="27"/>
            </w:pPr>
            <w:r>
              <w:t>受理矛盾纠纷的比例</w:t>
            </w:r>
          </w:p>
        </w:tc>
        <w:tc>
          <w:tcPr>
            <w:tcW w:w="2551" w:type="dxa"/>
            <w:vAlign w:val="center"/>
          </w:tcPr>
          <w:p>
            <w:pPr>
              <w:pStyle w:val="27"/>
            </w:pPr>
            <w:r>
              <w:t>≥80%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质量指标</w:t>
            </w:r>
          </w:p>
        </w:tc>
        <w:tc>
          <w:tcPr>
            <w:tcW w:w="2835" w:type="dxa"/>
            <w:vAlign w:val="center"/>
          </w:tcPr>
          <w:p>
            <w:pPr>
              <w:pStyle w:val="27"/>
            </w:pPr>
            <w:r>
              <w:t>不稳定群体调解率</w:t>
            </w:r>
          </w:p>
        </w:tc>
        <w:tc>
          <w:tcPr>
            <w:tcW w:w="2835" w:type="dxa"/>
            <w:vAlign w:val="center"/>
          </w:tcPr>
          <w:p>
            <w:pPr>
              <w:pStyle w:val="27"/>
            </w:pPr>
            <w:r>
              <w:t>已调解的数量占全部不稳定群体的比率</w:t>
            </w:r>
          </w:p>
        </w:tc>
        <w:tc>
          <w:tcPr>
            <w:tcW w:w="2551" w:type="dxa"/>
            <w:vAlign w:val="center"/>
          </w:tcPr>
          <w:p>
            <w:pPr>
              <w:pStyle w:val="27"/>
            </w:pPr>
            <w:r>
              <w:t>≥80%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时效指标</w:t>
            </w:r>
          </w:p>
        </w:tc>
        <w:tc>
          <w:tcPr>
            <w:tcW w:w="2835" w:type="dxa"/>
            <w:vAlign w:val="center"/>
          </w:tcPr>
          <w:p>
            <w:pPr>
              <w:pStyle w:val="27"/>
            </w:pPr>
            <w:r>
              <w:t>突发问题应急处置率</w:t>
            </w:r>
          </w:p>
        </w:tc>
        <w:tc>
          <w:tcPr>
            <w:tcW w:w="2835" w:type="dxa"/>
            <w:vAlign w:val="center"/>
          </w:tcPr>
          <w:p>
            <w:pPr>
              <w:pStyle w:val="27"/>
            </w:pPr>
            <w:r>
              <w:t>突发问题应急处置数量占全部突发问题总量的比率</w:t>
            </w:r>
          </w:p>
        </w:tc>
        <w:tc>
          <w:tcPr>
            <w:tcW w:w="2551" w:type="dxa"/>
            <w:vAlign w:val="center"/>
          </w:tcPr>
          <w:p>
            <w:pPr>
              <w:pStyle w:val="27"/>
            </w:pPr>
            <w:r>
              <w:t>≥90%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Merge w:val="continue"/>
            <w:vAlign w:val="center"/>
          </w:tcPr>
          <w:p>
            <w:pPr/>
          </w:p>
        </w:tc>
        <w:tc>
          <w:tcPr>
            <w:tcW w:w="2268" w:type="dxa"/>
            <w:vAlign w:val="center"/>
          </w:tcPr>
          <w:p>
            <w:pPr>
              <w:pStyle w:val="27"/>
            </w:pPr>
            <w:r>
              <w:t>成本指标</w:t>
            </w:r>
          </w:p>
        </w:tc>
        <w:tc>
          <w:tcPr>
            <w:tcW w:w="2835" w:type="dxa"/>
            <w:vAlign w:val="center"/>
          </w:tcPr>
          <w:p>
            <w:pPr>
              <w:pStyle w:val="27"/>
            </w:pPr>
            <w:r>
              <w:t>资金支出进度</w:t>
            </w:r>
          </w:p>
        </w:tc>
        <w:tc>
          <w:tcPr>
            <w:tcW w:w="2835" w:type="dxa"/>
            <w:vAlign w:val="center"/>
          </w:tcPr>
          <w:p>
            <w:pPr>
              <w:pStyle w:val="27"/>
            </w:pPr>
            <w:r>
              <w:t>资金支出进度占计划进度的比率</w:t>
            </w:r>
          </w:p>
        </w:tc>
        <w:tc>
          <w:tcPr>
            <w:tcW w:w="2551" w:type="dxa"/>
            <w:vAlign w:val="center"/>
          </w:tcPr>
          <w:p>
            <w:pPr>
              <w:pStyle w:val="27"/>
            </w:pPr>
            <w:r>
              <w:t>≥80%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trHeight w:val="397" w:hRule="atLeast"/>
          <w:jc w:val="center"/>
        </w:trPr>
        <w:tc>
          <w:tcPr>
            <w:tcW w:w="1417" w:type="dxa"/>
            <w:vAlign w:val="center"/>
          </w:tcPr>
          <w:p>
            <w:pPr>
              <w:pStyle w:val="28"/>
            </w:pPr>
            <w:r>
              <w:t>效益指标</w:t>
            </w:r>
          </w:p>
        </w:tc>
        <w:tc>
          <w:tcPr>
            <w:tcW w:w="2268" w:type="dxa"/>
            <w:vAlign w:val="center"/>
          </w:tcPr>
          <w:p>
            <w:pPr>
              <w:pStyle w:val="27"/>
            </w:pPr>
            <w:r>
              <w:t>社会效益指标</w:t>
            </w:r>
          </w:p>
        </w:tc>
        <w:tc>
          <w:tcPr>
            <w:tcW w:w="2835" w:type="dxa"/>
            <w:vAlign w:val="center"/>
          </w:tcPr>
          <w:p>
            <w:pPr>
              <w:pStyle w:val="27"/>
            </w:pPr>
            <w:r>
              <w:t>安保活动圆满完成率</w:t>
            </w:r>
          </w:p>
        </w:tc>
        <w:tc>
          <w:tcPr>
            <w:tcW w:w="2835" w:type="dxa"/>
            <w:vAlign w:val="center"/>
          </w:tcPr>
          <w:p>
            <w:pPr>
              <w:pStyle w:val="27"/>
            </w:pPr>
            <w:r>
              <w:t>圆满完成的安保活动数量占全部安保活动梳理的比例</w:t>
            </w:r>
          </w:p>
        </w:tc>
        <w:tc>
          <w:tcPr>
            <w:tcW w:w="2551" w:type="dxa"/>
            <w:vAlign w:val="center"/>
          </w:tcPr>
          <w:p>
            <w:pPr>
              <w:pStyle w:val="27"/>
            </w:pPr>
            <w:r>
              <w:t>≥80%</w:t>
            </w:r>
          </w:p>
        </w:tc>
        <w:tc>
          <w:tcPr>
            <w:tcW w:w="2268" w:type="dxa"/>
            <w:vAlign w:val="center"/>
          </w:tcPr>
          <w:p>
            <w:pPr>
              <w:pStyle w:val="27"/>
            </w:pPr>
            <w:r>
              <w:t>工作预计测算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vAlign w:val="center"/>
          </w:tcPr>
          <w:p>
            <w:pPr>
              <w:pStyle w:val="28"/>
            </w:pPr>
            <w:r>
              <w:t>满意度指标</w:t>
            </w:r>
          </w:p>
        </w:tc>
        <w:tc>
          <w:tcPr>
            <w:tcW w:w="2268" w:type="dxa"/>
            <w:vAlign w:val="center"/>
          </w:tcPr>
          <w:p>
            <w:pPr>
              <w:pStyle w:val="27"/>
            </w:pPr>
            <w:r>
              <w:t>服务对象满意度指标</w:t>
            </w:r>
          </w:p>
        </w:tc>
        <w:tc>
          <w:tcPr>
            <w:tcW w:w="2835" w:type="dxa"/>
            <w:vAlign w:val="center"/>
          </w:tcPr>
          <w:p>
            <w:pPr>
              <w:pStyle w:val="27"/>
            </w:pPr>
            <w:r>
              <w:t>群众满意率</w:t>
            </w:r>
          </w:p>
        </w:tc>
        <w:tc>
          <w:tcPr>
            <w:tcW w:w="2835" w:type="dxa"/>
            <w:vAlign w:val="center"/>
          </w:tcPr>
          <w:p>
            <w:pPr>
              <w:pStyle w:val="27"/>
            </w:pPr>
            <w:r>
              <w:t>群众对此项工作开展效果的满意度</w:t>
            </w:r>
          </w:p>
        </w:tc>
        <w:tc>
          <w:tcPr>
            <w:tcW w:w="2551" w:type="dxa"/>
            <w:vAlign w:val="center"/>
          </w:tcPr>
          <w:p>
            <w:pPr>
              <w:pStyle w:val="27"/>
            </w:pPr>
            <w:r>
              <w:t>≥80%</w:t>
            </w:r>
          </w:p>
        </w:tc>
        <w:tc>
          <w:tcPr>
            <w:tcW w:w="2268" w:type="dxa"/>
            <w:vAlign w:val="center"/>
          </w:tcPr>
          <w:p>
            <w:pPr>
              <w:pStyle w:val="27"/>
            </w:pPr>
            <w:r>
              <w:t>工作预计测算</w:t>
            </w:r>
          </w:p>
        </w:tc>
      </w:tr>
    </w:tbl>
    <w:p>
      <w:pPr>
        <w:pStyle w:val="25"/>
        <w:sectPr>
          <w:pgSz w:w="16840" w:h="11900" w:orient="landscape"/>
          <w:pgMar w:top="1361" w:right="1020" w:bottom="1361" w:left="1020" w:header="720" w:footer="720" w:gutter="0"/>
          <w:docGrid w:linePitch="326" w:charSpace="0"/>
        </w:sectPr>
      </w:pPr>
    </w:p>
    <w:p>
      <w:pPr>
        <w:spacing w:before="10" w:after="10" w:line="240" w:lineRule="auto"/>
        <w:ind w:firstLine="640"/>
        <w:jc w:val="left"/>
        <w:outlineLvl w:val="5"/>
      </w:pPr>
      <w:r>
        <w:rPr>
          <w:rFonts w:asci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2022年，唐山市丰南区信访局本级安排政府采购预算0.00万元。具体内容见下表。</w:t>
      </w:r>
    </w:p>
    <w:p>
      <w:pPr>
        <w:spacing w:before="0" w:after="0" w:line="240" w:lineRule="auto"/>
        <w:ind w:firstLine="0"/>
        <w:jc w:val="center"/>
        <w:outlineLvl w:val="9"/>
      </w:pPr>
      <w:r>
        <w:rPr>
          <w:rFonts w:ascii="方正小标宋_GBK" w:eastAsia="方正小标宋_GBK" w:cs="方正小标宋_GBK"/>
          <w:color w:val="000000"/>
          <w:sz w:val="36"/>
        </w:rPr>
        <w:t>单位政府采购预算</w:t>
      </w:r>
    </w:p>
    <w:tbl>
      <w:tblPr>
        <w:tblStyle w:val="7"/>
        <w:tblW w:w="150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95"/>
        <w:gridCol w:w="904"/>
        <w:gridCol w:w="1063"/>
        <w:gridCol w:w="1063"/>
        <w:gridCol w:w="665"/>
        <w:gridCol w:w="797"/>
        <w:gridCol w:w="797"/>
        <w:gridCol w:w="904"/>
        <w:gridCol w:w="904"/>
        <w:gridCol w:w="904"/>
        <w:gridCol w:w="904"/>
        <w:gridCol w:w="904"/>
        <w:gridCol w:w="904"/>
        <w:gridCol w:w="904"/>
        <w:gridCol w:w="904"/>
        <w:gridCol w:w="9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884" w:type="dxa"/>
            <w:gridSpan w:val="7"/>
            <w:tcBorders>
              <w:top w:val="single" w:color="FFFFFF" w:sz="6" w:space="0"/>
              <w:left w:val="single" w:color="FFFFFF" w:sz="6" w:space="0"/>
              <w:right w:val="single" w:color="FFFFFF" w:sz="6" w:space="0"/>
            </w:tcBorders>
            <w:vAlign w:val="center"/>
          </w:tcPr>
          <w:p>
            <w:pPr>
              <w:pStyle w:val="10"/>
            </w:pPr>
            <w:r>
              <w:t>304001唐山市丰南区信访局本级</w:t>
            </w:r>
          </w:p>
        </w:tc>
        <w:tc>
          <w:tcPr>
            <w:tcW w:w="813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499" w:type="dxa"/>
            <w:gridSpan w:val="2"/>
            <w:vAlign w:val="center"/>
          </w:tcPr>
          <w:p>
            <w:pPr>
              <w:pStyle w:val="11"/>
            </w:pPr>
            <w:r>
              <w:t>政府采购项目来源</w:t>
            </w:r>
          </w:p>
        </w:tc>
        <w:tc>
          <w:tcPr>
            <w:tcW w:w="1063" w:type="dxa"/>
            <w:vMerge w:val="restart"/>
            <w:vAlign w:val="center"/>
          </w:tcPr>
          <w:p>
            <w:pPr>
              <w:pStyle w:val="11"/>
            </w:pPr>
            <w:r>
              <w:t>采购物品名称</w:t>
            </w:r>
          </w:p>
        </w:tc>
        <w:tc>
          <w:tcPr>
            <w:tcW w:w="1063" w:type="dxa"/>
            <w:vMerge w:val="restart"/>
            <w:vAlign w:val="center"/>
          </w:tcPr>
          <w:p>
            <w:pPr>
              <w:pStyle w:val="11"/>
            </w:pPr>
            <w:r>
              <w:t>政府采购目录序号</w:t>
            </w:r>
          </w:p>
        </w:tc>
        <w:tc>
          <w:tcPr>
            <w:tcW w:w="665" w:type="dxa"/>
            <w:vMerge w:val="restart"/>
            <w:vAlign w:val="center"/>
          </w:tcPr>
          <w:p>
            <w:pPr>
              <w:pStyle w:val="11"/>
            </w:pPr>
            <w:r>
              <w:t>计量  单位</w:t>
            </w:r>
          </w:p>
        </w:tc>
        <w:tc>
          <w:tcPr>
            <w:tcW w:w="797" w:type="dxa"/>
            <w:vMerge w:val="restart"/>
            <w:vAlign w:val="center"/>
          </w:tcPr>
          <w:p>
            <w:pPr>
              <w:pStyle w:val="11"/>
            </w:pPr>
            <w:r>
              <w:t>数量</w:t>
            </w:r>
          </w:p>
        </w:tc>
        <w:tc>
          <w:tcPr>
            <w:tcW w:w="797" w:type="dxa"/>
            <w:vMerge w:val="restart"/>
            <w:vAlign w:val="center"/>
          </w:tcPr>
          <w:p>
            <w:pPr>
              <w:pStyle w:val="11"/>
            </w:pPr>
            <w:r>
              <w:t>单价</w:t>
            </w:r>
          </w:p>
        </w:tc>
        <w:tc>
          <w:tcPr>
            <w:tcW w:w="7232" w:type="dxa"/>
            <w:gridSpan w:val="8"/>
            <w:vAlign w:val="center"/>
          </w:tcPr>
          <w:p>
            <w:pPr>
              <w:pStyle w:val="11"/>
            </w:pPr>
            <w:r>
              <w:t>政府采购金额（当年部门预算安排资金）</w:t>
            </w:r>
          </w:p>
        </w:tc>
        <w:tc>
          <w:tcPr>
            <w:tcW w:w="90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595" w:type="dxa"/>
            <w:vAlign w:val="center"/>
          </w:tcPr>
          <w:p>
            <w:pPr>
              <w:pStyle w:val="11"/>
            </w:pPr>
            <w:r>
              <w:t>项目名称</w:t>
            </w:r>
          </w:p>
        </w:tc>
        <w:tc>
          <w:tcPr>
            <w:tcW w:w="904" w:type="dxa"/>
            <w:vAlign w:val="center"/>
          </w:tcPr>
          <w:p>
            <w:pPr>
              <w:pStyle w:val="11"/>
            </w:pPr>
            <w:r>
              <w:t>预算    资金</w:t>
            </w:r>
          </w:p>
        </w:tc>
        <w:tc>
          <w:tcPr>
            <w:tcW w:w="1063" w:type="dxa"/>
            <w:vMerge w:val="continue"/>
          </w:tcPr>
          <w:p>
            <w:pPr/>
          </w:p>
        </w:tc>
        <w:tc>
          <w:tcPr>
            <w:tcW w:w="1063" w:type="dxa"/>
            <w:vMerge w:val="continue"/>
          </w:tcPr>
          <w:p>
            <w:pPr/>
          </w:p>
        </w:tc>
        <w:tc>
          <w:tcPr>
            <w:tcW w:w="665" w:type="dxa"/>
            <w:vMerge w:val="continue"/>
          </w:tcPr>
          <w:p>
            <w:pPr/>
          </w:p>
        </w:tc>
        <w:tc>
          <w:tcPr>
            <w:tcW w:w="797" w:type="dxa"/>
            <w:vMerge w:val="continue"/>
          </w:tcPr>
          <w:p>
            <w:pPr/>
          </w:p>
        </w:tc>
        <w:tc>
          <w:tcPr>
            <w:tcW w:w="797" w:type="dxa"/>
            <w:vMerge w:val="continue"/>
          </w:tcPr>
          <w:p>
            <w:pPr/>
          </w:p>
        </w:tc>
        <w:tc>
          <w:tcPr>
            <w:tcW w:w="904" w:type="dxa"/>
            <w:vAlign w:val="center"/>
          </w:tcPr>
          <w:p>
            <w:pPr>
              <w:pStyle w:val="11"/>
            </w:pPr>
            <w:r>
              <w:t>合计</w:t>
            </w:r>
          </w:p>
        </w:tc>
        <w:tc>
          <w:tcPr>
            <w:tcW w:w="904" w:type="dxa"/>
            <w:vAlign w:val="center"/>
          </w:tcPr>
          <w:p>
            <w:pPr>
              <w:pStyle w:val="11"/>
            </w:pPr>
            <w:r>
              <w:t>一般公共预算拨款</w:t>
            </w:r>
          </w:p>
        </w:tc>
        <w:tc>
          <w:tcPr>
            <w:tcW w:w="904" w:type="dxa"/>
            <w:vAlign w:val="center"/>
          </w:tcPr>
          <w:p>
            <w:pPr>
              <w:pStyle w:val="11"/>
            </w:pPr>
            <w:r>
              <w:t>基金预算拨款</w:t>
            </w:r>
          </w:p>
        </w:tc>
        <w:tc>
          <w:tcPr>
            <w:tcW w:w="904" w:type="dxa"/>
            <w:vAlign w:val="center"/>
          </w:tcPr>
          <w:p>
            <w:pPr>
              <w:pStyle w:val="11"/>
            </w:pPr>
            <w:r>
              <w:t>国有资本经营预算拨款</w:t>
            </w:r>
          </w:p>
        </w:tc>
        <w:tc>
          <w:tcPr>
            <w:tcW w:w="904" w:type="dxa"/>
            <w:vAlign w:val="center"/>
          </w:tcPr>
          <w:p>
            <w:pPr>
              <w:pStyle w:val="11"/>
            </w:pPr>
            <w:r>
              <w:t>财政专户核拨</w:t>
            </w:r>
          </w:p>
        </w:tc>
        <w:tc>
          <w:tcPr>
            <w:tcW w:w="904" w:type="dxa"/>
            <w:vAlign w:val="center"/>
          </w:tcPr>
          <w:p>
            <w:pPr>
              <w:pStyle w:val="11"/>
            </w:pPr>
            <w:r>
              <w:t>单位    资金</w:t>
            </w:r>
          </w:p>
        </w:tc>
        <w:tc>
          <w:tcPr>
            <w:tcW w:w="904" w:type="dxa"/>
            <w:vAlign w:val="center"/>
          </w:tcPr>
          <w:p>
            <w:pPr>
              <w:pStyle w:val="11"/>
            </w:pPr>
            <w:r>
              <w:t>财政拨    款结转</w:t>
            </w:r>
          </w:p>
        </w:tc>
        <w:tc>
          <w:tcPr>
            <w:tcW w:w="904" w:type="dxa"/>
            <w:vAlign w:val="center"/>
          </w:tcPr>
          <w:p>
            <w:pPr>
              <w:pStyle w:val="11"/>
            </w:pPr>
            <w:r>
              <w:t>非财政    拨款结    转结余</w:t>
            </w:r>
          </w:p>
        </w:tc>
        <w:tc>
          <w:tcPr>
            <w:tcW w:w="904" w:type="dxa"/>
            <w:vMerge w:val="continue"/>
          </w:tcPr>
          <w:p>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cantSplit/>
          <w:jc w:val="center"/>
        </w:trPr>
        <w:tc>
          <w:tcPr>
            <w:tcW w:w="1595" w:type="dxa"/>
            <w:vAlign w:val="center"/>
          </w:tcPr>
          <w:p>
            <w:pPr>
              <w:pStyle w:val="13"/>
            </w:pPr>
          </w:p>
        </w:tc>
        <w:tc>
          <w:tcPr>
            <w:tcW w:w="904" w:type="dxa"/>
            <w:vAlign w:val="center"/>
          </w:tcPr>
          <w:p>
            <w:pPr>
              <w:pStyle w:val="12"/>
            </w:pPr>
          </w:p>
        </w:tc>
        <w:tc>
          <w:tcPr>
            <w:tcW w:w="1063" w:type="dxa"/>
            <w:vAlign w:val="center"/>
          </w:tcPr>
          <w:p>
            <w:pPr>
              <w:pStyle w:val="13"/>
            </w:pPr>
          </w:p>
        </w:tc>
        <w:tc>
          <w:tcPr>
            <w:tcW w:w="1063" w:type="dxa"/>
            <w:vAlign w:val="center"/>
          </w:tcPr>
          <w:p>
            <w:pPr>
              <w:pStyle w:val="13"/>
            </w:pPr>
          </w:p>
        </w:tc>
        <w:tc>
          <w:tcPr>
            <w:tcW w:w="665" w:type="dxa"/>
            <w:vAlign w:val="center"/>
          </w:tcPr>
          <w:p>
            <w:pPr>
              <w:pStyle w:val="14"/>
            </w:pPr>
          </w:p>
        </w:tc>
        <w:tc>
          <w:tcPr>
            <w:tcW w:w="797" w:type="dxa"/>
            <w:vAlign w:val="center"/>
          </w:tcPr>
          <w:p>
            <w:pPr>
              <w:pStyle w:val="12"/>
            </w:pPr>
          </w:p>
        </w:tc>
        <w:tc>
          <w:tcPr>
            <w:tcW w:w="797" w:type="dxa"/>
            <w:vAlign w:val="center"/>
          </w:tcPr>
          <w:p>
            <w:pPr>
              <w:pStyle w:val="12"/>
            </w:pPr>
          </w:p>
        </w:tc>
        <w:tc>
          <w:tcPr>
            <w:tcW w:w="904" w:type="dxa"/>
            <w:vAlign w:val="center"/>
          </w:tcPr>
          <w:p>
            <w:pPr>
              <w:pStyle w:val="12"/>
            </w:pPr>
          </w:p>
        </w:tc>
        <w:tc>
          <w:tcPr>
            <w:tcW w:w="904" w:type="dxa"/>
            <w:vAlign w:val="center"/>
          </w:tcPr>
          <w:p>
            <w:pPr>
              <w:pStyle w:val="12"/>
            </w:pPr>
          </w:p>
        </w:tc>
        <w:tc>
          <w:tcPr>
            <w:tcW w:w="904" w:type="dxa"/>
            <w:vAlign w:val="center"/>
          </w:tcPr>
          <w:p>
            <w:pPr>
              <w:pStyle w:val="12"/>
            </w:pPr>
          </w:p>
        </w:tc>
        <w:tc>
          <w:tcPr>
            <w:tcW w:w="904" w:type="dxa"/>
            <w:vAlign w:val="center"/>
          </w:tcPr>
          <w:p>
            <w:pPr>
              <w:pStyle w:val="12"/>
            </w:pPr>
          </w:p>
        </w:tc>
        <w:tc>
          <w:tcPr>
            <w:tcW w:w="904" w:type="dxa"/>
            <w:vAlign w:val="center"/>
          </w:tcPr>
          <w:p>
            <w:pPr>
              <w:pStyle w:val="12"/>
            </w:pPr>
          </w:p>
        </w:tc>
        <w:tc>
          <w:tcPr>
            <w:tcW w:w="904" w:type="dxa"/>
            <w:vAlign w:val="center"/>
          </w:tcPr>
          <w:p>
            <w:pPr>
              <w:pStyle w:val="12"/>
            </w:pPr>
          </w:p>
        </w:tc>
        <w:tc>
          <w:tcPr>
            <w:tcW w:w="904" w:type="dxa"/>
            <w:vAlign w:val="center"/>
          </w:tcPr>
          <w:p>
            <w:pPr>
              <w:pStyle w:val="12"/>
            </w:pPr>
          </w:p>
        </w:tc>
        <w:tc>
          <w:tcPr>
            <w:tcW w:w="904" w:type="dxa"/>
            <w:vAlign w:val="center"/>
          </w:tcPr>
          <w:p>
            <w:pPr>
              <w:pStyle w:val="12"/>
            </w:pPr>
          </w:p>
        </w:tc>
        <w:tc>
          <w:tcPr>
            <w:tcW w:w="904" w:type="dxa"/>
            <w:vAlign w:val="center"/>
          </w:tcPr>
          <w:p>
            <w:pPr>
              <w:pStyle w:val="12"/>
            </w:pPr>
          </w:p>
        </w:tc>
      </w:tr>
    </w:tbl>
    <w:p>
      <w:pPr>
        <w:spacing w:before="0" w:after="0" w:line="500" w:lineRule="exact"/>
        <w:ind w:firstLine="420"/>
        <w:jc w:val="left"/>
        <w:outlineLvl w:val="9"/>
      </w:pPr>
      <w:r>
        <w:rPr>
          <w:rFonts w:asci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唐山市丰南区信访局本级上年末固定资产金额为411.7万元（详见下表）。本年度拟购置固定资产总额为0.00万元，已按要求列入政府采购预算，详见政府采购预算表。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color w:val="000000"/>
          <w:sz w:val="36"/>
        </w:rPr>
        <w:t>单位固定资产占用情况表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304001唐山市丰南区信访局本级</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w:t>
            </w:r>
            <w:r>
              <w:rPr>
                <w:rFonts w:hint="eastAsia"/>
                <w:lang w:val="en-US" w:eastAsia="zh-CN"/>
              </w:rPr>
              <w:t>1</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extDirection w:val="lrTb"/>
            <w:vAlign w:val="center"/>
          </w:tcPr>
          <w:p>
            <w:pPr>
              <w:pStyle w:val="13"/>
              <w:ind w:firstLine="0" w:firstLineChars="0"/>
            </w:pPr>
            <w:r>
              <w:rPr>
                <w:rFonts w:hint="eastAsia" w:asciiTheme="minorEastAsia" w:hAnsiTheme="minorEastAsia" w:eastAsiaTheme="minorEastAsia"/>
                <w:lang w:eastAsia="zh-CN"/>
              </w:rPr>
              <w:t>固定资产</w:t>
            </w:r>
          </w:p>
        </w:tc>
        <w:tc>
          <w:tcPr>
            <w:tcW w:w="2835" w:type="dxa"/>
            <w:vAlign w:val="center"/>
          </w:tcPr>
          <w:p>
            <w:pPr>
              <w:pStyle w:val="14"/>
              <w:rPr>
                <w:rFonts w:hint="eastAsia" w:eastAsia="方正书宋_GBK"/>
                <w:lang w:val="en-US" w:eastAsia="zh-CN"/>
              </w:rPr>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PrEx>
        <w:trPr>
          <w:jc w:val="center"/>
        </w:trPr>
        <w:tc>
          <w:tcPr>
            <w:tcW w:w="7370" w:type="dxa"/>
            <w:textDirection w:val="lrTb"/>
            <w:vAlign w:val="center"/>
          </w:tcPr>
          <w:p>
            <w:pPr>
              <w:pStyle w:val="13"/>
              <w:ind w:firstLine="0" w:firstLineChars="0"/>
            </w:pPr>
            <w:r>
              <w:rPr>
                <w:rFonts w:hint="eastAsia" w:asciiTheme="minorEastAsia" w:hAnsiTheme="minorEastAsia" w:eastAsiaTheme="minorEastAsia"/>
                <w:lang w:eastAsia="zh-CN"/>
              </w:rPr>
              <w:t>一</w:t>
            </w:r>
            <w:r>
              <w:t>、房屋（平方米）</w:t>
            </w:r>
          </w:p>
        </w:tc>
        <w:tc>
          <w:tcPr>
            <w:tcW w:w="2835" w:type="dxa"/>
            <w:textDirection w:val="lrTb"/>
            <w:vAlign w:val="center"/>
          </w:tcPr>
          <w:p>
            <w:pPr>
              <w:widowControl/>
              <w:jc w:val="center"/>
              <w:rPr>
                <w:rFonts w:hint="eastAsia" w:eastAsia="方正书宋_GBK"/>
                <w:lang w:eastAsia="zh-CN"/>
              </w:rPr>
            </w:pPr>
            <w:r>
              <w:rPr>
                <w:rFonts w:hint="eastAsia" w:eastAsia="仿宋"/>
                <w:kern w:val="0"/>
                <w:sz w:val="22"/>
              </w:rPr>
              <w:t>2500</w:t>
            </w:r>
          </w:p>
        </w:tc>
        <w:tc>
          <w:tcPr>
            <w:tcW w:w="2835" w:type="dxa"/>
            <w:textDirection w:val="lrTb"/>
            <w:vAlign w:val="center"/>
          </w:tcPr>
          <w:p>
            <w:pPr>
              <w:widowControl/>
              <w:jc w:val="center"/>
            </w:pPr>
            <w:r>
              <w:rPr>
                <w:rFonts w:hint="eastAsia" w:eastAsia="仿宋"/>
                <w:kern w:val="0"/>
                <w:sz w:val="22"/>
                <w:lang w:val="en-US" w:eastAsia="zh-CN"/>
              </w:rPr>
              <w:t>217.21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extDirection w:val="lrTb"/>
            <w:vAlign w:val="center"/>
          </w:tcPr>
          <w:p>
            <w:pPr>
              <w:pStyle w:val="13"/>
              <w:ind w:firstLine="0" w:firstLineChars="0"/>
            </w:pPr>
            <w:r>
              <w:rPr>
                <w:rFonts w:hint="eastAsia" w:asciiTheme="minorEastAsia" w:hAnsiTheme="minorEastAsia" w:eastAsiaTheme="minorEastAsia"/>
                <w:lang w:eastAsia="zh-CN"/>
              </w:rPr>
              <w:t>二</w:t>
            </w:r>
            <w:r>
              <w:t>、车辆（台、辆）</w:t>
            </w:r>
          </w:p>
        </w:tc>
        <w:tc>
          <w:tcPr>
            <w:tcW w:w="2835" w:type="dxa"/>
            <w:textDirection w:val="lrTb"/>
            <w:vAlign w:val="center"/>
          </w:tcPr>
          <w:p>
            <w:pPr>
              <w:widowControl/>
              <w:jc w:val="center"/>
            </w:pPr>
            <w:r>
              <w:rPr>
                <w:rFonts w:hint="eastAsia" w:eastAsia="仿宋"/>
                <w:kern w:val="0"/>
                <w:sz w:val="22"/>
              </w:rPr>
              <w:t>2</w:t>
            </w:r>
          </w:p>
        </w:tc>
        <w:tc>
          <w:tcPr>
            <w:tcW w:w="2835" w:type="dxa"/>
            <w:vAlign w:val="center"/>
          </w:tcPr>
          <w:p>
            <w:pPr>
              <w:pStyle w:val="12"/>
              <w:jc w:val="center"/>
            </w:pPr>
            <w:r>
              <w:rPr>
                <w:rFonts w:hint="eastAsia" w:eastAsia="仿宋"/>
                <w:kern w:val="0"/>
                <w:sz w:val="22"/>
                <w:lang w:val="en-US" w:eastAsia="zh-CN"/>
              </w:rPr>
              <w:t>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textDirection w:val="lrTb"/>
            <w:vAlign w:val="center"/>
          </w:tcPr>
          <w:p>
            <w:pPr>
              <w:pStyle w:val="13"/>
              <w:ind w:firstLine="0" w:firstLineChars="0"/>
              <w:rPr>
                <w:rFonts w:hint="eastAsia" w:asciiTheme="minorEastAsia" w:hAnsiTheme="minorEastAsia" w:eastAsiaTheme="minorEastAsia"/>
                <w:lang w:eastAsia="zh-CN"/>
              </w:rPr>
            </w:pPr>
            <w:r>
              <w:rPr>
                <w:rFonts w:hint="eastAsia" w:asciiTheme="minorEastAsia" w:hAnsiTheme="minorEastAsia" w:eastAsiaTheme="minorEastAsia"/>
                <w:lang w:eastAsia="zh-CN"/>
              </w:rPr>
              <w:t>三</w:t>
            </w:r>
            <w:r>
              <w:t>、其他固定资产</w:t>
            </w:r>
          </w:p>
        </w:tc>
        <w:tc>
          <w:tcPr>
            <w:tcW w:w="2835" w:type="dxa"/>
            <w:vAlign w:val="center"/>
          </w:tcPr>
          <w:p>
            <w:pPr>
              <w:pStyle w:val="14"/>
              <w:rPr>
                <w:rFonts w:hint="eastAsia" w:eastAsia="方正书宋_GBK"/>
                <w:lang w:val="en-US" w:eastAsia="zh-CN"/>
              </w:rPr>
            </w:pPr>
            <w:r>
              <w:rPr>
                <w:rFonts w:hint="eastAsia"/>
                <w:lang w:val="en-US" w:eastAsia="zh-CN"/>
              </w:rPr>
              <w:t>-</w:t>
            </w:r>
          </w:p>
        </w:tc>
        <w:tc>
          <w:tcPr>
            <w:tcW w:w="2835" w:type="dxa"/>
            <w:vAlign w:val="center"/>
          </w:tcPr>
          <w:p>
            <w:pPr>
              <w:pStyle w:val="12"/>
              <w:jc w:val="center"/>
              <w:rPr>
                <w:rFonts w:hint="eastAsia" w:eastAsia="方正书宋_GBK"/>
                <w:lang w:val="en-US" w:eastAsia="zh-CN"/>
              </w:rPr>
            </w:pPr>
            <w:r>
              <w:rPr>
                <w:rFonts w:hint="eastAsia"/>
                <w:lang w:val="en-US" w:eastAsia="zh-CN"/>
              </w:rPr>
              <w:t>167.09</w:t>
            </w:r>
          </w:p>
        </w:tc>
      </w:tr>
    </w:tbl>
    <w:p>
      <w:pPr>
        <w:spacing w:before="0" w:after="0" w:line="240" w:lineRule="auto"/>
        <w:ind w:firstLine="420"/>
        <w:jc w:val="left"/>
        <w:outlineLvl w:val="9"/>
      </w:pPr>
      <w:r>
        <w:rPr>
          <w:rFonts w:asci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eastAsia="黑体" w:cs="黑体"/>
          <w:color w:val="000000"/>
          <w:sz w:val="32"/>
        </w:rPr>
        <w:t>九、其他需要说明的事项</w:t>
      </w:r>
    </w:p>
    <w:p>
      <w:pPr>
        <w:spacing w:line="500" w:lineRule="exact"/>
        <w:ind w:firstLine="560" w:firstLineChars="200"/>
        <w:rPr>
          <w:rFonts w:eastAsia="方正仿宋_GBK"/>
          <w:color w:val="000000" w:themeColor="text1"/>
          <w:sz w:val="28"/>
        </w:rPr>
      </w:pPr>
      <w:r>
        <w:rPr>
          <w:rFonts w:hint="eastAsia" w:eastAsia="方正仿宋_GBK"/>
          <w:color w:val="000000" w:themeColor="text1"/>
          <w:sz w:val="28"/>
        </w:rPr>
        <w:t>部门预算政府性基金预算财政拨款支出表，此表无数据，因本单位不涉及政府性基金，因此无数据；</w:t>
      </w:r>
    </w:p>
    <w:p>
      <w:pPr>
        <w:spacing w:line="500" w:lineRule="exact"/>
        <w:ind w:firstLine="560" w:firstLineChars="200"/>
        <w:rPr>
          <w:rFonts w:hAnsi="宋体"/>
          <w:color w:val="000000" w:themeColor="text1"/>
          <w:sz w:val="28"/>
        </w:rPr>
      </w:pPr>
      <w:r>
        <w:rPr>
          <w:rFonts w:hint="eastAsia" w:eastAsia="方正仿宋_GBK"/>
          <w:color w:val="000000" w:themeColor="text1"/>
          <w:sz w:val="28"/>
        </w:rPr>
        <w:t>部门预算国有资本经营预算财政拨款支出表，此表无数据，因本单位不涉及国有资本经营，因此无数据。</w:t>
      </w:r>
    </w:p>
    <w:sectPr>
      <w:pgSz w:w="16840" w:h="11900" w:orient="landscape"/>
      <w:pgMar w:top="1361" w:right="1020" w:bottom="1134" w:left="1020" w:header="720" w:footer="720" w:gutter="0"/>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黑体">
    <w:panose1 w:val="02010600030101010101"/>
    <w:charset w:val="86"/>
    <w:family w:val="auto"/>
    <w:pitch w:val="default"/>
    <w:sig w:usb0="00000001" w:usb1="080E0000" w:usb2="00000000" w:usb3="00000000" w:csb0="00040000" w:csb1="00000000"/>
  </w:font>
  <w:font w:name="方正楷体_GBK">
    <w:altName w:val="宋体"/>
    <w:panose1 w:val="00000000000000000000"/>
    <w:charset w:val="00"/>
    <w:family w:val="auto"/>
    <w:pitch w:val="default"/>
    <w:sig w:usb0="00000000" w:usb1="00000000" w:usb2="00000000" w:usb3="00000000" w:csb0="00000000" w:csb1="00000000"/>
  </w:font>
  <w:font w:name="方正小标宋_GBK">
    <w:altName w:val="宋体"/>
    <w:panose1 w:val="00000000000000000000"/>
    <w:charset w:val="00"/>
    <w:family w:val="auto"/>
    <w:pitch w:val="default"/>
    <w:sig w:usb0="00000000" w:usb1="00000000" w:usb2="00000000" w:usb3="00000000" w:csb0="00000000" w:csb1="00000000"/>
  </w:font>
  <w:font w:name="方正书宋_GBK">
    <w:altName w:val="宋体"/>
    <w:panose1 w:val="00000000000000000000"/>
    <w:charset w:val="00"/>
    <w:family w:val="auto"/>
    <w:pitch w:val="default"/>
    <w:sig w:usb0="00000000" w:usb1="00000000" w:usb2="00000000" w:usb3="00000000" w:csb0="00000000" w:csb1="00000000"/>
  </w:font>
  <w:font w:name="方正仿宋_GBK">
    <w:altName w:val="宋体"/>
    <w:panose1 w:val="00000000000000000000"/>
    <w:charset w:val="00"/>
    <w:family w:val="auto"/>
    <w:pitch w:val="default"/>
    <w:sig w:usb0="00000000" w:usb1="00000000" w:usb2="00000000" w:usb3="00000000" w:csb0="00000000" w:csb1="00000000"/>
  </w:font>
  <w:font w:name="Arial Unicode MS">
    <w:panose1 w:val="020B0604020202020204"/>
    <w:charset w:val="86"/>
    <w:family w:val="decorative"/>
    <w:pitch w:val="default"/>
    <w:sig w:usb0="FFFFFFFF" w:usb1="E9FFFFFF" w:usb2="0000003F" w:usb3="00000000" w:csb0="603F01FF" w:csb1="FFFF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Unicode MS">
    <w:panose1 w:val="020B0604020202020204"/>
    <w:charset w:val="86"/>
    <w:family w:val="modern"/>
    <w:pitch w:val="default"/>
    <w:sig w:usb0="FFFFFFFF" w:usb1="E9FFFFFF" w:usb2="0000003F" w:usb3="00000000" w:csb0="603F01FF" w:csb1="FFFF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decorative"/>
    <w:pitch w:val="default"/>
    <w:sig w:usb0="00007A87" w:usb1="80000000" w:usb2="00000008" w:usb3="00000000" w:csb0="400001FF" w:csb1="FFFF0000"/>
  </w:font>
  <w:font w:name="方正小标宋_GBK">
    <w:altName w:val="宋体"/>
    <w:panose1 w:val="00000000000000000000"/>
    <w:charset w:val="86"/>
    <w:family w:val="swiss"/>
    <w:pitch w:val="default"/>
    <w:sig w:usb0="00000000" w:usb1="00000000" w:usb2="00000000" w:usb3="00000000" w:csb0="00000000" w:csb1="00000000"/>
  </w:font>
  <w:font w:name="方正书宋_GBK">
    <w:altName w:val="宋体"/>
    <w:panose1 w:val="00000000000000000000"/>
    <w:charset w:val="86"/>
    <w:family w:val="swiss"/>
    <w:pitch w:val="default"/>
    <w:sig w:usb0="00000000" w:usb1="00000000" w:usb2="00000000" w:usb3="00000000" w:csb0="00000000" w:csb1="00000000"/>
  </w:font>
  <w:font w:name="方正仿宋_GBK">
    <w:altName w:val="宋体"/>
    <w:panose1 w:val="00000000000000000000"/>
    <w:charset w:val="86"/>
    <w:family w:val="swiss"/>
    <w:pitch w:val="default"/>
    <w:sig w:usb0="00000000" w:usb1="00000000" w:usb2="00000000" w:usb3="00000000" w:csb0="00000000" w:csb1="00000000"/>
  </w:font>
  <w:font w:name="黑体">
    <w:panose1 w:val="02010600030101010101"/>
    <w:charset w:val="86"/>
    <w:family w:val="decorative"/>
    <w:pitch w:val="default"/>
    <w:sig w:usb0="00000001" w:usb1="080E0000" w:usb2="00000000" w:usb3="00000000" w:csb0="00040000" w:csb1="00000000"/>
  </w:font>
  <w:font w:name="方正楷体_GBK">
    <w:altName w:val="宋体"/>
    <w:panose1 w:val="00000000000000000000"/>
    <w:charset w:val="86"/>
    <w:family w:val="swiss"/>
    <w:pitch w:val="default"/>
    <w:sig w:usb0="00000000" w:usb1="00000000" w:usb2="00000000" w:usb3="00000000" w:csb0="00000000" w:csb1="00000000"/>
  </w:font>
  <w:font w:name="楷体_GB2312">
    <w:panose1 w:val="02010609030101010101"/>
    <w:charset w:val="86"/>
    <w:family w:val="decorative"/>
    <w:pitch w:val="default"/>
    <w:sig w:usb0="00000001" w:usb1="080E0000" w:usb2="00000000" w:usb3="00000000" w:csb0="00040000" w:csb1="00000000"/>
  </w:font>
  <w:font w:name="仿宋">
    <w:altName w:val="仿宋_GB2312"/>
    <w:panose1 w:val="02010609060101010101"/>
    <w:charset w:val="86"/>
    <w:family w:val="decorative"/>
    <w:pitch w:val="default"/>
    <w:sig w:usb0="00000000" w:usb1="00000000" w:usb2="00000016" w:usb3="00000000" w:csb0="00040001" w:csb1="00000000"/>
  </w:font>
  <w:font w:name="Calibri Light">
    <w:altName w:val="Calibri"/>
    <w:panose1 w:val="020F0302020204030204"/>
    <w:charset w:val="00"/>
    <w:family w:val="roman"/>
    <w:pitch w:val="default"/>
    <w:sig w:usb0="00000000" w:usb1="00000000"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roman"/>
    <w:pitch w:val="default"/>
    <w:sig w:usb0="00007A87" w:usb1="80000000" w:usb2="00000008" w:usb3="00000000" w:csb0="400001FF" w:csb1="FFFF0000"/>
  </w:font>
  <w:font w:name="方正小标宋_GBK">
    <w:altName w:val="宋体"/>
    <w:panose1 w:val="00000000000000000000"/>
    <w:charset w:val="86"/>
    <w:family w:val="decorative"/>
    <w:pitch w:val="default"/>
    <w:sig w:usb0="00000000" w:usb1="00000000" w:usb2="00000000" w:usb3="00000000" w:csb0="00000000" w:csb1="00000000"/>
  </w:font>
  <w:font w:name="方正书宋_GBK">
    <w:altName w:val="宋体"/>
    <w:panose1 w:val="00000000000000000000"/>
    <w:charset w:val="86"/>
    <w:family w:val="decorative"/>
    <w:pitch w:val="default"/>
    <w:sig w:usb0="00000000" w:usb1="00000000" w:usb2="00000000" w:usb3="00000000" w:csb0="00000000" w:csb1="00000000"/>
  </w:font>
  <w:font w:name="方正仿宋_GBK">
    <w:altName w:val="宋体"/>
    <w:panose1 w:val="00000000000000000000"/>
    <w:charset w:val="86"/>
    <w:family w:val="decorative"/>
    <w:pitch w:val="default"/>
    <w:sig w:usb0="00000000" w:usb1="00000000" w:usb2="00000000" w:usb3="00000000" w:csb0="00000000" w:csb1="00000000"/>
  </w:font>
  <w:font w:name="黑体">
    <w:panose1 w:val="02010600030101010101"/>
    <w:charset w:val="86"/>
    <w:family w:val="roman"/>
    <w:pitch w:val="default"/>
    <w:sig w:usb0="00000001" w:usb1="080E0000" w:usb2="00000000" w:usb3="00000000" w:csb0="00040000" w:csb1="00000000"/>
  </w:font>
  <w:font w:name="方正楷体_GBK">
    <w:altName w:val="宋体"/>
    <w:panose1 w:val="00000000000000000000"/>
    <w:charset w:val="86"/>
    <w:family w:val="decorative"/>
    <w:pitch w:val="default"/>
    <w:sig w:usb0="00000000" w:usb1="00000000" w:usb2="00000000" w:usb3="00000000" w:csb0="00000000" w:csb1="00000000"/>
  </w:font>
  <w:font w:name="楷体_GB2312">
    <w:panose1 w:val="02010609030101010101"/>
    <w:charset w:val="86"/>
    <w:family w:val="roman"/>
    <w:pitch w:val="default"/>
    <w:sig w:usb0="00000001" w:usb1="080E0000" w:usb2="00000000" w:usb3="00000000" w:csb0="00040000" w:csb1="00000000"/>
  </w:font>
  <w:font w:name="仿宋">
    <w:altName w:val="仿宋_GB2312"/>
    <w:panose1 w:val="02010609060101010101"/>
    <w:charset w:val="86"/>
    <w:family w:val="roman"/>
    <w:pitch w:val="default"/>
    <w:sig w:usb0="00000000" w:usb1="00000000" w:usb2="00000016" w:usb3="00000000" w:csb0="00040001" w:csb1="00000000"/>
  </w:font>
  <w:font w:name="Calibri Light">
    <w:altName w:val="Calibri"/>
    <w:panose1 w:val="020F0302020204030204"/>
    <w:charset w:val="00"/>
    <w:family w:val="modern"/>
    <w:pitch w:val="default"/>
    <w:sig w:usb0="00000000" w:usb1="00000000" w:usb2="00000009" w:usb3="00000000" w:csb0="000001FF" w:csb1="00000000"/>
  </w:font>
  <w:font w:name="Courier New">
    <w:panose1 w:val="02070309020205020404"/>
    <w:charset w:val="00"/>
    <w:family w:val="modern"/>
    <w:pitch w:val="default"/>
    <w:sig w:usb0="00007A87" w:usb1="80000000" w:usb2="00000008" w:usb3="00000000" w:csb0="400001FF" w:csb1="FFFF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黑体">
    <w:panose1 w:val="02010600030101010101"/>
    <w:charset w:val="86"/>
    <w:family w:val="modern"/>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Calibri Light">
    <w:altName w:val="Calibri"/>
    <w:panose1 w:val="020F0302020204030204"/>
    <w:charset w:val="00"/>
    <w:family w:val="swiss"/>
    <w:pitch w:val="default"/>
    <w:sig w:usb0="00000000" w:usb1="00000000" w:usb2="00000009" w:usb3="00000000" w:csb0="000001FF" w:csb1="00000000"/>
  </w:font>
  <w:font w:name="Courier New">
    <w:panose1 w:val="02070309020205020404"/>
    <w:charset w:val="00"/>
    <w:family w:val="swiss"/>
    <w:pitch w:val="default"/>
    <w:sig w:usb0="00007A87" w:usb1="80000000" w:usb2="00000008" w:usb3="00000000" w:csb0="400001FF" w:csb1="FFFF0000"/>
  </w:font>
  <w:font w:name="方正小标宋_GBK">
    <w:altName w:val="宋体"/>
    <w:panose1 w:val="00000000000000000000"/>
    <w:charset w:val="86"/>
    <w:family w:val="modern"/>
    <w:pitch w:val="default"/>
    <w:sig w:usb0="00000000" w:usb1="00000000" w:usb2="00000000" w:usb3="00000000" w:csb0="00000000" w:csb1="00000000"/>
  </w:font>
  <w:font w:name="方正书宋_GBK">
    <w:altName w:val="宋体"/>
    <w:panose1 w:val="00000000000000000000"/>
    <w:charset w:val="86"/>
    <w:family w:val="modern"/>
    <w:pitch w:val="default"/>
    <w:sig w:usb0="00000000" w:usb1="00000000" w:usb2="00000000" w:usb3="00000000" w:csb0="00000000" w:csb1="00000000"/>
  </w:font>
  <w:font w:name="方正仿宋_GBK">
    <w:altName w:val="宋体"/>
    <w:panose1 w:val="00000000000000000000"/>
    <w:charset w:val="86"/>
    <w:family w:val="modern"/>
    <w:pitch w:val="default"/>
    <w:sig w:usb0="00000000" w:usb1="00000000" w:usb2="00000000" w:usb3="00000000" w:csb0="00000000" w:csb1="00000000"/>
  </w:font>
  <w:font w:name="黑体">
    <w:panose1 w:val="02010600030101010101"/>
    <w:charset w:val="86"/>
    <w:family w:val="swiss"/>
    <w:pitch w:val="default"/>
    <w:sig w:usb0="00000001" w:usb1="080E0000" w:usb2="00000000" w:usb3="00000000" w:csb0="00040000" w:csb1="00000000"/>
  </w:font>
  <w:font w:name="方正楷体_GBK">
    <w:altName w:val="宋体"/>
    <w:panose1 w:val="00000000000000000000"/>
    <w:charset w:val="86"/>
    <w:family w:val="modern"/>
    <w:pitch w:val="default"/>
    <w:sig w:usb0="00000000" w:usb1="00000000" w:usb2="00000000" w:usb3="00000000" w:csb0="00000000" w:csb1="00000000"/>
  </w:font>
  <w:font w:name="楷体_GB2312">
    <w:panose1 w:val="02010609030101010101"/>
    <w:charset w:val="86"/>
    <w:family w:val="swiss"/>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Calibri Light">
    <w:altName w:val="Calibri"/>
    <w:panose1 w:val="020F0302020204030204"/>
    <w:charset w:val="00"/>
    <w:family w:val="decorative"/>
    <w:pitch w:val="default"/>
    <w:sig w:usb0="00000000" w:usb1="00000000" w:usb2="00000009" w:usb3="00000000" w:csb0="000001FF" w:csb1="00000000"/>
  </w:font>
  <w:font w:name="Arial">
    <w:panose1 w:val="020B0604020202020204"/>
    <w:charset w:val="00"/>
    <w:family w:val="auto"/>
    <w:pitch w:val="default"/>
    <w:sig w:usb0="00007A87" w:usb1="80000000" w:usb2="00000008" w:usb3="00000000" w:csb0="400001FF" w:csb1="FFFF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2"/>
  </w:compat>
  <w:rsids>
    <w:rsidRoot w:val="00000000"/>
    <w:rsid w:val="03DB1A4C"/>
    <w:rsid w:val="040C0725"/>
    <w:rsid w:val="04667ACA"/>
    <w:rsid w:val="07B9461F"/>
    <w:rsid w:val="09374F21"/>
    <w:rsid w:val="100B180B"/>
    <w:rsid w:val="138A0087"/>
    <w:rsid w:val="19455FDE"/>
    <w:rsid w:val="19935761"/>
    <w:rsid w:val="1A104CFB"/>
    <w:rsid w:val="1E6C15A6"/>
    <w:rsid w:val="1F4404E9"/>
    <w:rsid w:val="276C4340"/>
    <w:rsid w:val="2A823C42"/>
    <w:rsid w:val="3D094EB3"/>
    <w:rsid w:val="404C5D4F"/>
    <w:rsid w:val="47586D96"/>
    <w:rsid w:val="4D0A142E"/>
    <w:rsid w:val="4F5F4306"/>
    <w:rsid w:val="4FAB6D2A"/>
    <w:rsid w:val="58DA5C37"/>
    <w:rsid w:val="5C20687D"/>
    <w:rsid w:val="66373EEB"/>
    <w:rsid w:val="6C467F59"/>
    <w:rsid w:val="72322B14"/>
    <w:rsid w:val="7AE725E2"/>
    <w:rsid w:val="7B383431"/>
    <w:rsid w:val="7F94775D"/>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Times New Roman"/>
      <w:sz w:val="24"/>
      <w:szCs w:val="24"/>
      <w:lang w:val="en-US" w:eastAsia="uk-UA"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6">
    <w:name w:val="Default Paragraph Fon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5">
    <w:name w:val="toc 1"/>
    <w:basedOn w:val="1"/>
    <w:next w:val="1"/>
    <w:uiPriority w:val="0"/>
    <w:pPr>
      <w:spacing w:before="120"/>
      <w:ind w:firstLine="560"/>
    </w:pPr>
    <w:rPr>
      <w:rFonts w:eastAsia="方正仿宋_GBK"/>
      <w:color w:val="000000"/>
      <w:sz w:val="28"/>
    </w:rPr>
  </w:style>
  <w:style w:type="paragraph" w:customStyle="1" w:styleId="8">
    <w:name w:val="单元格样式22"/>
    <w:basedOn w:val="1"/>
    <w:qFormat/>
    <w:uiPriority w:val="0"/>
    <w:pPr>
      <w:spacing w:before="0" w:after="0"/>
      <w:ind w:firstLine="0"/>
      <w:jc w:val="right"/>
      <w:outlineLvl w:val="9"/>
    </w:pPr>
    <w:rPr>
      <w:rFonts w:ascii="方正小标宋_GBK" w:eastAsia="方正小标宋_GBK" w:cs="方正小标宋_GBK"/>
      <w:sz w:val="24"/>
    </w:rPr>
  </w:style>
  <w:style w:type="paragraph" w:customStyle="1" w:styleId="9">
    <w:name w:val="单元格样式21"/>
    <w:basedOn w:val="1"/>
    <w:uiPriority w:val="0"/>
    <w:pPr>
      <w:spacing w:before="0" w:after="0"/>
      <w:ind w:firstLine="0"/>
      <w:jc w:val="center"/>
      <w:outlineLvl w:val="9"/>
    </w:pPr>
    <w:rPr>
      <w:rFonts w:asci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eastAsia="方正小标宋_GBK" w:cs="方正小标宋_GBK"/>
      <w:sz w:val="24"/>
    </w:rPr>
  </w:style>
  <w:style w:type="paragraph" w:customStyle="1" w:styleId="11">
    <w:name w:val="单元格样式1"/>
    <w:basedOn w:val="1"/>
    <w:uiPriority w:val="0"/>
    <w:pPr>
      <w:spacing w:before="0" w:after="0"/>
      <w:ind w:firstLine="0"/>
      <w:jc w:val="center"/>
      <w:outlineLvl w:val="9"/>
    </w:pPr>
    <w:rPr>
      <w:rFonts w:ascii="方正书宋_GBK" w:eastAsia="方正书宋_GBK" w:cs="方正书宋_GBK"/>
      <w:b/>
      <w:sz w:val="21"/>
    </w:rPr>
  </w:style>
  <w:style w:type="paragraph" w:customStyle="1" w:styleId="12">
    <w:name w:val="单元格样式4"/>
    <w:basedOn w:val="1"/>
    <w:uiPriority w:val="0"/>
    <w:pPr>
      <w:spacing w:before="0" w:after="0"/>
      <w:ind w:firstLine="0"/>
      <w:jc w:val="right"/>
      <w:outlineLvl w:val="9"/>
    </w:pPr>
    <w:rPr>
      <w:rFonts w:ascii="方正书宋_GBK" w:eastAsia="方正书宋_GBK" w:cs="方正书宋_GBK"/>
      <w:sz w:val="21"/>
    </w:rPr>
  </w:style>
  <w:style w:type="paragraph" w:customStyle="1" w:styleId="13">
    <w:name w:val="单元格样式2"/>
    <w:basedOn w:val="1"/>
    <w:uiPriority w:val="0"/>
    <w:pPr>
      <w:spacing w:before="0" w:after="0"/>
      <w:ind w:firstLine="0"/>
      <w:jc w:val="left"/>
      <w:outlineLvl w:val="9"/>
    </w:pPr>
    <w:rPr>
      <w:rFonts w:asci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eastAsia="方正书宋_GBK" w:cs="方正书宋_GBK"/>
      <w:sz w:val="21"/>
    </w:rPr>
  </w:style>
  <w:style w:type="paragraph" w:customStyle="1" w:styleId="15">
    <w:name w:val="单元格样式6"/>
    <w:basedOn w:val="1"/>
    <w:uiPriority w:val="0"/>
    <w:pPr>
      <w:spacing w:before="0" w:after="0"/>
      <w:ind w:firstLine="0"/>
      <w:jc w:val="center"/>
      <w:outlineLvl w:val="9"/>
    </w:pPr>
    <w:rPr>
      <w:rFonts w:ascii="方正书宋_GBK" w:eastAsia="方正书宋_GBK" w:cs="方正书宋_GBK"/>
      <w:b/>
      <w:sz w:val="21"/>
    </w:rPr>
  </w:style>
  <w:style w:type="paragraph" w:customStyle="1" w:styleId="16">
    <w:name w:val="单元格样式7"/>
    <w:basedOn w:val="1"/>
    <w:uiPriority w:val="0"/>
    <w:pPr>
      <w:spacing w:before="0" w:after="0"/>
      <w:ind w:firstLine="0"/>
      <w:jc w:val="right"/>
      <w:outlineLvl w:val="9"/>
    </w:pPr>
    <w:rPr>
      <w:rFonts w:asci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eastAsia="方正书宋_GBK" w:cs="方正书宋_GBK"/>
      <w:b/>
      <w:sz w:val="21"/>
    </w:rPr>
  </w:style>
  <w:style w:type="paragraph" w:customStyle="1" w:styleId="1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Normal_c3831c13-70e3-4a11-ab17-feb9dfaae01e"/>
    <w:uiPriority w:val="0"/>
    <w:pPr>
      <w:pBdr>
        <w:top w:val="none" w:color="auto" w:sz="0" w:space="0"/>
        <w:left w:val="none" w:color="auto" w:sz="0" w:space="0"/>
        <w:bottom w:val="none" w:color="auto" w:sz="0" w:space="0"/>
        <w:right w:val="none" w:color="auto" w:sz="0" w:space="0"/>
      </w:pBdr>
    </w:pPr>
    <w:rPr>
      <w:rFonts w:ascii="Times New Roman" w:hAnsi="Times New Roman" w:eastAsia="Times New Roman" w:cs="Times New Roman"/>
      <w:sz w:val="24"/>
      <w:szCs w:val="24"/>
      <w:lang w:val="en-US" w:eastAsia="uk-UA" w:bidi="ar-SA"/>
    </w:rPr>
  </w:style>
  <w:style w:type="paragraph" w:customStyle="1" w:styleId="26">
    <w:name w:val="单元格样式1_712fdeb6-7121-4739-9c67-06586262fa95"/>
    <w:basedOn w:val="1"/>
    <w:uiPriority w:val="0"/>
    <w:pPr>
      <w:pBdr>
        <w:top w:val="none" w:color="auto" w:sz="0" w:space="0"/>
        <w:left w:val="none" w:color="auto" w:sz="0" w:space="0"/>
        <w:bottom w:val="none" w:color="auto" w:sz="0" w:space="0"/>
        <w:right w:val="none" w:color="auto" w:sz="0" w:space="0"/>
      </w:pBdr>
      <w:spacing w:before="0" w:after="0"/>
      <w:ind w:firstLine="0"/>
      <w:jc w:val="center"/>
      <w:outlineLvl w:val="9"/>
    </w:pPr>
    <w:rPr>
      <w:rFonts w:ascii="方正书宋_GBK" w:eastAsia="方正书宋_GBK" w:cs="方正书宋_GBK"/>
      <w:b/>
      <w:sz w:val="21"/>
    </w:rPr>
  </w:style>
  <w:style w:type="paragraph" w:customStyle="1" w:styleId="27">
    <w:name w:val="单元格样式2_4db0df81-d33a-4d76-a0f3-8c75fc7f5af4"/>
    <w:basedOn w:val="1"/>
    <w:uiPriority w:val="0"/>
    <w:pPr>
      <w:pBdr>
        <w:top w:val="none" w:color="auto" w:sz="0" w:space="0"/>
        <w:left w:val="none" w:color="auto" w:sz="0" w:space="0"/>
        <w:bottom w:val="none" w:color="auto" w:sz="0" w:space="0"/>
        <w:right w:val="none" w:color="auto" w:sz="0" w:space="0"/>
      </w:pBdr>
      <w:spacing w:before="0" w:after="0"/>
      <w:ind w:firstLine="0"/>
      <w:jc w:val="left"/>
      <w:outlineLvl w:val="9"/>
    </w:pPr>
    <w:rPr>
      <w:rFonts w:ascii="方正书宋_GBK" w:eastAsia="方正书宋_GBK" w:cs="方正书宋_GBK"/>
      <w:sz w:val="21"/>
    </w:rPr>
  </w:style>
  <w:style w:type="paragraph" w:customStyle="1" w:styleId="28">
    <w:name w:val="单元格样式3_e3c0342e-74b7-4092-a6d2-e81e70ac9f7a"/>
    <w:basedOn w:val="1"/>
    <w:uiPriority w:val="0"/>
    <w:pPr>
      <w:pBdr>
        <w:top w:val="none" w:color="auto" w:sz="0" w:space="0"/>
        <w:left w:val="none" w:color="auto" w:sz="0" w:space="0"/>
        <w:bottom w:val="none" w:color="auto" w:sz="0" w:space="0"/>
        <w:right w:val="none" w:color="auto" w:sz="0" w:space="0"/>
      </w:pBdr>
      <w:spacing w:before="0" w:after="0"/>
      <w:ind w:firstLine="0"/>
      <w:jc w:val="center"/>
      <w:outlineLvl w:val="9"/>
    </w:pPr>
    <w:rPr>
      <w:rFonts w:ascii="方正书宋_GBK" w:eastAsia="方正书宋_GBK" w:cs="方正书宋_GBK"/>
      <w:sz w:val="21"/>
    </w:rPr>
  </w:style>
  <w:style w:type="paragraph" w:customStyle="1" w:styleId="29">
    <w:name w:val="单元格样式23"/>
    <w:basedOn w:val="1"/>
    <w:uiPriority w:val="0"/>
    <w:pPr>
      <w:spacing w:before="0" w:after="0"/>
      <w:ind w:firstLine="0"/>
      <w:jc w:val="right"/>
      <w:outlineLvl w:val="9"/>
    </w:pPr>
    <w:rPr>
      <w:rFonts w:ascii="方正书宋_GBK" w:eastAsia="方正书宋_GBK" w:cs="方正书宋_GBK"/>
      <w:sz w:val="24"/>
    </w:rPr>
  </w:style>
  <w:style w:type="paragraph" w:customStyle="1" w:styleId="30">
    <w:name w:val="插入文本样式-插入单位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3">
    <w:name w:val="插入文本样式-插入预算公开单位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4">
    <w:name w:val="TOC 2"/>
    <w:basedOn w:val="1"/>
    <w:uiPriority w:val="0"/>
    <w:pPr>
      <w:ind w:left="240"/>
    </w:pPr>
  </w:style>
  <w:style w:type="paragraph" w:customStyle="1" w:styleId="35">
    <w:name w:val="TOC 3"/>
    <w:basedOn w:val="1"/>
    <w:qFormat/>
    <w:uiPriority w:val="0"/>
    <w:pPr>
      <w:ind w:left="480"/>
    </w:pPr>
  </w:style>
  <w:style w:type="paragraph" w:customStyle="1" w:styleId="36">
    <w:name w:val="TOC 4"/>
    <w:basedOn w:val="1"/>
    <w:uiPriority w:val="0"/>
    <w:pPr>
      <w:ind w:left="720"/>
    </w:pPr>
  </w:style>
  <w:style w:type="paragraph" w:customStyle="1" w:styleId="37">
    <w:name w:val="TOC 1"/>
    <w:basedOn w:val="1"/>
    <w:uiPriority w:val="0"/>
    <w:pPr>
      <w:spacing w:before="120" w:line="240" w:lineRule="auto"/>
      <w:ind w:firstLine="560"/>
    </w:pPr>
    <w:rPr>
      <w:rFonts w:ascii="Times New Roman" w:hAnsi="Times New Roman" w:eastAsia="方正仿宋_GBK" w:cs="Times New Roman"/>
      <w:color w:val="000000"/>
      <w:sz w:val="28"/>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46</Pages>
  <Words>14829</Words>
  <Characters>17909</Characters>
  <Lines>3599</Lines>
  <Paragraphs>2241</Paragraphs>
  <TotalTime>0</TotalTime>
  <ScaleCrop>false</ScaleCrop>
  <LinksUpToDate>false</LinksUpToDate>
  <CharactersWithSpaces>18246</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2022-02-18T10:13:00Z</dcterms:created>
  <dc:creator>Administrator</dc:creator>
  <cp:lastModifiedBy>Administrator</cp:lastModifiedBy>
  <dcterms:modified xsi:type="dcterms:W3CDTF">2022-02-28T02:14:38Z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