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15</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24</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304唐山市丰南区信访局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729.77</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r>
              <w:t>625.62</w:t>
            </w: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43.10</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31.66</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29.39</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729.77</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729.77</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729.77</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729.77</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304唐山市丰南区信访局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729.77</w:t>
            </w:r>
          </w:p>
        </w:tc>
        <w:tc>
          <w:tcPr>
            <w:tcW w:w="1134" w:type="dxa"/>
            <w:tcBorders>
              <w:left w:val="single" w:sz="6" w:space="0" w:color="000000"/>
              <w:right w:val="single" w:sz="6" w:space="0" w:color="000000"/>
            </w:tcBorders>
            <w:vAlign w:val="center"/>
          </w:tcPr>
          <w:p>
            <w:pPr>
              <w:pStyle w:val="23"/>
            </w:pPr>
            <w:r>
              <w:t>729.77</w:t>
            </w:r>
          </w:p>
        </w:tc>
        <w:tc>
          <w:tcPr>
            <w:tcW w:w="1134" w:type="dxa"/>
            <w:tcBorders>
              <w:left w:val="single" w:sz="6" w:space="0" w:color="000000"/>
              <w:right w:val="single" w:sz="6" w:space="0" w:color="000000"/>
            </w:tcBorders>
            <w:vAlign w:val="center"/>
          </w:tcPr>
          <w:p>
            <w:pPr>
              <w:pStyle w:val="23"/>
            </w:pPr>
            <w:r>
              <w:t>729.77</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20140</w:t>
            </w:r>
          </w:p>
        </w:tc>
        <w:tc>
          <w:tcPr>
            <w:tcW w:w="1559" w:type="dxa"/>
            <w:tcBorders>
              <w:left w:val="single" w:sz="6" w:space="0" w:color="000000"/>
              <w:right w:val="single" w:sz="6" w:space="0" w:color="000000"/>
            </w:tcBorders>
            <w:vAlign w:val="center"/>
          </w:tcPr>
          <w:p>
            <w:pPr>
              <w:pStyle w:val="20"/>
            </w:pPr>
            <w:r>
              <w:t>信访事务</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r>
              <w:t>625.62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2014001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357.62</w:t>
            </w:r>
          </w:p>
        </w:tc>
        <w:tc>
          <w:tcPr>
            <w:tcW w:w="1134" w:type="dxa"/>
            <w:tcBorders>
              <w:left w:val="single" w:sz="6" w:space="0" w:color="000000"/>
              <w:right w:val="single" w:sz="6" w:space="0" w:color="000000"/>
            </w:tcBorders>
            <w:vAlign w:val="center"/>
          </w:tcPr>
          <w:p>
            <w:pPr>
              <w:pStyle w:val="19"/>
            </w:pPr>
            <w:r>
              <w:t>357.62</w:t>
            </w:r>
          </w:p>
        </w:tc>
        <w:tc>
          <w:tcPr>
            <w:tcW w:w="1134" w:type="dxa"/>
            <w:tcBorders>
              <w:left w:val="single" w:sz="6" w:space="0" w:color="000000"/>
              <w:right w:val="single" w:sz="6" w:space="0" w:color="000000"/>
            </w:tcBorders>
            <w:vAlign w:val="center"/>
          </w:tcPr>
          <w:p>
            <w:pPr>
              <w:pStyle w:val="19"/>
            </w:pPr>
            <w:r>
              <w:t>357.62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2014004</w:t>
            </w:r>
          </w:p>
        </w:tc>
        <w:tc>
          <w:tcPr>
            <w:tcW w:w="1559" w:type="dxa"/>
            <w:tcBorders>
              <w:left w:val="single" w:sz="6" w:space="0" w:color="000000"/>
              <w:right w:val="single" w:sz="6" w:space="0" w:color="000000"/>
            </w:tcBorders>
            <w:vAlign w:val="center"/>
          </w:tcPr>
          <w:p>
            <w:pPr>
              <w:pStyle w:val="20"/>
            </w:pPr>
            <w:r>
              <w:t>信访业务</w:t>
            </w:r>
          </w:p>
        </w:tc>
        <w:tc>
          <w:tcPr>
            <w:tcW w:w="1134" w:type="dxa"/>
            <w:tcBorders>
              <w:left w:val="single" w:sz="6" w:space="0" w:color="000000"/>
              <w:right w:val="single" w:sz="6" w:space="0" w:color="000000"/>
            </w:tcBorders>
            <w:vAlign w:val="center"/>
          </w:tcPr>
          <w:p>
            <w:pPr>
              <w:pStyle w:val="19"/>
            </w:pPr>
            <w:r>
              <w:t>268.00</w:t>
            </w:r>
          </w:p>
        </w:tc>
        <w:tc>
          <w:tcPr>
            <w:tcW w:w="1134" w:type="dxa"/>
            <w:tcBorders>
              <w:left w:val="single" w:sz="6" w:space="0" w:color="000000"/>
              <w:right w:val="single" w:sz="6" w:space="0" w:color="000000"/>
            </w:tcBorders>
            <w:vAlign w:val="center"/>
          </w:tcPr>
          <w:p>
            <w:pPr>
              <w:pStyle w:val="19"/>
            </w:pPr>
            <w:r>
              <w:t>268.00</w:t>
            </w:r>
          </w:p>
        </w:tc>
        <w:tc>
          <w:tcPr>
            <w:tcW w:w="1134" w:type="dxa"/>
            <w:tcBorders>
              <w:left w:val="single" w:sz="6" w:space="0" w:color="000000"/>
              <w:right w:val="single" w:sz="6" w:space="0" w:color="000000"/>
            </w:tcBorders>
            <w:vAlign w:val="center"/>
          </w:tcPr>
          <w:p>
            <w:pPr>
              <w:pStyle w:val="19"/>
            </w:pPr>
            <w:r>
              <w:t>268.00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r>
              <w:t>43.10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r>
              <w:t>7.28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35.82</w:t>
            </w:r>
          </w:p>
        </w:tc>
        <w:tc>
          <w:tcPr>
            <w:tcW w:w="1134" w:type="dxa"/>
            <w:tcBorders>
              <w:left w:val="single" w:sz="6" w:space="0" w:color="000000"/>
              <w:right w:val="single" w:sz="6" w:space="0" w:color="000000"/>
            </w:tcBorders>
            <w:vAlign w:val="center"/>
          </w:tcPr>
          <w:p>
            <w:pPr>
              <w:pStyle w:val="19"/>
            </w:pPr>
            <w:r>
              <w:t>35.82</w:t>
            </w:r>
          </w:p>
        </w:tc>
        <w:tc>
          <w:tcPr>
            <w:tcW w:w="1134" w:type="dxa"/>
            <w:tcBorders>
              <w:left w:val="single" w:sz="6" w:space="0" w:color="000000"/>
              <w:right w:val="single" w:sz="6" w:space="0" w:color="000000"/>
            </w:tcBorders>
            <w:vAlign w:val="center"/>
          </w:tcPr>
          <w:p>
            <w:pPr>
              <w:pStyle w:val="19"/>
            </w:pPr>
            <w:r>
              <w:t>35.82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r>
              <w:t>31.66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14.22</w:t>
            </w:r>
          </w:p>
        </w:tc>
        <w:tc>
          <w:tcPr>
            <w:tcW w:w="1134" w:type="dxa"/>
            <w:tcBorders>
              <w:left w:val="single" w:sz="6" w:space="0" w:color="000000"/>
              <w:right w:val="single" w:sz="6" w:space="0" w:color="000000"/>
            </w:tcBorders>
            <w:vAlign w:val="center"/>
          </w:tcPr>
          <w:p>
            <w:pPr>
              <w:pStyle w:val="19"/>
            </w:pPr>
            <w:r>
              <w:t>14.22</w:t>
            </w:r>
          </w:p>
        </w:tc>
        <w:tc>
          <w:tcPr>
            <w:tcW w:w="1134" w:type="dxa"/>
            <w:tcBorders>
              <w:left w:val="single" w:sz="6" w:space="0" w:color="000000"/>
              <w:right w:val="single" w:sz="6" w:space="0" w:color="000000"/>
            </w:tcBorders>
            <w:vAlign w:val="center"/>
          </w:tcPr>
          <w:p>
            <w:pPr>
              <w:pStyle w:val="19"/>
            </w:pPr>
            <w:r>
              <w:t>14.22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17.44</w:t>
            </w:r>
          </w:p>
        </w:tc>
        <w:tc>
          <w:tcPr>
            <w:tcW w:w="1134" w:type="dxa"/>
            <w:tcBorders>
              <w:left w:val="single" w:sz="6" w:space="0" w:color="000000"/>
              <w:right w:val="single" w:sz="6" w:space="0" w:color="000000"/>
            </w:tcBorders>
            <w:vAlign w:val="center"/>
          </w:tcPr>
          <w:p>
            <w:pPr>
              <w:pStyle w:val="19"/>
            </w:pPr>
            <w:r>
              <w:t>17.44</w:t>
            </w:r>
          </w:p>
        </w:tc>
        <w:tc>
          <w:tcPr>
            <w:tcW w:w="1134" w:type="dxa"/>
            <w:tcBorders>
              <w:left w:val="single" w:sz="6" w:space="0" w:color="000000"/>
              <w:right w:val="single" w:sz="6" w:space="0" w:color="000000"/>
            </w:tcBorders>
            <w:vAlign w:val="center"/>
          </w:tcPr>
          <w:p>
            <w:pPr>
              <w:pStyle w:val="19"/>
            </w:pPr>
            <w:r>
              <w:t>17.44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r>
              <w:t>29.39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729.77</w:t>
            </w:r>
          </w:p>
        </w:tc>
        <w:tc>
          <w:tcPr>
            <w:tcW w:w="1361" w:type="dxa"/>
            <w:tcBorders>
              <w:left w:val="single" w:sz="6" w:space="0" w:color="000000"/>
              <w:right w:val="single" w:sz="6" w:space="0" w:color="000000"/>
            </w:tcBorders>
            <w:vAlign w:val="center"/>
          </w:tcPr>
          <w:p>
            <w:pPr>
              <w:pStyle w:val="23"/>
            </w:pPr>
            <w:r>
              <w:t>461.77</w:t>
            </w:r>
          </w:p>
        </w:tc>
        <w:tc>
          <w:tcPr>
            <w:tcW w:w="1361" w:type="dxa"/>
            <w:tcBorders>
              <w:left w:val="single" w:sz="6" w:space="0" w:color="000000"/>
              <w:right w:val="single" w:sz="6" w:space="0" w:color="000000"/>
            </w:tcBorders>
            <w:vAlign w:val="center"/>
          </w:tcPr>
          <w:p>
            <w:pPr>
              <w:pStyle w:val="23"/>
            </w:pPr>
            <w:r>
              <w:t>268.00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625.62</w:t>
            </w:r>
          </w:p>
        </w:tc>
        <w:tc>
          <w:tcPr>
            <w:tcW w:w="1361" w:type="dxa"/>
            <w:tcBorders>
              <w:left w:val="single" w:sz="6" w:space="0" w:color="000000"/>
              <w:right w:val="single" w:sz="6" w:space="0" w:color="000000"/>
            </w:tcBorders>
            <w:vAlign w:val="center"/>
          </w:tcPr>
          <w:p>
            <w:pPr>
              <w:pStyle w:val="19"/>
            </w:pPr>
            <w:r>
              <w:t>357.62</w:t>
            </w:r>
          </w:p>
        </w:tc>
        <w:tc>
          <w:tcPr>
            <w:tcW w:w="1361" w:type="dxa"/>
            <w:tcBorders>
              <w:left w:val="single" w:sz="6" w:space="0" w:color="000000"/>
              <w:right w:val="single" w:sz="6" w:space="0" w:color="000000"/>
            </w:tcBorders>
            <w:vAlign w:val="center"/>
          </w:tcPr>
          <w:p>
            <w:pPr>
              <w:pStyle w:val="19"/>
            </w:pPr>
            <w:r>
              <w:t>268.00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20140</w:t>
            </w:r>
          </w:p>
        </w:tc>
        <w:tc>
          <w:tcPr>
            <w:tcW w:w="4535" w:type="dxa"/>
            <w:tcBorders>
              <w:left w:val="single" w:sz="6" w:space="0" w:color="000000"/>
              <w:right w:val="single" w:sz="6" w:space="0" w:color="000000"/>
            </w:tcBorders>
            <w:vAlign w:val="center"/>
          </w:tcPr>
          <w:p>
            <w:pPr>
              <w:pStyle w:val="20"/>
            </w:pPr>
            <w:r>
              <w:t>信访事务</w:t>
            </w:r>
          </w:p>
        </w:tc>
        <w:tc>
          <w:tcPr>
            <w:tcW w:w="1361" w:type="dxa"/>
            <w:tcBorders>
              <w:left w:val="single" w:sz="6" w:space="0" w:color="000000"/>
              <w:right w:val="single" w:sz="6" w:space="0" w:color="000000"/>
            </w:tcBorders>
            <w:vAlign w:val="center"/>
          </w:tcPr>
          <w:p>
            <w:pPr>
              <w:pStyle w:val="19"/>
            </w:pPr>
            <w:r>
              <w:t>625.62</w:t>
            </w:r>
          </w:p>
        </w:tc>
        <w:tc>
          <w:tcPr>
            <w:tcW w:w="1361" w:type="dxa"/>
            <w:tcBorders>
              <w:left w:val="single" w:sz="6" w:space="0" w:color="000000"/>
              <w:right w:val="single" w:sz="6" w:space="0" w:color="000000"/>
            </w:tcBorders>
            <w:vAlign w:val="center"/>
          </w:tcPr>
          <w:p>
            <w:pPr>
              <w:pStyle w:val="19"/>
            </w:pPr>
            <w:r>
              <w:t>357.62</w:t>
            </w:r>
          </w:p>
        </w:tc>
        <w:tc>
          <w:tcPr>
            <w:tcW w:w="1361" w:type="dxa"/>
            <w:tcBorders>
              <w:left w:val="single" w:sz="6" w:space="0" w:color="000000"/>
              <w:right w:val="single" w:sz="6" w:space="0" w:color="000000"/>
            </w:tcBorders>
            <w:vAlign w:val="center"/>
          </w:tcPr>
          <w:p>
            <w:pPr>
              <w:pStyle w:val="19"/>
            </w:pPr>
            <w:r>
              <w:t>268.00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2014001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357.62</w:t>
            </w:r>
          </w:p>
        </w:tc>
        <w:tc>
          <w:tcPr>
            <w:tcW w:w="1361" w:type="dxa"/>
            <w:tcBorders>
              <w:left w:val="single" w:sz="6" w:space="0" w:color="000000"/>
              <w:right w:val="single" w:sz="6" w:space="0" w:color="000000"/>
            </w:tcBorders>
            <w:vAlign w:val="center"/>
          </w:tcPr>
          <w:p>
            <w:pPr>
              <w:pStyle w:val="19"/>
            </w:pPr>
            <w:r>
              <w:t>357.62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2014004</w:t>
            </w:r>
          </w:p>
        </w:tc>
        <w:tc>
          <w:tcPr>
            <w:tcW w:w="4535" w:type="dxa"/>
            <w:tcBorders>
              <w:left w:val="single" w:sz="6" w:space="0" w:color="000000"/>
              <w:right w:val="single" w:sz="6" w:space="0" w:color="000000"/>
            </w:tcBorders>
            <w:vAlign w:val="center"/>
          </w:tcPr>
          <w:p>
            <w:pPr>
              <w:pStyle w:val="20"/>
            </w:pPr>
            <w:r>
              <w:t>信访业务</w:t>
            </w:r>
          </w:p>
        </w:tc>
        <w:tc>
          <w:tcPr>
            <w:tcW w:w="1361" w:type="dxa"/>
            <w:tcBorders>
              <w:left w:val="single" w:sz="6" w:space="0" w:color="000000"/>
              <w:right w:val="single" w:sz="6" w:space="0" w:color="000000"/>
            </w:tcBorders>
            <w:vAlign w:val="center"/>
          </w:tcPr>
          <w:p>
            <w:pPr>
              <w:pStyle w:val="19"/>
            </w:pPr>
            <w:r>
              <w:t>268.00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268.00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43.10</w:t>
            </w:r>
          </w:p>
        </w:tc>
        <w:tc>
          <w:tcPr>
            <w:tcW w:w="1361" w:type="dxa"/>
            <w:tcBorders>
              <w:left w:val="single" w:sz="6" w:space="0" w:color="000000"/>
              <w:right w:val="single" w:sz="6" w:space="0" w:color="000000"/>
            </w:tcBorders>
            <w:vAlign w:val="center"/>
          </w:tcPr>
          <w:p>
            <w:pPr>
              <w:pStyle w:val="19"/>
            </w:pPr>
            <w:r>
              <w:t>43.10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43.10</w:t>
            </w:r>
          </w:p>
        </w:tc>
        <w:tc>
          <w:tcPr>
            <w:tcW w:w="1361" w:type="dxa"/>
            <w:tcBorders>
              <w:left w:val="single" w:sz="6" w:space="0" w:color="000000"/>
              <w:right w:val="single" w:sz="6" w:space="0" w:color="000000"/>
            </w:tcBorders>
            <w:vAlign w:val="center"/>
          </w:tcPr>
          <w:p>
            <w:pPr>
              <w:pStyle w:val="19"/>
            </w:pPr>
            <w:r>
              <w:t>43.10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7.28</w:t>
            </w:r>
          </w:p>
        </w:tc>
        <w:tc>
          <w:tcPr>
            <w:tcW w:w="1361" w:type="dxa"/>
            <w:tcBorders>
              <w:left w:val="single" w:sz="6" w:space="0" w:color="000000"/>
              <w:right w:val="single" w:sz="6" w:space="0" w:color="000000"/>
            </w:tcBorders>
            <w:vAlign w:val="center"/>
          </w:tcPr>
          <w:p>
            <w:pPr>
              <w:pStyle w:val="19"/>
            </w:pPr>
            <w:r>
              <w:t>7.28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35.82</w:t>
            </w:r>
          </w:p>
        </w:tc>
        <w:tc>
          <w:tcPr>
            <w:tcW w:w="1361" w:type="dxa"/>
            <w:tcBorders>
              <w:left w:val="single" w:sz="6" w:space="0" w:color="000000"/>
              <w:right w:val="single" w:sz="6" w:space="0" w:color="000000"/>
            </w:tcBorders>
            <w:vAlign w:val="center"/>
          </w:tcPr>
          <w:p>
            <w:pPr>
              <w:pStyle w:val="19"/>
            </w:pPr>
            <w:r>
              <w:t>35.82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31.66</w:t>
            </w:r>
          </w:p>
        </w:tc>
        <w:tc>
          <w:tcPr>
            <w:tcW w:w="1361" w:type="dxa"/>
            <w:tcBorders>
              <w:left w:val="single" w:sz="6" w:space="0" w:color="000000"/>
              <w:right w:val="single" w:sz="6" w:space="0" w:color="000000"/>
            </w:tcBorders>
            <w:vAlign w:val="center"/>
          </w:tcPr>
          <w:p>
            <w:pPr>
              <w:pStyle w:val="19"/>
            </w:pPr>
            <w:r>
              <w:t>31.66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31.66</w:t>
            </w:r>
          </w:p>
        </w:tc>
        <w:tc>
          <w:tcPr>
            <w:tcW w:w="1361" w:type="dxa"/>
            <w:tcBorders>
              <w:left w:val="single" w:sz="6" w:space="0" w:color="000000"/>
              <w:right w:val="single" w:sz="6" w:space="0" w:color="000000"/>
            </w:tcBorders>
            <w:vAlign w:val="center"/>
          </w:tcPr>
          <w:p>
            <w:pPr>
              <w:pStyle w:val="19"/>
            </w:pPr>
            <w:r>
              <w:t>31.66</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14.22</w:t>
            </w:r>
          </w:p>
        </w:tc>
        <w:tc>
          <w:tcPr>
            <w:tcW w:w="1361" w:type="dxa"/>
            <w:tcBorders>
              <w:left w:val="single" w:sz="6" w:space="0" w:color="000000"/>
              <w:right w:val="single" w:sz="6" w:space="0" w:color="000000"/>
            </w:tcBorders>
            <w:vAlign w:val="center"/>
          </w:tcPr>
          <w:p>
            <w:pPr>
              <w:pStyle w:val="19"/>
            </w:pPr>
            <w:r>
              <w:t>14.22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17.44</w:t>
            </w:r>
          </w:p>
        </w:tc>
        <w:tc>
          <w:tcPr>
            <w:tcW w:w="1361" w:type="dxa"/>
            <w:tcBorders>
              <w:left w:val="single" w:sz="6" w:space="0" w:color="000000"/>
              <w:right w:val="single" w:sz="6" w:space="0" w:color="000000"/>
            </w:tcBorders>
            <w:vAlign w:val="center"/>
          </w:tcPr>
          <w:p>
            <w:pPr>
              <w:pStyle w:val="19"/>
            </w:pPr>
            <w:r>
              <w:t>17.44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r>
              <w:t>29.39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729.77</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625.62</w:t>
            </w:r>
          </w:p>
        </w:tc>
        <w:tc>
          <w:tcPr>
            <w:tcW w:w="1474" w:type="dxa"/>
            <w:tcBorders>
              <w:left w:val="single" w:sz="6" w:space="0" w:color="000000"/>
              <w:right w:val="single" w:sz="6" w:space="0" w:color="000000"/>
            </w:tcBorders>
            <w:vAlign w:val="center"/>
          </w:tcPr>
          <w:p>
            <w:pPr>
              <w:pStyle w:val="19"/>
            </w:pPr>
            <w:r>
              <w:t>625.62</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43.10</w:t>
            </w:r>
          </w:p>
        </w:tc>
        <w:tc>
          <w:tcPr>
            <w:tcW w:w="1474" w:type="dxa"/>
            <w:tcBorders>
              <w:left w:val="single" w:sz="6" w:space="0" w:color="000000"/>
              <w:right w:val="single" w:sz="6" w:space="0" w:color="000000"/>
            </w:tcBorders>
            <w:vAlign w:val="center"/>
          </w:tcPr>
          <w:p>
            <w:pPr>
              <w:pStyle w:val="19"/>
            </w:pPr>
            <w:r>
              <w:t>43.10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31.66</w:t>
            </w:r>
          </w:p>
        </w:tc>
        <w:tc>
          <w:tcPr>
            <w:tcW w:w="1474" w:type="dxa"/>
            <w:tcBorders>
              <w:left w:val="single" w:sz="6" w:space="0" w:color="000000"/>
              <w:right w:val="single" w:sz="6" w:space="0" w:color="000000"/>
            </w:tcBorders>
            <w:vAlign w:val="center"/>
          </w:tcPr>
          <w:p>
            <w:pPr>
              <w:pStyle w:val="19"/>
            </w:pPr>
            <w:r>
              <w:t>31.66</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29.39</w:t>
            </w:r>
          </w:p>
        </w:tc>
        <w:tc>
          <w:tcPr>
            <w:tcW w:w="1474" w:type="dxa"/>
            <w:tcBorders>
              <w:left w:val="single" w:sz="6" w:space="0" w:color="000000"/>
              <w:right w:val="single" w:sz="6" w:space="0" w:color="000000"/>
            </w:tcBorders>
            <w:vAlign w:val="center"/>
          </w:tcPr>
          <w:p>
            <w:pPr>
              <w:pStyle w:val="19"/>
            </w:pPr>
            <w:r>
              <w:t>29.39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729.77</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729.77</w:t>
            </w:r>
          </w:p>
        </w:tc>
        <w:tc>
          <w:tcPr>
            <w:tcW w:w="1474" w:type="dxa"/>
            <w:tcBorders>
              <w:left w:val="single" w:sz="6" w:space="0" w:color="000000"/>
              <w:right w:val="single" w:sz="6" w:space="0" w:color="000000"/>
            </w:tcBorders>
            <w:vAlign w:val="center"/>
          </w:tcPr>
          <w:p>
            <w:pPr>
              <w:pStyle w:val="23"/>
            </w:pPr>
            <w:r>
              <w:t>729.77</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729.77</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729.77</w:t>
            </w:r>
          </w:p>
        </w:tc>
        <w:tc>
          <w:tcPr>
            <w:tcW w:w="1474" w:type="dxa"/>
            <w:tcBorders>
              <w:left w:val="single" w:sz="6" w:space="0" w:color="000000"/>
              <w:right w:val="single" w:sz="6" w:space="0" w:color="000000"/>
            </w:tcBorders>
            <w:vAlign w:val="center"/>
          </w:tcPr>
          <w:p>
            <w:pPr>
              <w:pStyle w:val="23"/>
            </w:pPr>
            <w:r>
              <w:t>729.77</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729.77</w:t>
            </w:r>
          </w:p>
        </w:tc>
        <w:tc>
          <w:tcPr>
            <w:tcW w:w="2551" w:type="dxa"/>
            <w:tcBorders>
              <w:left w:val="single" w:sz="6" w:space="0" w:color="000000"/>
              <w:right w:val="single" w:sz="6" w:space="0" w:color="000000"/>
            </w:tcBorders>
            <w:vAlign w:val="center"/>
          </w:tcPr>
          <w:p>
            <w:pPr>
              <w:pStyle w:val="23"/>
            </w:pPr>
            <w:r>
              <w:t>461.77</w:t>
            </w:r>
          </w:p>
        </w:tc>
        <w:tc>
          <w:tcPr>
            <w:tcW w:w="2551" w:type="dxa"/>
            <w:vAlign w:val="center"/>
          </w:tcPr>
          <w:p>
            <w:pPr>
              <w:pStyle w:val="23"/>
            </w:pPr>
            <w:r>
              <w:t>268.00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625.62</w:t>
            </w:r>
          </w:p>
        </w:tc>
        <w:tc>
          <w:tcPr>
            <w:tcW w:w="2551" w:type="dxa"/>
            <w:tcBorders>
              <w:left w:val="single" w:sz="6" w:space="0" w:color="000000"/>
              <w:right w:val="single" w:sz="6" w:space="0" w:color="000000"/>
            </w:tcBorders>
            <w:vAlign w:val="center"/>
          </w:tcPr>
          <w:p>
            <w:pPr>
              <w:pStyle w:val="19"/>
            </w:pPr>
            <w:r>
              <w:t>357.62</w:t>
            </w:r>
          </w:p>
        </w:tc>
        <w:tc>
          <w:tcPr>
            <w:tcW w:w="2551" w:type="dxa"/>
            <w:vAlign w:val="center"/>
          </w:tcPr>
          <w:p>
            <w:pPr>
              <w:pStyle w:val="19"/>
            </w:pPr>
            <w:r>
              <w:t>268.00</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20140</w:t>
            </w:r>
          </w:p>
        </w:tc>
        <w:tc>
          <w:tcPr>
            <w:tcW w:w="4535" w:type="dxa"/>
            <w:tcBorders>
              <w:left w:val="single" w:sz="6" w:space="0" w:color="000000"/>
              <w:right w:val="single" w:sz="6" w:space="0" w:color="000000"/>
            </w:tcBorders>
            <w:vAlign w:val="center"/>
          </w:tcPr>
          <w:p>
            <w:pPr>
              <w:pStyle w:val="20"/>
            </w:pPr>
            <w:r>
              <w:t>信访事务</w:t>
            </w:r>
          </w:p>
        </w:tc>
        <w:tc>
          <w:tcPr>
            <w:tcW w:w="2551" w:type="dxa"/>
            <w:tcBorders>
              <w:left w:val="single" w:sz="6" w:space="0" w:color="000000"/>
              <w:right w:val="single" w:sz="6" w:space="0" w:color="000000"/>
            </w:tcBorders>
            <w:vAlign w:val="center"/>
          </w:tcPr>
          <w:p>
            <w:pPr>
              <w:pStyle w:val="19"/>
            </w:pPr>
            <w:r>
              <w:t>625.62</w:t>
            </w:r>
          </w:p>
        </w:tc>
        <w:tc>
          <w:tcPr>
            <w:tcW w:w="2551" w:type="dxa"/>
            <w:tcBorders>
              <w:left w:val="single" w:sz="6" w:space="0" w:color="000000"/>
              <w:right w:val="single" w:sz="6" w:space="0" w:color="000000"/>
            </w:tcBorders>
            <w:vAlign w:val="center"/>
          </w:tcPr>
          <w:p>
            <w:pPr>
              <w:pStyle w:val="19"/>
            </w:pPr>
            <w:r>
              <w:t>357.62</w:t>
            </w:r>
          </w:p>
        </w:tc>
        <w:tc>
          <w:tcPr>
            <w:tcW w:w="2551" w:type="dxa"/>
            <w:vAlign w:val="center"/>
          </w:tcPr>
          <w:p>
            <w:pPr>
              <w:pStyle w:val="19"/>
            </w:pPr>
            <w:r>
              <w:t>268.00</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2014001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357.62</w:t>
            </w:r>
          </w:p>
        </w:tc>
        <w:tc>
          <w:tcPr>
            <w:tcW w:w="2551" w:type="dxa"/>
            <w:tcBorders>
              <w:left w:val="single" w:sz="6" w:space="0" w:color="000000"/>
              <w:right w:val="single" w:sz="6" w:space="0" w:color="000000"/>
            </w:tcBorders>
            <w:vAlign w:val="center"/>
          </w:tcPr>
          <w:p>
            <w:pPr>
              <w:pStyle w:val="19"/>
            </w:pPr>
            <w:r>
              <w:t>357.62</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2014004</w:t>
            </w:r>
          </w:p>
        </w:tc>
        <w:tc>
          <w:tcPr>
            <w:tcW w:w="4535" w:type="dxa"/>
            <w:tcBorders>
              <w:left w:val="single" w:sz="6" w:space="0" w:color="000000"/>
              <w:right w:val="single" w:sz="6" w:space="0" w:color="000000"/>
            </w:tcBorders>
            <w:vAlign w:val="center"/>
          </w:tcPr>
          <w:p>
            <w:pPr>
              <w:pStyle w:val="20"/>
            </w:pPr>
            <w:r>
              <w:t>信访业务</w:t>
            </w:r>
          </w:p>
        </w:tc>
        <w:tc>
          <w:tcPr>
            <w:tcW w:w="2551" w:type="dxa"/>
            <w:tcBorders>
              <w:left w:val="single" w:sz="6" w:space="0" w:color="000000"/>
              <w:right w:val="single" w:sz="6" w:space="0" w:color="000000"/>
            </w:tcBorders>
            <w:vAlign w:val="center"/>
          </w:tcPr>
          <w:p>
            <w:pPr>
              <w:pStyle w:val="19"/>
            </w:pPr>
            <w:r>
              <w:t>268.00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268.00</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43.10</w:t>
            </w:r>
          </w:p>
        </w:tc>
        <w:tc>
          <w:tcPr>
            <w:tcW w:w="2551" w:type="dxa"/>
            <w:tcBorders>
              <w:left w:val="single" w:sz="6" w:space="0" w:color="000000"/>
              <w:right w:val="single" w:sz="6" w:space="0" w:color="000000"/>
            </w:tcBorders>
            <w:vAlign w:val="center"/>
          </w:tcPr>
          <w:p>
            <w:pPr>
              <w:pStyle w:val="19"/>
            </w:pPr>
            <w:r>
              <w:t>43.10</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43.10</w:t>
            </w:r>
          </w:p>
        </w:tc>
        <w:tc>
          <w:tcPr>
            <w:tcW w:w="2551" w:type="dxa"/>
            <w:tcBorders>
              <w:left w:val="single" w:sz="6" w:space="0" w:color="000000"/>
              <w:right w:val="single" w:sz="6" w:space="0" w:color="000000"/>
            </w:tcBorders>
            <w:vAlign w:val="center"/>
          </w:tcPr>
          <w:p>
            <w:pPr>
              <w:pStyle w:val="19"/>
            </w:pPr>
            <w:r>
              <w:t>43.10</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r>
              <w:t>7.28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35.82</w:t>
            </w:r>
          </w:p>
        </w:tc>
        <w:tc>
          <w:tcPr>
            <w:tcW w:w="2551" w:type="dxa"/>
            <w:tcBorders>
              <w:left w:val="single" w:sz="6" w:space="0" w:color="000000"/>
              <w:right w:val="single" w:sz="6" w:space="0" w:color="000000"/>
            </w:tcBorders>
            <w:vAlign w:val="center"/>
          </w:tcPr>
          <w:p>
            <w:pPr>
              <w:pStyle w:val="19"/>
            </w:pPr>
            <w:r>
              <w:t>35.82</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31.66</w:t>
            </w:r>
          </w:p>
        </w:tc>
        <w:tc>
          <w:tcPr>
            <w:tcW w:w="2551" w:type="dxa"/>
            <w:tcBorders>
              <w:left w:val="single" w:sz="6" w:space="0" w:color="000000"/>
              <w:right w:val="single" w:sz="6" w:space="0" w:color="000000"/>
            </w:tcBorders>
            <w:vAlign w:val="center"/>
          </w:tcPr>
          <w:p>
            <w:pPr>
              <w:pStyle w:val="19"/>
            </w:pPr>
            <w:r>
              <w:t>31.66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31.66</w:t>
            </w:r>
          </w:p>
        </w:tc>
        <w:tc>
          <w:tcPr>
            <w:tcW w:w="2551" w:type="dxa"/>
            <w:tcBorders>
              <w:left w:val="single" w:sz="6" w:space="0" w:color="000000"/>
              <w:right w:val="single" w:sz="6" w:space="0" w:color="000000"/>
            </w:tcBorders>
            <w:vAlign w:val="center"/>
          </w:tcPr>
          <w:p>
            <w:pPr>
              <w:pStyle w:val="19"/>
            </w:pPr>
            <w:r>
              <w:t>31.66</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14.22</w:t>
            </w:r>
          </w:p>
        </w:tc>
        <w:tc>
          <w:tcPr>
            <w:tcW w:w="2551" w:type="dxa"/>
            <w:tcBorders>
              <w:left w:val="single" w:sz="6" w:space="0" w:color="000000"/>
              <w:right w:val="single" w:sz="6" w:space="0" w:color="000000"/>
            </w:tcBorders>
            <w:vAlign w:val="center"/>
          </w:tcPr>
          <w:p>
            <w:pPr>
              <w:pStyle w:val="19"/>
            </w:pPr>
            <w:r>
              <w:t>14.22</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17.44</w:t>
            </w:r>
          </w:p>
        </w:tc>
        <w:tc>
          <w:tcPr>
            <w:tcW w:w="2551" w:type="dxa"/>
            <w:tcBorders>
              <w:left w:val="single" w:sz="6" w:space="0" w:color="000000"/>
              <w:right w:val="single" w:sz="6" w:space="0" w:color="000000"/>
            </w:tcBorders>
            <w:vAlign w:val="center"/>
          </w:tcPr>
          <w:p>
            <w:pPr>
              <w:pStyle w:val="19"/>
            </w:pPr>
            <w:r>
              <w:t>17.44</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29.39</w:t>
            </w:r>
          </w:p>
        </w:tc>
        <w:tc>
          <w:tcPr>
            <w:tcW w:w="2551" w:type="dxa"/>
            <w:tcBorders>
              <w:left w:val="single" w:sz="6" w:space="0" w:color="000000"/>
              <w:right w:val="single" w:sz="6" w:space="0" w:color="000000"/>
            </w:tcBorders>
            <w:vAlign w:val="center"/>
          </w:tcPr>
          <w:p>
            <w:pPr>
              <w:pStyle w:val="19"/>
            </w:pPr>
            <w:r>
              <w:t>29.39</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29.39</w:t>
            </w:r>
          </w:p>
        </w:tc>
        <w:tc>
          <w:tcPr>
            <w:tcW w:w="2551" w:type="dxa"/>
            <w:tcBorders>
              <w:left w:val="single" w:sz="6" w:space="0" w:color="000000"/>
              <w:right w:val="single" w:sz="6" w:space="0" w:color="000000"/>
            </w:tcBorders>
            <w:vAlign w:val="center"/>
          </w:tcPr>
          <w:p>
            <w:pPr>
              <w:pStyle w:val="19"/>
            </w:pPr>
            <w:r>
              <w:t>29.39</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29.39</w:t>
            </w:r>
          </w:p>
        </w:tc>
        <w:tc>
          <w:tcPr>
            <w:tcW w:w="2551" w:type="dxa"/>
            <w:tcBorders>
              <w:left w:val="single" w:sz="6" w:space="0" w:color="000000"/>
              <w:right w:val="single" w:sz="6" w:space="0" w:color="000000"/>
            </w:tcBorders>
            <w:vAlign w:val="center"/>
          </w:tcPr>
          <w:p>
            <w:pPr>
              <w:pStyle w:val="19"/>
            </w:pPr>
            <w:r>
              <w:t>29.39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461.77</w:t>
            </w:r>
          </w:p>
        </w:tc>
        <w:tc>
          <w:tcPr>
            <w:tcW w:w="2551" w:type="dxa"/>
            <w:tcBorders>
              <w:left w:val="single" w:sz="6" w:space="0" w:color="000000"/>
              <w:right w:val="single" w:sz="6" w:space="0" w:color="000000"/>
            </w:tcBorders>
            <w:vAlign w:val="center"/>
          </w:tcPr>
          <w:p>
            <w:pPr>
              <w:pStyle w:val="23"/>
            </w:pPr>
            <w:r>
              <w:t>422.06</w:t>
            </w:r>
          </w:p>
        </w:tc>
        <w:tc>
          <w:tcPr>
            <w:tcW w:w="2551" w:type="dxa"/>
            <w:vAlign w:val="center"/>
          </w:tcPr>
          <w:p>
            <w:pPr>
              <w:pStyle w:val="23"/>
            </w:pPr>
            <w:r>
              <w:t>39.71</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414.73</w:t>
            </w:r>
          </w:p>
        </w:tc>
        <w:tc>
          <w:tcPr>
            <w:tcW w:w="2551" w:type="dxa"/>
            <w:tcBorders>
              <w:left w:val="single" w:sz="6" w:space="0" w:color="000000"/>
              <w:right w:val="single" w:sz="6" w:space="0" w:color="000000"/>
            </w:tcBorders>
            <w:vAlign w:val="center"/>
          </w:tcPr>
          <w:p>
            <w:pPr>
              <w:pStyle w:val="19"/>
            </w:pPr>
            <w:r>
              <w:t>414.73</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93.93</w:t>
            </w:r>
          </w:p>
        </w:tc>
        <w:tc>
          <w:tcPr>
            <w:tcW w:w="2551" w:type="dxa"/>
            <w:tcBorders>
              <w:left w:val="single" w:sz="6" w:space="0" w:color="000000"/>
              <w:right w:val="single" w:sz="6" w:space="0" w:color="000000"/>
            </w:tcBorders>
            <w:vAlign w:val="center"/>
          </w:tcPr>
          <w:p>
            <w:pPr>
              <w:pStyle w:val="19"/>
            </w:pPr>
            <w:r>
              <w:t>93.93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66.77</w:t>
            </w:r>
          </w:p>
        </w:tc>
        <w:tc>
          <w:tcPr>
            <w:tcW w:w="2551" w:type="dxa"/>
            <w:tcBorders>
              <w:left w:val="single" w:sz="6" w:space="0" w:color="000000"/>
              <w:right w:val="single" w:sz="6" w:space="0" w:color="000000"/>
            </w:tcBorders>
            <w:vAlign w:val="center"/>
          </w:tcPr>
          <w:p>
            <w:pPr>
              <w:pStyle w:val="19"/>
            </w:pPr>
            <w:r>
              <w:t>66.77</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23.07</w:t>
            </w:r>
          </w:p>
        </w:tc>
        <w:tc>
          <w:tcPr>
            <w:tcW w:w="2551" w:type="dxa"/>
            <w:tcBorders>
              <w:left w:val="single" w:sz="6" w:space="0" w:color="000000"/>
              <w:right w:val="single" w:sz="6" w:space="0" w:color="000000"/>
            </w:tcBorders>
            <w:vAlign w:val="center"/>
          </w:tcPr>
          <w:p>
            <w:pPr>
              <w:pStyle w:val="19"/>
            </w:pPr>
            <w:r>
              <w:t>23.07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66.58</w:t>
            </w:r>
          </w:p>
        </w:tc>
        <w:tc>
          <w:tcPr>
            <w:tcW w:w="2551" w:type="dxa"/>
            <w:tcBorders>
              <w:left w:val="single" w:sz="6" w:space="0" w:color="000000"/>
              <w:right w:val="single" w:sz="6" w:space="0" w:color="000000"/>
            </w:tcBorders>
            <w:vAlign w:val="center"/>
          </w:tcPr>
          <w:p>
            <w:pPr>
              <w:pStyle w:val="19"/>
            </w:pPr>
            <w:r>
              <w:t>66.58</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35.82</w:t>
            </w:r>
          </w:p>
        </w:tc>
        <w:tc>
          <w:tcPr>
            <w:tcW w:w="2551" w:type="dxa"/>
            <w:tcBorders>
              <w:left w:val="single" w:sz="6" w:space="0" w:color="000000"/>
              <w:right w:val="single" w:sz="6" w:space="0" w:color="000000"/>
            </w:tcBorders>
            <w:vAlign w:val="center"/>
          </w:tcPr>
          <w:p>
            <w:pPr>
              <w:pStyle w:val="19"/>
            </w:pPr>
            <w:r>
              <w:t>35.82</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14.22</w:t>
            </w:r>
          </w:p>
        </w:tc>
        <w:tc>
          <w:tcPr>
            <w:tcW w:w="2551" w:type="dxa"/>
            <w:tcBorders>
              <w:left w:val="single" w:sz="6" w:space="0" w:color="000000"/>
              <w:right w:val="single" w:sz="6" w:space="0" w:color="000000"/>
            </w:tcBorders>
            <w:vAlign w:val="center"/>
          </w:tcPr>
          <w:p>
            <w:pPr>
              <w:pStyle w:val="19"/>
            </w:pPr>
            <w:r>
              <w:t>14.22</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17.44</w:t>
            </w:r>
          </w:p>
        </w:tc>
        <w:tc>
          <w:tcPr>
            <w:tcW w:w="2551" w:type="dxa"/>
            <w:tcBorders>
              <w:left w:val="single" w:sz="6" w:space="0" w:color="000000"/>
              <w:right w:val="single" w:sz="6" w:space="0" w:color="000000"/>
            </w:tcBorders>
            <w:vAlign w:val="center"/>
          </w:tcPr>
          <w:p>
            <w:pPr>
              <w:pStyle w:val="19"/>
            </w:pPr>
            <w:r>
              <w:t>17.44</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2.21</w:t>
            </w:r>
          </w:p>
        </w:tc>
        <w:tc>
          <w:tcPr>
            <w:tcW w:w="2551" w:type="dxa"/>
            <w:tcBorders>
              <w:left w:val="single" w:sz="6" w:space="0" w:color="000000"/>
              <w:right w:val="single" w:sz="6" w:space="0" w:color="000000"/>
            </w:tcBorders>
            <w:vAlign w:val="center"/>
          </w:tcPr>
          <w:p>
            <w:pPr>
              <w:pStyle w:val="19"/>
            </w:pPr>
            <w:r>
              <w:t>2.21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29.39</w:t>
            </w:r>
          </w:p>
        </w:tc>
        <w:tc>
          <w:tcPr>
            <w:tcW w:w="2551" w:type="dxa"/>
            <w:tcBorders>
              <w:left w:val="single" w:sz="6" w:space="0" w:color="000000"/>
              <w:right w:val="single" w:sz="6" w:space="0" w:color="000000"/>
            </w:tcBorders>
            <w:vAlign w:val="center"/>
          </w:tcPr>
          <w:p>
            <w:pPr>
              <w:pStyle w:val="19"/>
            </w:pPr>
            <w:r>
              <w:t>29.39</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65.30</w:t>
            </w:r>
          </w:p>
        </w:tc>
        <w:tc>
          <w:tcPr>
            <w:tcW w:w="2551" w:type="dxa"/>
            <w:tcBorders>
              <w:left w:val="single" w:sz="6" w:space="0" w:color="000000"/>
              <w:right w:val="single" w:sz="6" w:space="0" w:color="000000"/>
            </w:tcBorders>
            <w:vAlign w:val="center"/>
          </w:tcPr>
          <w:p>
            <w:pPr>
              <w:pStyle w:val="19"/>
            </w:pPr>
            <w:r>
              <w:t>65.30</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39.71</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39.71</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5.75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5.75</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7.70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7.70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30213</w:t>
            </w:r>
          </w:p>
        </w:tc>
        <w:tc>
          <w:tcPr>
            <w:tcW w:w="4535" w:type="dxa"/>
            <w:tcBorders>
              <w:left w:val="single" w:sz="6" w:space="0" w:color="000000"/>
              <w:right w:val="single" w:sz="6" w:space="0" w:color="000000"/>
            </w:tcBorders>
            <w:vAlign w:val="center"/>
          </w:tcPr>
          <w:p>
            <w:pPr>
              <w:pStyle w:val="20"/>
            </w:pPr>
            <w:r>
              <w:t>维修(护)费</w:t>
            </w:r>
          </w:p>
        </w:tc>
        <w:tc>
          <w:tcPr>
            <w:tcW w:w="2551" w:type="dxa"/>
            <w:tcBorders>
              <w:left w:val="single" w:sz="6" w:space="0" w:color="000000"/>
              <w:right w:val="single" w:sz="6" w:space="0" w:color="000000"/>
            </w:tcBorders>
            <w:vAlign w:val="center"/>
          </w:tcPr>
          <w:p>
            <w:pPr>
              <w:pStyle w:val="19"/>
            </w:pPr>
            <w:r>
              <w:t>3.60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30227</w:t>
            </w:r>
          </w:p>
        </w:tc>
        <w:tc>
          <w:tcPr>
            <w:tcW w:w="4535" w:type="dxa"/>
            <w:tcBorders>
              <w:left w:val="single" w:sz="6" w:space="0" w:color="000000"/>
              <w:right w:val="single" w:sz="6" w:space="0" w:color="000000"/>
            </w:tcBorders>
            <w:vAlign w:val="center"/>
          </w:tcPr>
          <w:p>
            <w:pPr>
              <w:pStyle w:val="20"/>
            </w:pPr>
            <w:r>
              <w:t>委托业务费</w:t>
            </w:r>
          </w:p>
        </w:tc>
        <w:tc>
          <w:tcPr>
            <w:tcW w:w="2551" w:type="dxa"/>
            <w:tcBorders>
              <w:left w:val="single" w:sz="6" w:space="0" w:color="000000"/>
              <w:right w:val="single" w:sz="6" w:space="0" w:color="000000"/>
            </w:tcBorders>
            <w:vAlign w:val="center"/>
          </w:tcPr>
          <w:p>
            <w:pPr>
              <w:pStyle w:val="19"/>
            </w:pPr>
            <w:r>
              <w:t>0.65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0.65</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5.93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5.93</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2.93</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2.93</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7.80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7.80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0.35</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0.35</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7.33</w:t>
            </w:r>
          </w:p>
        </w:tc>
        <w:tc>
          <w:tcPr>
            <w:tcW w:w="2551" w:type="dxa"/>
            <w:tcBorders>
              <w:left w:val="single" w:sz="6" w:space="0" w:color="000000"/>
              <w:right w:val="single" w:sz="6" w:space="0" w:color="000000"/>
            </w:tcBorders>
            <w:vAlign w:val="center"/>
          </w:tcPr>
          <w:p>
            <w:pPr>
              <w:pStyle w:val="19"/>
            </w:pPr>
            <w:r>
              <w:t>7.33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7.28</w:t>
            </w:r>
          </w:p>
        </w:tc>
        <w:tc>
          <w:tcPr>
            <w:tcW w:w="2551" w:type="dxa"/>
            <w:tcBorders>
              <w:left w:val="single" w:sz="6" w:space="0" w:color="000000"/>
              <w:right w:val="single" w:sz="6" w:space="0" w:color="000000"/>
            </w:tcBorders>
            <w:vAlign w:val="center"/>
          </w:tcPr>
          <w:p>
            <w:pPr>
              <w:pStyle w:val="19"/>
            </w:pPr>
            <w:r>
              <w:t>7.28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0.05</w:t>
            </w:r>
          </w:p>
        </w:tc>
        <w:tc>
          <w:tcPr>
            <w:tcW w:w="2551" w:type="dxa"/>
            <w:tcBorders>
              <w:left w:val="single" w:sz="6" w:space="0" w:color="000000"/>
              <w:right w:val="single" w:sz="6" w:space="0" w:color="000000"/>
            </w:tcBorders>
            <w:vAlign w:val="center"/>
          </w:tcPr>
          <w:p>
            <w:pPr>
              <w:pStyle w:val="19"/>
            </w:pPr>
            <w:r>
              <w:t>0.05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304唐山市丰南区信访局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8.00</w:t>
            </w:r>
          </w:p>
        </w:tc>
        <w:tc>
          <w:tcPr>
            <w:tcW w:w="2381" w:type="dxa"/>
            <w:tcBorders>
              <w:left w:val="single" w:sz="6" w:space="0" w:color="000000"/>
              <w:right w:val="single" w:sz="6" w:space="0" w:color="000000"/>
            </w:tcBorders>
            <w:vAlign w:val="center"/>
          </w:tcPr>
          <w:p>
            <w:pPr>
              <w:pStyle w:val="23"/>
            </w:pPr>
            <w:r>
              <w:t>8.00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二、公务用车购置及运维费</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 xml:space="preserve">    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r>
              <w:t>8.00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唐山市丰南区信访局2024年部门预算信息公开情况说明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唐山市丰南区信访局2024年部门预算信息公开情况说明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按照《中华人民共和国预算法》、《地方预决算公开操作规程》和《关于进一步推进预算公开工作的实施意见》规定，现将唐山市丰南区信访局2024年部门预算公开如下：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(一)研究提出全区信访工作思路，拟订信访工作方针政策。</w:t>
      </w:r>
    </w:p>
    <w:p>
      <w:pPr>
        <w:pStyle w:val="25"/>
      </w:pPr>
      <w:r>
        <w:t>(二)办理人民群众来信，接待群众来访，受理群众网上投诉，查办信访案件，负责人民群众建议征集工作。</w:t>
      </w:r>
    </w:p>
    <w:p>
      <w:pPr>
        <w:pStyle w:val="25"/>
      </w:pPr>
      <w:r>
        <w:t>(三)调查研究和综合分析全区信访形势及信访工作状况，总结推广各地各部门信访工作经验，提出改进和加强信访工作的意见和建议。</w:t>
      </w:r>
    </w:p>
    <w:p>
      <w:pPr>
        <w:pStyle w:val="25"/>
      </w:pPr>
      <w:r>
        <w:t>(四)参与组织、协调、指导全区社会治安综合治理和维护社会政治稳定工作，协助保障国家、省、市和区重大政治活动顺利进行，参与处理影响社会政治稳定的突发性、群体性事件。</w:t>
      </w:r>
    </w:p>
    <w:p>
      <w:pPr>
        <w:pStyle w:val="25"/>
      </w:pPr>
      <w:r>
        <w:t>(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25"/>
      </w:pPr>
      <w:r>
        <w:t>(六)协助国家信访局、省、市信访局处理属地群众进京、赴省、去市上访工作，综合协调处理跨地区、跨部门、跨行业的重要信访问题，协助公安机关维护区委、区政府机关正常工作秩序。</w:t>
      </w:r>
    </w:p>
    <w:p>
      <w:pPr>
        <w:pStyle w:val="25"/>
      </w:pPr>
      <w:r>
        <w:t>(七)负责省、市、区级领导和区直部门领导公开接访和包联案件的组织协调工作。</w:t>
      </w:r>
    </w:p>
    <w:p>
      <w:pPr>
        <w:pStyle w:val="25"/>
      </w:pPr>
      <w:r>
        <w:t>(八)承担唐山市丰南区信访工作联席会议的日常工作，督促落实联席会议决定的事项。</w:t>
      </w:r>
    </w:p>
    <w:p>
      <w:pPr>
        <w:pStyle w:val="25"/>
      </w:pPr>
      <w:r>
        <w:t>(九)完成区委、区政府以及国家、省、市信访局交办的其他任务。</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唐山市丰南区信访局本级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按照预算管理有关规定，目前部门预算的编制实行综合预算管理，即全部收入和支出都反映在预算中。唐山市丰南区信访局机关及所属事业单位的收支包含在部门预算中。</w:t>
      </w:r>
    </w:p>
    <w:p>
      <w:pPr>
        <w:pStyle w:val="26"/>
      </w:pPr>
      <w:r>
        <w:t>1、收入说明</w:t>
      </w:r>
    </w:p>
    <w:p>
      <w:pPr>
        <w:pStyle w:val="26"/>
      </w:pPr>
      <w:r>
        <w:t>反映本部门当年全部收入。2024年预算收入729.77万元，其中：一般公共预算收入729.77万元，基金预算收入0.00万元，国有资本经营预算收入0.00万元，财政专户核拨收入0.00万元，单位资金收入0.00万元，上年结转结余0.00万元。</w:t>
      </w:r>
    </w:p>
    <w:p>
      <w:pPr>
        <w:pStyle w:val="26"/>
      </w:pPr>
      <w:r>
        <w:t>2、支出说明</w:t>
      </w:r>
    </w:p>
    <w:p>
      <w:pPr>
        <w:pStyle w:val="26"/>
      </w:pPr>
      <w:r>
        <w:t>收支预算总表支出栏、基本支出表、项目支出表按经济分类和支出功能分类科目编制，反映唐山市丰南区信访局年度部门预算中支出预算的总体情况。2024年支出预算729.77万元，其中基本支出461.77万元，包括人员经费422.06万元和日常公用经费39.71万元；项目支出268.00万元，主要为信访工作岗位经费（劳务费）、群众工作中心经费等。</w:t>
      </w:r>
    </w:p>
    <w:p>
      <w:pPr>
        <w:pStyle w:val="26"/>
      </w:pPr>
      <w:r>
        <w:t>3、比上年增减情况</w:t>
      </w:r>
    </w:p>
    <w:p>
      <w:pPr>
        <w:pStyle w:val="26"/>
      </w:pPr>
      <w:r>
        <w:t>2024年预算收支安排729.77万元，较2023年预算增加16.19万元，其中：基本支出增加18.19万元，主要为人员经费增加15.95万元，日常公用经费增加2.24万元项目支出减少2.00万元，主要为信访工作岗位经费（劳务费）减少2万元。</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2024年，我部门机关运行经费共计安排39.71万元，主要用于日常维修、办公用房水电费、办公用房取暖费、办公用房物业管理费等日常运行支出。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6"/>
      </w:pPr>
      <w:r>
        <w:t>2024年，我部门财政拨款“三公”经费预算安排8.00万元，其中因公出国（境）费0.00万元；公务用车购置及运维费8.00万元（其中：公务用车购置费为0.00万元，公务用车运维费8.00万元)；公务接待费0.00万元。与2023年相比增加0.00万元，增减变化的主要原因是没有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坚持以习近平新时代中国特色社会主义思想为指导，全面贯彻党的二十大精神，深入学习贯彻习近平总书记关于加强和改进人民信访工作重要思想，学习宣传和贯彻落实《信访工作条例》，紧紧围绕中心、服务大局，坚持人民至上，坚持稳字当头，把信访纳入法治轨道，深入推进信访工作“四项机制”，扎实推进信访积案攻坚化解、初信初访及时办理、信访服务保障、重点事项调度管理，切实强化制度机制、基层基础、队伍建设，打造“责任信访”“法治信访”“阳光信访”，提升全区信访工作水平。</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(一)办理人民群众来信、来访等信访问题。</w:t>
      </w:r>
    </w:p>
    <w:p>
      <w:pPr>
        <w:pStyle w:val="30"/>
      </w:pPr>
      <w:r>
        <w:t>绩效目标：及时办理、转送、交办信访事项，及时答复信访人，督促信访人进行满意度评价。</w:t>
      </w:r>
    </w:p>
    <w:p>
      <w:pPr>
        <w:pStyle w:val="30"/>
      </w:pPr>
      <w:r>
        <w:t>绩效指标：及时受理率、按期答复率、按期结案率均达90%以上，群众满意率达85%以上。</w:t>
      </w:r>
    </w:p>
    <w:p>
      <w:pPr>
        <w:pStyle w:val="30"/>
      </w:pPr>
      <w:r>
        <w:t>(二)信访综合业务管理。</w:t>
      </w:r>
    </w:p>
    <w:p>
      <w:pPr>
        <w:pStyle w:val="30"/>
      </w:pPr>
      <w:r>
        <w:t>绩效目标：确保全区信访工作各项业务顺利开展，维护社会和谐稳定。</w:t>
      </w:r>
    </w:p>
    <w:p>
      <w:pPr>
        <w:pStyle w:val="30"/>
      </w:pPr>
      <w:r>
        <w:t>绩效指标：综合事务业务保障率及群众满意率达90%以上。</w:t>
      </w:r>
    </w:p>
    <w:p>
      <w:pPr>
        <w:pStyle w:val="30"/>
      </w:pPr>
      <w:r>
        <w:t>(三)做好信访隐患排查化解和维稳工作。</w:t>
      </w:r>
    </w:p>
    <w:p>
      <w:pPr>
        <w:pStyle w:val="30"/>
      </w:pPr>
      <w:r>
        <w:t>绩效目标：防范和减少不稳定因素发生，及时化解信访隐患、群体性事件和突发事件，维护社会稳定。</w:t>
      </w:r>
    </w:p>
    <w:p>
      <w:pPr>
        <w:pStyle w:val="30"/>
      </w:pPr>
      <w:r>
        <w:t>绩效指标：信访矛盾隐患排查化解率达到80%以上。做好驻京驻省信访值班工作，确保不发生进京赴省集体访、非访和出丑滋事事件。</w:t>
      </w:r>
    </w:p>
    <w:p>
      <w:pPr>
        <w:pStyle w:val="30"/>
      </w:pPr>
      <w:r>
        <w:t>(四)做好群众工作，及时就地解决问题。</w:t>
      </w:r>
    </w:p>
    <w:p>
      <w:pPr>
        <w:pStyle w:val="30"/>
      </w:pPr>
      <w:r>
        <w:t>绩效目标：区群众工作中心每个工作日安排一名区党政领导公开接访，乡镇（街道）群众工作站每个工作日安排一名班子成员值班接访，及时解决群众热点难点问题，减少越级访发生，做到“小事不出村、大事不出乡镇”。</w:t>
      </w:r>
    </w:p>
    <w:p>
      <w:pPr>
        <w:pStyle w:val="30"/>
      </w:pPr>
      <w:r>
        <w:t>绩效指标：矛盾纠纷排查、化解率均达90%以上，矛盾纠纷息访率达80%以上，群众满意率达90%以上。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w:t>
      </w:r>
    </w:p>
    <w:p>
      <w:pPr>
        <w:pStyle w:val="31"/>
      </w:pPr>
      <w:r>
        <w:t>紧紧围绕区委、区政府工作重点和上级信访部门的工作部署和要求，进一步理清工作思路，加强信访工作管理的各项规章制度的体系建设，制定完善预算绩效管理制度、资金管理办法、工作保障制度等，为全年预算绩效目标的实现奠定制度基础，确保规范有序地完成2024年信访工作目标。</w:t>
      </w:r>
    </w:p>
    <w:p>
      <w:pPr>
        <w:pStyle w:val="31"/>
      </w:pPr>
      <w:r>
        <w:t>（二）加强支出管理</w:t>
      </w:r>
    </w:p>
    <w:p>
      <w:pPr>
        <w:pStyle w:val="31"/>
      </w:pPr>
      <w:r>
        <w:t>通过优化支出结构、编细编实预算、加快履行政府采购手续、尽快启动项目、及时支付资金、按规定及时下达资金等多种措施，确保支出进度达标。</w:t>
      </w:r>
    </w:p>
    <w:p>
      <w:pPr>
        <w:pStyle w:val="31"/>
      </w:pPr>
      <w:r>
        <w:t>（三）加强绩效运行监控</w:t>
      </w:r>
    </w:p>
    <w:p>
      <w:pPr>
        <w:pStyle w:val="31"/>
      </w:pPr>
      <w:r>
        <w:t>按要求开展绩效运行监控，发现问题及时采取措施，确保绩效目标如期保质实现。</w:t>
      </w:r>
    </w:p>
    <w:p>
      <w:pPr>
        <w:pStyle w:val="31"/>
      </w:pPr>
      <w:r>
        <w:t>（四）做好绩效自评</w:t>
      </w:r>
    </w:p>
    <w:p>
      <w:pPr>
        <w:pStyle w:val="31"/>
      </w:pPr>
      <w:r>
        <w:t>按要求开展上年度部门预算绩效自评和重点评价工作，对评价中发现的问题及时整改，调整优化支出结构，提高财政资金使用效益。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31"/>
      </w:pPr>
      <w:r>
        <w:t>（七）开展“三大”攻坚，强化问题解决。持续开展信访积案、三跨三分离、涉法涉诉攻坚行动，着力在化解信访矛盾“减存控增”上下功夫，坚持问题导向，牢牢盯住尚未化解的“钉子案”“骨头案”，牢牢盯住再次信访的重复事项，集中资源力量，加强分析研究，推动事心双解，防止问题积累。</w:t>
      </w:r>
    </w:p>
    <w:p>
      <w:pPr>
        <w:pStyle w:val="31"/>
      </w:pPr>
      <w:r>
        <w:t xml:space="preserve">（八）加强“三个”建设，夯实基层基础。学习借鉴新时代“枫桥经验”，践行“浦江经验”，加强源头治理、信访法治化、干部队伍建设，全面夯实信访工作基层基础，推进关口前移、重心下移，提高乡村两级预防和处理信访问题的能力，实现“小事不出村、大事不出乡、矛盾不上交”。   </w:t>
      </w:r>
    </w:p>
    <w:p>
      <w:pPr>
        <w:pStyle w:val="31"/>
        <w:sectPr>
          <w:pgSz w:w="16840" w:h="11900" w:orient="landscape"/>
          <w:pgMar w:top="1361" w:right="1020" w:bottom="1361" w:left="1020" w:header="720" w:footer="720" w:gutter="0"/>
          <w:docGrid w:linePitch="326" w:charSpace="0"/>
        </w:sectPr>
      </w:pPr>
      <w:r>
        <w:t>（九）加强宣传培训调研。认真贯彻实施《信访工作条例》，认真组织开展《信访工作条例》宣传月活动，对信访干部进行理论讲解和业务实践操作；加强调研，提出优化财政资金配置、提高资金使用效益的意见和建议；加大宣传力度，强化预算绩效管理意识，促进预算绩效管理水平进一步提升。</w:t>
      </w: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rPr>
          <w:rFonts w:eastAsia="方正仿宋_GBK" w:cs="黑体" w:hAnsi="黑体"/>
          <w:sz w:val="28"/>
        </w:rPr>
      </w:pPr>
      <w:r>
        <w:rPr>
          <w:rFonts w:eastAsia="方正仿宋_GBK" w:cs="黑体" w:hAnsi="黑体"/>
          <w:sz w:val="28"/>
        </w:rPr>
        <w:t>无。</w:t>
      </w:r>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left="0"/>
        <w:jc w:val="left"/>
        <w:outlineLvl w:val="2"/>
        <w:sectPr>
          <w:pgSz w:w="16840" w:h="11900" w:orient="landscape"/>
          <w:pgMar w:top="1361" w:right="1020" w:bottom="1134" w:left="1020" w:header="720" w:footer="720" w:gutter="0"/>
          <w:docGrid w:linePitch="326" w:charSpace="0"/>
        </w:sect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eastAsia="黑体" w:cs="黑体" w:hAnsi="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hAnsi="方正仿宋_GBK"/>
          <w:color w:val="000000"/>
          <w:sz w:val="28"/>
        </w:rPr>
        <w:t>1、解决特殊疑难信访问题专项资金绩效目标表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13020724P006F4E100052</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解决特殊疑难信访问题专项资金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100.00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根据唐山市信访局、财政局《关于落实财政部&lt;解决特殊疑难信访问题专项资金管理暂行办法&gt;的意见》（唐信[2014]16号）要求，2024年申请信访专项救助资金100万元。主要用于：解决找不到责任主体、积累时间久远、难以解决和化解的“无头案、钉子案、骨头案”等特殊疑难信访个案的信访救济,实现信访人息诉罢访。</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1.2024年投入100万元，对找不到解决主体、积累时间久远，难以化解和解决的“无头案、钉子案、骨头案”特殊疑难信访个案实现息诉罢访，对生活困难无其他救济渠道的信访人，帮助解决困难。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政策知晓率</w:t>
            </w:r>
          </w:p>
        </w:tc>
        <w:tc>
          <w:tcPr>
            <w:tcW w:w="5386" w:type="dxa"/>
            <w:gridSpan w:val="2"/>
            <w:tcBorders>
              <w:left w:val="single" w:sz="6" w:space="0" w:color="000000"/>
              <w:right w:val="single" w:sz="6" w:space="0" w:color="000000"/>
            </w:tcBorders>
            <w:vAlign w:val="center"/>
          </w:tcPr>
          <w:p>
            <w:pPr>
              <w:pStyle w:val="20"/>
            </w:pPr>
            <w:r>
              <w:t>信访疑难案件补助资金群众知晓比例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按期答复率</w:t>
            </w:r>
          </w:p>
        </w:tc>
        <w:tc>
          <w:tcPr>
            <w:tcW w:w="5386" w:type="dxa"/>
            <w:gridSpan w:val="2"/>
            <w:tcBorders>
              <w:left w:val="single" w:sz="6" w:space="0" w:color="000000"/>
              <w:right w:val="single" w:sz="6" w:space="0" w:color="000000"/>
            </w:tcBorders>
            <w:vAlign w:val="center"/>
          </w:tcPr>
          <w:p>
            <w:pPr>
              <w:pStyle w:val="20"/>
            </w:pPr>
            <w:r>
              <w:t>按期答复的比例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及时受理率</w:t>
            </w:r>
          </w:p>
        </w:tc>
        <w:tc>
          <w:tcPr>
            <w:tcW w:w="5386" w:type="dxa"/>
            <w:gridSpan w:val="2"/>
            <w:tcBorders>
              <w:left w:val="single" w:sz="6" w:space="0" w:color="000000"/>
              <w:right w:val="single" w:sz="6" w:space="0" w:color="000000"/>
            </w:tcBorders>
            <w:vAlign w:val="center"/>
          </w:tcPr>
          <w:p>
            <w:pPr>
              <w:pStyle w:val="20"/>
            </w:pPr>
            <w:r>
              <w:t>及时受理案件比例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补助资金发放率</w:t>
            </w:r>
          </w:p>
        </w:tc>
        <w:tc>
          <w:tcPr>
            <w:tcW w:w="5386" w:type="dxa"/>
            <w:gridSpan w:val="2"/>
            <w:tcBorders>
              <w:left w:val="single" w:sz="6" w:space="0" w:color="000000"/>
              <w:right w:val="single" w:sz="6" w:space="0" w:color="000000"/>
            </w:tcBorders>
            <w:vAlign w:val="center"/>
          </w:tcPr>
          <w:p>
            <w:pPr>
              <w:pStyle w:val="20"/>
            </w:pPr>
            <w:r>
              <w:t>发放补助资金的比例</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信访救助率</w:t>
            </w:r>
          </w:p>
        </w:tc>
        <w:tc>
          <w:tcPr>
            <w:tcW w:w="5386" w:type="dxa"/>
            <w:gridSpan w:val="2"/>
            <w:tcBorders>
              <w:left w:val="single" w:sz="6" w:space="0" w:color="000000"/>
              <w:right w:val="single" w:sz="6" w:space="0" w:color="000000"/>
            </w:tcBorders>
            <w:vAlign w:val="center"/>
          </w:tcPr>
          <w:p>
            <w:pPr>
              <w:pStyle w:val="20"/>
            </w:pPr>
            <w:r>
              <w:t>已救助人数占应救助人数的比率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群众满意率</w:t>
            </w:r>
          </w:p>
        </w:tc>
        <w:tc>
          <w:tcPr>
            <w:tcW w:w="5386" w:type="dxa"/>
            <w:gridSpan w:val="2"/>
            <w:tcBorders>
              <w:left w:val="single" w:sz="6" w:space="0" w:color="000000"/>
              <w:right w:val="single" w:sz="6" w:space="0" w:color="000000"/>
            </w:tcBorders>
            <w:vAlign w:val="center"/>
          </w:tcPr>
          <w:p>
            <w:pPr>
              <w:pStyle w:val="20"/>
            </w:pPr>
            <w:r>
              <w:t>群众对此项工作开展效果的满意度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满意率调查</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2、群众工作中心经费绩效目标表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13020724P006D4E10008D</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群众工作中心经费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12.00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12.00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主要用于：群众工作中心的办公费用7万元，对参与信访工作日常值班的律师，值班劳务费用5万元。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1.2024年投入12万元，确保区群众工作中心正常运转，充分发挥律师在维护群众合法权益、化解矛盾、促进社会和谐稳定中的重要作用，集中解决群众问题，把问题解决在县级以下，减少群众越级访，维护全区和谐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矛盾纠纷排查率</w:t>
            </w:r>
          </w:p>
        </w:tc>
        <w:tc>
          <w:tcPr>
            <w:tcW w:w="5386" w:type="dxa"/>
            <w:gridSpan w:val="2"/>
            <w:tcBorders>
              <w:left w:val="single" w:sz="6" w:space="0" w:color="000000"/>
              <w:right w:val="single" w:sz="6" w:space="0" w:color="000000"/>
            </w:tcBorders>
            <w:vAlign w:val="center"/>
          </w:tcPr>
          <w:p>
            <w:pPr>
              <w:pStyle w:val="20"/>
            </w:pPr>
            <w:r>
              <w:t>矛盾纠纷排查数量与矛盾纠纷总量的比率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矛盾纠纷依法转处率</w:t>
            </w:r>
          </w:p>
        </w:tc>
        <w:tc>
          <w:tcPr>
            <w:tcW w:w="5386" w:type="dxa"/>
            <w:gridSpan w:val="2"/>
            <w:tcBorders>
              <w:left w:val="single" w:sz="6" w:space="0" w:color="000000"/>
              <w:right w:val="single" w:sz="6" w:space="0" w:color="000000"/>
            </w:tcBorders>
            <w:vAlign w:val="center"/>
          </w:tcPr>
          <w:p>
            <w:pPr>
              <w:pStyle w:val="20"/>
            </w:pPr>
            <w:r>
              <w:t>转处矛盾纠纷的比例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及时受理率</w:t>
            </w:r>
          </w:p>
        </w:tc>
        <w:tc>
          <w:tcPr>
            <w:tcW w:w="5386" w:type="dxa"/>
            <w:gridSpan w:val="2"/>
            <w:tcBorders>
              <w:left w:val="single" w:sz="6" w:space="0" w:color="000000"/>
              <w:right w:val="single" w:sz="6" w:space="0" w:color="000000"/>
            </w:tcBorders>
            <w:vAlign w:val="center"/>
          </w:tcPr>
          <w:p>
            <w:pPr>
              <w:pStyle w:val="20"/>
            </w:pPr>
            <w:r>
              <w:t>及时受理案件比例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资金支出进度</w:t>
            </w:r>
          </w:p>
        </w:tc>
        <w:tc>
          <w:tcPr>
            <w:tcW w:w="5386" w:type="dxa"/>
            <w:gridSpan w:val="2"/>
            <w:tcBorders>
              <w:left w:val="single" w:sz="6" w:space="0" w:color="000000"/>
              <w:right w:val="single" w:sz="6" w:space="0" w:color="000000"/>
            </w:tcBorders>
            <w:vAlign w:val="center"/>
          </w:tcPr>
          <w:p>
            <w:pPr>
              <w:pStyle w:val="20"/>
            </w:pPr>
            <w:r>
              <w:t>资金支出进度占计划进度的比率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矛盾纠纷化解率</w:t>
            </w:r>
          </w:p>
        </w:tc>
        <w:tc>
          <w:tcPr>
            <w:tcW w:w="5386" w:type="dxa"/>
            <w:gridSpan w:val="2"/>
            <w:tcBorders>
              <w:left w:val="single" w:sz="6" w:space="0" w:color="000000"/>
              <w:right w:val="single" w:sz="6" w:space="0" w:color="000000"/>
            </w:tcBorders>
            <w:vAlign w:val="center"/>
          </w:tcPr>
          <w:p>
            <w:pPr>
              <w:pStyle w:val="20"/>
            </w:pPr>
            <w:r>
              <w:t>矛盾纠纷化解数量与矛盾纠纷总数量的比率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群众满意率</w:t>
            </w:r>
          </w:p>
        </w:tc>
        <w:tc>
          <w:tcPr>
            <w:tcW w:w="5386" w:type="dxa"/>
            <w:gridSpan w:val="2"/>
            <w:tcBorders>
              <w:left w:val="single" w:sz="6" w:space="0" w:color="000000"/>
              <w:right w:val="single" w:sz="6" w:space="0" w:color="000000"/>
            </w:tcBorders>
            <w:vAlign w:val="center"/>
          </w:tcPr>
          <w:p>
            <w:pPr>
              <w:pStyle w:val="20"/>
            </w:pPr>
            <w:r>
              <w:t>群众对此项工作开展效果的满意度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满意率调查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3、信访工作岗位经费（劳务费）绩效目标表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13020724P0064J010005J</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信访工作岗位经费（劳务费）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75.00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75.00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我部门共有劳务派遣人员13名，工资标准2840元/月，考虑调资情况，全年工资50万元，保险25万元，预计共需资金75万元。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25%</w:t>
            </w:r>
          </w:p>
        </w:tc>
        <w:tc>
          <w:tcPr>
            <w:tcW w:w="2835" w:type="dxa"/>
            <w:tcBorders>
              <w:left w:val="single" w:sz="6" w:space="0" w:color="000000"/>
              <w:right w:val="single" w:sz="6" w:space="0" w:color="000000"/>
            </w:tcBorders>
            <w:vAlign w:val="center"/>
          </w:tcPr>
          <w:p>
            <w:pPr>
              <w:pStyle w:val="21"/>
            </w:pPr>
            <w:r>
              <w:t>50%</w:t>
            </w:r>
          </w:p>
        </w:tc>
        <w:tc>
          <w:tcPr>
            <w:tcW w:w="2551" w:type="dxa"/>
            <w:tcBorders>
              <w:left w:val="single" w:sz="6" w:space="0" w:color="000000"/>
              <w:right w:val="single" w:sz="6" w:space="0" w:color="000000"/>
            </w:tcBorders>
            <w:vAlign w:val="center"/>
          </w:tcPr>
          <w:p>
            <w:pPr>
              <w:pStyle w:val="21"/>
            </w:pPr>
            <w:r>
              <w:t>75%</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1.我部门共有劳务派遣人员13名，工资标准2840元/月，考虑调资情况，全年工资50万元，保险25万元，预计共需资金75万元。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资金支出进度</w:t>
            </w:r>
          </w:p>
        </w:tc>
        <w:tc>
          <w:tcPr>
            <w:tcW w:w="5386" w:type="dxa"/>
            <w:gridSpan w:val="2"/>
            <w:tcBorders>
              <w:left w:val="single" w:sz="6" w:space="0" w:color="000000"/>
              <w:right w:val="single" w:sz="6" w:space="0" w:color="000000"/>
            </w:tcBorders>
            <w:vAlign w:val="center"/>
          </w:tcPr>
          <w:p>
            <w:pPr>
              <w:pStyle w:val="20"/>
            </w:pPr>
            <w:r>
              <w:t>资金支出进度占计划进度的比率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工作完成率</w:t>
            </w:r>
          </w:p>
        </w:tc>
        <w:tc>
          <w:tcPr>
            <w:tcW w:w="5386" w:type="dxa"/>
            <w:gridSpan w:val="2"/>
            <w:tcBorders>
              <w:left w:val="single" w:sz="6" w:space="0" w:color="000000"/>
              <w:right w:val="single" w:sz="6" w:space="0" w:color="000000"/>
            </w:tcBorders>
            <w:vAlign w:val="center"/>
          </w:tcPr>
          <w:p>
            <w:pPr>
              <w:pStyle w:val="20"/>
            </w:pPr>
            <w:r>
              <w:t>日常工作任务完成的比率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工资发放及时率</w:t>
            </w:r>
          </w:p>
        </w:tc>
        <w:tc>
          <w:tcPr>
            <w:tcW w:w="5386" w:type="dxa"/>
            <w:gridSpan w:val="2"/>
            <w:tcBorders>
              <w:left w:val="single" w:sz="6" w:space="0" w:color="000000"/>
              <w:right w:val="single" w:sz="6" w:space="0" w:color="000000"/>
            </w:tcBorders>
            <w:vAlign w:val="center"/>
          </w:tcPr>
          <w:p>
            <w:pPr>
              <w:pStyle w:val="20"/>
            </w:pPr>
            <w:r>
              <w:t>工资发放的及时程度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工资发放情况</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工资发放准确率</w:t>
            </w:r>
          </w:p>
        </w:tc>
        <w:tc>
          <w:tcPr>
            <w:tcW w:w="5386" w:type="dxa"/>
            <w:gridSpan w:val="2"/>
            <w:tcBorders>
              <w:left w:val="single" w:sz="6" w:space="0" w:color="000000"/>
              <w:right w:val="single" w:sz="6" w:space="0" w:color="000000"/>
            </w:tcBorders>
            <w:vAlign w:val="center"/>
          </w:tcPr>
          <w:p>
            <w:pPr>
              <w:pStyle w:val="20"/>
            </w:pPr>
            <w:r>
              <w:t>工资发放的准确程度</w:t>
            </w:r>
          </w:p>
        </w:tc>
        <w:tc>
          <w:tcPr>
            <w:tcW w:w="2268" w:type="dxa"/>
            <w:tcBorders>
              <w:left w:val="single" w:sz="6" w:space="0" w:color="000000"/>
              <w:right w:val="single" w:sz="6" w:space="0" w:color="000000"/>
            </w:tcBorders>
            <w:vAlign w:val="center"/>
          </w:tcPr>
          <w:p>
            <w:pPr>
              <w:pStyle w:val="20"/>
            </w:pPr>
            <w:r>
              <w:t>100%</w:t>
            </w:r>
          </w:p>
        </w:tc>
        <w:tc>
          <w:tcPr>
            <w:tcW w:w="1276" w:type="dxa"/>
            <w:vAlign w:val="center"/>
          </w:tcPr>
          <w:p>
            <w:pPr>
              <w:pStyle w:val="20"/>
            </w:pPr>
            <w:r>
              <w:t>工资发放情况</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项目良性运行率</w:t>
            </w:r>
          </w:p>
        </w:tc>
        <w:tc>
          <w:tcPr>
            <w:tcW w:w="5386" w:type="dxa"/>
            <w:gridSpan w:val="2"/>
            <w:tcBorders>
              <w:left w:val="single" w:sz="6" w:space="0" w:color="000000"/>
              <w:right w:val="single" w:sz="6" w:space="0" w:color="000000"/>
            </w:tcBorders>
            <w:vAlign w:val="center"/>
          </w:tcPr>
          <w:p>
            <w:pPr>
              <w:pStyle w:val="20"/>
            </w:pPr>
            <w:r>
              <w:t>项目良性运行的比率</w:t>
            </w:r>
          </w:p>
        </w:tc>
        <w:tc>
          <w:tcPr>
            <w:tcW w:w="2268" w:type="dxa"/>
            <w:tcBorders>
              <w:left w:val="single" w:sz="6" w:space="0" w:color="000000"/>
              <w:right w:val="single" w:sz="6" w:space="0" w:color="000000"/>
            </w:tcBorders>
            <w:vAlign w:val="center"/>
          </w:tcPr>
          <w:p>
            <w:pPr>
              <w:pStyle w:val="20"/>
            </w:pPr>
            <w:r>
              <w:t>≥95%</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劳务派遣人员满意度</w:t>
            </w:r>
          </w:p>
        </w:tc>
        <w:tc>
          <w:tcPr>
            <w:tcW w:w="5386" w:type="dxa"/>
            <w:gridSpan w:val="2"/>
            <w:tcBorders>
              <w:left w:val="single" w:sz="6" w:space="0" w:color="000000"/>
              <w:right w:val="single" w:sz="6" w:space="0" w:color="000000"/>
            </w:tcBorders>
            <w:vAlign w:val="center"/>
          </w:tcPr>
          <w:p>
            <w:pPr>
              <w:pStyle w:val="20"/>
            </w:pPr>
            <w:r>
              <w:t>劳务派遣人员对工资待遇的满意度</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满意率调查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4、信访维稳工作经费绩效目标表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835"/>
        <w:gridCol w:w="2551"/>
        <w:gridCol w:w="2268"/>
        <w:gridCol w:w="2114"/>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13020724P00260N10007R</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tcBorders>
            <w:vAlign w:val="center"/>
          </w:tcPr>
          <w:p>
            <w:pPr>
              <w:pStyle w:val="20"/>
            </w:pPr>
            <w:r>
              <w:t>信访维稳工作经费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81.00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81.00</w:t>
            </w:r>
          </w:p>
        </w:tc>
        <w:tc>
          <w:tcPr>
            <w:tcW w:w="2268" w:type="dxa"/>
            <w:tcBorders>
              <w:left w:val="single" w:sz="6" w:space="0" w:color="000000"/>
              <w:right w:val="single" w:sz="6" w:space="0" w:color="000000"/>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1" w:type="dxa"/>
            <w:gridSpan w:val="6"/>
            <w:tcBorders>
              <w:left w:val="single" w:sz="6" w:space="0" w:color="000000"/>
            </w:tcBorders>
            <w:vAlign w:val="center"/>
          </w:tcPr>
          <w:p>
            <w:pPr>
              <w:pStyle w:val="20"/>
            </w:pPr>
            <w:r>
              <w:t>2024年申请信访维稳工作经费81万元。主要用于：长期驻京、赴省值班，暑假北戴河值班，日常安保任务及重大节日、敏感期期间增派值班力量，劝返、应急处置、信息沟通和协调联动等工作所需的值班人员差旅费用75万元，车辆费用3万元，印制依法治访宣传资料等3万元。</w:t>
            </w:r>
          </w:p>
        </w:tc>
      </w:tr>
      <w:tr>
        <w:trPr>
          <w:trHeight w:val="369"/>
        </w:trPr>
        <w:tc>
          <w:tcPr>
            <w:tcW w:w="1276" w:type="dxa"/>
            <w:vMerge w:val="restart"/>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tcBorders>
            <w:vAlign w:val="center"/>
          </w:tcPr>
          <w:p>
            <w:pPr>
              <w:pStyle w:val="18"/>
            </w:pPr>
            <w:r>
              <w:t>12月底</w:t>
            </w:r>
          </w:p>
        </w:tc>
      </w:tr>
      <w:tr>
        <w:trPr>
          <w:trHeight w:val="369"/>
        </w:trPr>
        <w:tc>
          <w:tcPr>
            <w:tcW w:w="1276" w:type="dxa"/>
            <w:vMerge/>
          </w:tcPr>
          <w:p/>
        </w:tc>
        <w:tc>
          <w:tcPr>
            <w:tcW w:w="5102" w:type="dxa"/>
            <w:gridSpan w:val="2"/>
            <w:tcBorders>
              <w:left w:val="single" w:sz="6" w:space="0" w:color="000000"/>
              <w:right w:val="single" w:sz="6" w:space="0" w:color="000000"/>
            </w:tcBorders>
            <w:vAlign w:val="center"/>
          </w:tcPr>
          <w:p>
            <w:pPr>
              <w:pStyle w:val="21"/>
            </w:pPr>
            <w:r>
              <w:t>30%</w:t>
            </w:r>
          </w:p>
        </w:tc>
        <w:tc>
          <w:tcPr>
            <w:tcW w:w="2835" w:type="dxa"/>
            <w:tcBorders>
              <w:left w:val="single" w:sz="6" w:space="0" w:color="000000"/>
              <w:right w:val="single" w:sz="6" w:space="0" w:color="000000"/>
            </w:tcBorders>
            <w:vAlign w:val="center"/>
          </w:tcPr>
          <w:p>
            <w:pPr>
              <w:pStyle w:val="21"/>
            </w:pPr>
            <w:r>
              <w:t>60%</w:t>
            </w:r>
          </w:p>
        </w:tc>
        <w:tc>
          <w:tcPr>
            <w:tcW w:w="2551" w:type="dxa"/>
            <w:tcBorders>
              <w:left w:val="single" w:sz="6" w:space="0" w:color="000000"/>
              <w:right w:val="single" w:sz="6" w:space="0" w:color="000000"/>
            </w:tcBorders>
            <w:vAlign w:val="center"/>
          </w:tcPr>
          <w:p>
            <w:pPr>
              <w:pStyle w:val="21"/>
            </w:pPr>
            <w:r>
              <w:t>90%</w:t>
            </w:r>
          </w:p>
        </w:tc>
        <w:tc>
          <w:tcPr>
            <w:tcW w:w="3543" w:type="dxa"/>
            <w:gridSpan w:val="2"/>
            <w:tcBorders>
              <w:left w:val="single" w:sz="6" w:space="0" w:color="000000"/>
            </w:tcBorders>
            <w:vAlign w:val="center"/>
          </w:tcPr>
          <w:p>
            <w:pPr>
              <w:pStyle w:val="21"/>
            </w:pPr>
            <w:r>
              <w:t>100%</w:t>
            </w:r>
          </w:p>
        </w:tc>
      </w:tr>
      <w:tr>
        <w:trPr>
          <w:trHeight w:val="369"/>
        </w:trPr>
        <w:tc>
          <w:tcPr>
            <w:tcW w:w="1276" w:type="dxa"/>
            <w:vAlign w:val="center"/>
          </w:tcPr>
          <w:p>
            <w:pPr>
              <w:pStyle w:val="18"/>
            </w:pPr>
            <w:r>
              <w:t>绩效目标</w:t>
            </w:r>
          </w:p>
        </w:tc>
        <w:tc>
          <w:tcPr>
            <w:tcW w:w="14031" w:type="dxa"/>
            <w:gridSpan w:val="6"/>
            <w:tcBorders>
              <w:left w:val="single" w:sz="6" w:space="0" w:color="000000"/>
            </w:tcBorders>
            <w:vAlign w:val="center"/>
          </w:tcPr>
          <w:p>
            <w:pPr>
              <w:pStyle w:val="20"/>
            </w:pPr>
            <w:r>
              <w:t>1.2024年投入81万元，用于长期驻京、赴省、暑期北戴河值班，日常安保任务及重大节日、敏感期期间增派值班力量，劝返、应急处置及协调联动等工作，维护社会稳定。</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268"/>
        <w:gridCol w:w="2835"/>
        <w:gridCol w:w="2114"/>
        <w:gridCol w:w="5386"/>
        <w:gridCol w:w="2268"/>
        <w:gridCol w:w="2114"/>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gridSpan w:val="2"/>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不稳定群体或人员受理率</w:t>
            </w:r>
          </w:p>
        </w:tc>
        <w:tc>
          <w:tcPr>
            <w:tcW w:w="5386" w:type="dxa"/>
            <w:gridSpan w:val="2"/>
            <w:tcBorders>
              <w:left w:val="single" w:sz="6" w:space="0" w:color="000000"/>
              <w:right w:val="single" w:sz="6" w:space="0" w:color="000000"/>
            </w:tcBorders>
            <w:vAlign w:val="center"/>
          </w:tcPr>
          <w:p>
            <w:pPr>
              <w:pStyle w:val="20"/>
            </w:pPr>
            <w:r>
              <w:t>受理矛盾纠纷的比例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不稳定群体调解率</w:t>
            </w:r>
          </w:p>
        </w:tc>
        <w:tc>
          <w:tcPr>
            <w:tcW w:w="5386" w:type="dxa"/>
            <w:gridSpan w:val="2"/>
            <w:tcBorders>
              <w:left w:val="single" w:sz="6" w:space="0" w:color="000000"/>
              <w:right w:val="single" w:sz="6" w:space="0" w:color="000000"/>
            </w:tcBorders>
            <w:vAlign w:val="center"/>
          </w:tcPr>
          <w:p>
            <w:pPr>
              <w:pStyle w:val="20"/>
            </w:pPr>
            <w:r>
              <w:t>已调解的数量占全部不稳定群体的比率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突发问题应急处置率</w:t>
            </w:r>
          </w:p>
        </w:tc>
        <w:tc>
          <w:tcPr>
            <w:tcW w:w="5386" w:type="dxa"/>
            <w:gridSpan w:val="2"/>
            <w:tcBorders>
              <w:left w:val="single" w:sz="6" w:space="0" w:color="000000"/>
              <w:right w:val="single" w:sz="6" w:space="0" w:color="000000"/>
            </w:tcBorders>
            <w:vAlign w:val="center"/>
          </w:tcPr>
          <w:p>
            <w:pPr>
              <w:pStyle w:val="20"/>
            </w:pPr>
            <w:r>
              <w:t>突发问题应急处置数量占全部突发问题总量的比率</w:t>
            </w:r>
          </w:p>
        </w:tc>
        <w:tc>
          <w:tcPr>
            <w:tcW w:w="2268" w:type="dxa"/>
            <w:tcBorders>
              <w:left w:val="single" w:sz="6" w:space="0" w:color="000000"/>
              <w:right w:val="single" w:sz="6" w:space="0" w:color="000000"/>
            </w:tcBorders>
            <w:vAlign w:val="center"/>
          </w:tcPr>
          <w:p>
            <w:pPr>
              <w:pStyle w:val="20"/>
            </w:pPr>
            <w:r>
              <w:t>≥90%</w:t>
            </w:r>
          </w:p>
        </w:tc>
        <w:tc>
          <w:tcPr>
            <w:tcW w:w="1276" w:type="dxa"/>
            <w:vAlign w:val="center"/>
          </w:tcPr>
          <w:p>
            <w:pPr>
              <w:pStyle w:val="20"/>
            </w:pPr>
            <w:r>
              <w:t>工作计划</w:t>
            </w:r>
          </w:p>
        </w:tc>
      </w:tr>
      <w:tr>
        <w:trPr>
          <w:trHeight w:val="397"/>
        </w:trPr>
        <w:tc>
          <w:tcPr>
            <w:tcW w:w="1276"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资金支出进度</w:t>
            </w:r>
          </w:p>
        </w:tc>
        <w:tc>
          <w:tcPr>
            <w:tcW w:w="5386" w:type="dxa"/>
            <w:gridSpan w:val="2"/>
            <w:tcBorders>
              <w:left w:val="single" w:sz="6" w:space="0" w:color="000000"/>
              <w:right w:val="single" w:sz="6" w:space="0" w:color="000000"/>
            </w:tcBorders>
            <w:vAlign w:val="center"/>
          </w:tcPr>
          <w:p>
            <w:pPr>
              <w:pStyle w:val="20"/>
            </w:pPr>
            <w:r>
              <w:t>资金支出进度占计划进度的比率</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安保活动圆满完成率</w:t>
            </w:r>
          </w:p>
        </w:tc>
        <w:tc>
          <w:tcPr>
            <w:tcW w:w="5386" w:type="dxa"/>
            <w:gridSpan w:val="2"/>
            <w:tcBorders>
              <w:left w:val="single" w:sz="6" w:space="0" w:color="000000"/>
              <w:right w:val="single" w:sz="6" w:space="0" w:color="000000"/>
            </w:tcBorders>
            <w:vAlign w:val="center"/>
          </w:tcPr>
          <w:p>
            <w:pPr>
              <w:pStyle w:val="20"/>
            </w:pPr>
            <w:r>
              <w:t>圆满完成的安保活动数量占全部安保活动梳理的比例</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工作计划</w:t>
            </w:r>
          </w:p>
        </w:tc>
      </w:tr>
      <w:tr>
        <w:trPr>
          <w:trHeight w:val="397"/>
        </w:trPr>
        <w:tc>
          <w:tcPr>
            <w:tcW w:w="1276"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群众满意率</w:t>
            </w:r>
          </w:p>
        </w:tc>
        <w:tc>
          <w:tcPr>
            <w:tcW w:w="5386" w:type="dxa"/>
            <w:gridSpan w:val="2"/>
            <w:tcBorders>
              <w:left w:val="single" w:sz="6" w:space="0" w:color="000000"/>
              <w:right w:val="single" w:sz="6" w:space="0" w:color="000000"/>
            </w:tcBorders>
            <w:vAlign w:val="center"/>
          </w:tcPr>
          <w:p>
            <w:pPr>
              <w:pStyle w:val="20"/>
            </w:pPr>
            <w:r>
              <w:t>群众对此项工作开展效果的满意度</w:t>
            </w:r>
          </w:p>
        </w:tc>
        <w:tc>
          <w:tcPr>
            <w:tcW w:w="2268" w:type="dxa"/>
            <w:tcBorders>
              <w:left w:val="single" w:sz="6" w:space="0" w:color="000000"/>
              <w:right w:val="single" w:sz="6" w:space="0" w:color="000000"/>
            </w:tcBorders>
            <w:vAlign w:val="center"/>
          </w:tcPr>
          <w:p>
            <w:pPr>
              <w:pStyle w:val="20"/>
            </w:pPr>
            <w:r>
              <w:t>≥80%</w:t>
            </w:r>
          </w:p>
        </w:tc>
        <w:tc>
          <w:tcPr>
            <w:tcW w:w="1276" w:type="dxa"/>
            <w:vAlign w:val="center"/>
          </w:tcPr>
          <w:p>
            <w:pPr>
              <w:pStyle w:val="20"/>
            </w:pPr>
            <w:r>
              <w:t>满意率调查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6" w:name="_Toc_3_3_0000000017"/>
      <w:r>
        <w:rPr>
          <w:rFonts w:ascii="黑体" w:eastAsia="黑体" w:cs="黑体" w:hAnsi="黑体"/>
          <w:color w:val="000000"/>
          <w:sz w:val="32"/>
        </w:rPr>
        <w:t>八、政府采购预算情况</w:t>
      </w:r>
      <w:bookmarkEnd w:id="16"/>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86"/>
        <w:gridCol w:w="1134"/>
        <w:gridCol w:w="1134"/>
        <w:gridCol w:w="986"/>
        <w:gridCol w:w="986"/>
        <w:gridCol w:w="986"/>
        <w:gridCol w:w="986"/>
        <w:gridCol w:w="986"/>
        <w:gridCol w:w="986"/>
        <w:gridCol w:w="986"/>
        <w:gridCol w:w="986"/>
        <w:gridCol w:w="986"/>
        <w:gridCol w:w="986"/>
        <w:gridCol w:w="986"/>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304唐山市丰南区信访局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2024年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8"/>
      <w:r>
        <w:rPr>
          <w:rFonts w:ascii="黑体" w:eastAsia="黑体" w:cs="黑体" w:hAnsi="黑体"/>
          <w:color w:val="000000"/>
          <w:sz w:val="32"/>
        </w:rPr>
        <w:t>九、国有资产信息</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唐山市丰南区信访局（含所属单位）上年末固定资产金额为414.89万元（详见下表）。本年度拟购置固定资产总额为0.00万元，已按要求列入政府采购预算，详见政府采购预算表。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304唐山市丰南区信访局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414.89</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2500</w:t>
            </w:r>
          </w:p>
        </w:tc>
        <w:tc>
          <w:tcPr>
            <w:tcW w:w="2835" w:type="dxa"/>
            <w:vAlign w:val="center"/>
          </w:tcPr>
          <w:p>
            <w:pPr>
              <w:pStyle w:val="19"/>
            </w:pPr>
            <w:r>
              <w:t>226.01</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vAlign w:val="center"/>
          </w:tcPr>
          <w:p>
            <w:pPr>
              <w:pStyle w:val="19"/>
            </w:pPr>
            <w:r>
              <w:t>27.40</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596</w:t>
            </w:r>
          </w:p>
        </w:tc>
        <w:tc>
          <w:tcPr>
            <w:tcW w:w="2835" w:type="dxa"/>
            <w:vAlign w:val="center"/>
          </w:tcPr>
          <w:p>
            <w:pPr>
              <w:pStyle w:val="19"/>
            </w:pPr>
            <w:r>
              <w:t>161.48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9"/>
      <w:r>
        <w:rPr>
          <w:rFonts w:ascii="黑体" w:eastAsia="黑体" w:cs="黑体" w:hAnsi="黑体"/>
          <w:color w:val="000000"/>
          <w:sz w:val="32"/>
        </w:rPr>
        <w:t>十、名词解释</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eastAsia="黑体" w:cs="黑体" w:hAnsi="黑体"/>
          <w:color w:val="000000"/>
          <w:sz w:val="32"/>
        </w:rPr>
        <w:t>十一、其他需要说明的事项</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4"/>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9122762-A44E-439C-B612-2FB51B97755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29</Pages>
  <Words>0</Words>
  <Characters>10795</Characters>
  <Lines>0</Lines>
  <Paragraphs>162</Paragraphs>
  <CharactersWithSpaces>14394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2024-02-19T09:35:27Z</dcterms:created>
  <dcterms:modified xsi:type="dcterms:W3CDTF">2024-02-19T01:55:18Z</dcterms:modified>
</cp:coreProperties>
</file>