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10"/>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10"/>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10"/>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10"/>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10"/>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10"/>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10"/>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10"/>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10"/>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10"/>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10"/>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10"/>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10"/>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10"/>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10"/>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10"/>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10"/>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10"/>
        <w:tabs>
          <w:tab w:val="right" w:leader="dot" w:pos="14562"/>
        </w:tabs>
      </w:pPr>
      <w:r>
        <w:fldChar w:fldCharType="begin"/>
      </w:r>
      <w:r>
        <w:instrText xml:space="preserve"> HYPERLINK \l "_Toc_3_3_0000000020" </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rPr>
          <w:rFonts w:hint="eastAsia" w:ascii="方正小标宋_GBK" w:hAnsi="方正小标宋_GBK" w:eastAsia="方正小标宋_GBK" w:cs="方正小标宋_GBK"/>
          <w:color w:val="000000"/>
          <w:sz w:val="44"/>
          <w:lang w:val="en-US" w:eastAsia="zh-CN"/>
        </w:rPr>
      </w:pPr>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val="en-US" w:eastAsia="zh-CN"/>
        </w:rPr>
        <w:t>胥各庄街道办事处</w:t>
      </w:r>
    </w:p>
    <w:p>
      <w:pPr>
        <w:jc w:val="center"/>
      </w:pPr>
      <w:r>
        <w:rPr>
          <w:rFonts w:hint="eastAsia" w:ascii="方正小标宋_GBK" w:hAnsi="方正小标宋_GBK" w:eastAsia="方正小标宋_GBK" w:cs="方正小标宋_GBK"/>
          <w:color w:val="000000"/>
          <w:sz w:val="44"/>
          <w:lang w:val="en-US" w:eastAsia="zh-CN"/>
        </w:rPr>
        <w:t>2017</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eastAsia="zh-CN"/>
        </w:rPr>
        <w:t>胥各庄街道办事处2017</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pStyle w:val="28"/>
        <w:rPr>
          <w:rFonts w:hint="eastAsia"/>
        </w:rPr>
      </w:pPr>
      <w:r>
        <w:rPr>
          <w:rFonts w:hint="eastAsia"/>
          <w:lang w:val="en-US" w:eastAsia="zh-CN"/>
        </w:rPr>
        <w:t>1、</w:t>
      </w:r>
      <w:r>
        <w:rPr>
          <w:rFonts w:hint="eastAsia"/>
        </w:rPr>
        <w:t>贯彻执行上级党委、政府的决策、决议和指示。</w:t>
      </w:r>
    </w:p>
    <w:p>
      <w:pPr>
        <w:pStyle w:val="28"/>
        <w:rPr>
          <w:rFonts w:hint="eastAsia"/>
        </w:rPr>
      </w:pPr>
      <w:r>
        <w:rPr>
          <w:rFonts w:hint="eastAsia"/>
          <w:lang w:val="en-US" w:eastAsia="zh-CN"/>
        </w:rPr>
        <w:t>2、</w:t>
      </w:r>
      <w:r>
        <w:rPr>
          <w:rFonts w:hint="eastAsia"/>
        </w:rPr>
        <w:t>负责辖区内党建工作，做好辖区内党员的教育和管理。</w:t>
      </w:r>
    </w:p>
    <w:p>
      <w:pPr>
        <w:pStyle w:val="28"/>
        <w:rPr>
          <w:rFonts w:hint="eastAsia"/>
        </w:rPr>
      </w:pPr>
      <w:r>
        <w:rPr>
          <w:rFonts w:hint="eastAsia"/>
          <w:lang w:val="en-US" w:eastAsia="zh-CN"/>
        </w:rPr>
        <w:t>3、</w:t>
      </w:r>
      <w:r>
        <w:rPr>
          <w:rFonts w:hint="eastAsia"/>
        </w:rPr>
        <w:t>指导居委会开展组织建设、制度建设和其他工作。</w:t>
      </w:r>
    </w:p>
    <w:p>
      <w:pPr>
        <w:pStyle w:val="28"/>
        <w:rPr>
          <w:rFonts w:hint="eastAsia"/>
        </w:rPr>
      </w:pPr>
      <w:r>
        <w:rPr>
          <w:rFonts w:hint="eastAsia"/>
          <w:lang w:val="en-US" w:eastAsia="zh-CN"/>
        </w:rPr>
        <w:t>4、</w:t>
      </w:r>
      <w:r>
        <w:rPr>
          <w:rFonts w:hint="eastAsia"/>
        </w:rPr>
        <w:t>制定经济发展规划，经批准后组织实施。</w:t>
      </w:r>
    </w:p>
    <w:p>
      <w:pPr>
        <w:pStyle w:val="28"/>
        <w:rPr>
          <w:rFonts w:hint="eastAsia"/>
        </w:rPr>
      </w:pPr>
      <w:r>
        <w:rPr>
          <w:rFonts w:hint="eastAsia"/>
          <w:lang w:val="en-US" w:eastAsia="zh-CN"/>
        </w:rPr>
        <w:t>5、</w:t>
      </w:r>
      <w:r>
        <w:rPr>
          <w:rFonts w:hint="eastAsia"/>
        </w:rPr>
        <w:t>组织、检查、督促街道办事处经济组织发展生产经营。</w:t>
      </w:r>
    </w:p>
    <w:p>
      <w:pPr>
        <w:pStyle w:val="28"/>
        <w:rPr>
          <w:rFonts w:hint="eastAsia"/>
        </w:rPr>
      </w:pPr>
      <w:r>
        <w:rPr>
          <w:rFonts w:hint="eastAsia"/>
          <w:lang w:val="en-US" w:eastAsia="zh-CN"/>
        </w:rPr>
        <w:t>6、</w:t>
      </w:r>
      <w:r>
        <w:rPr>
          <w:rFonts w:hint="eastAsia"/>
        </w:rPr>
        <w:t>开展社区服务，做好救灾、救济、优抚安置、拥军优属、扶残助残、社会最低生活保障和再就业工作，发展社区公益事业和社区福利事业。</w:t>
      </w:r>
    </w:p>
    <w:p>
      <w:pPr>
        <w:pStyle w:val="28"/>
        <w:rPr>
          <w:rFonts w:hint="eastAsia"/>
        </w:rPr>
      </w:pPr>
      <w:r>
        <w:rPr>
          <w:rFonts w:hint="eastAsia"/>
          <w:lang w:val="en-US" w:eastAsia="zh-CN"/>
        </w:rPr>
        <w:t>7、</w:t>
      </w:r>
      <w:r>
        <w:rPr>
          <w:rFonts w:hint="eastAsia"/>
        </w:rPr>
        <w:t>进行社会主义民主和法制宣传教育，调节民间纠纷，参与外来人口管理，维护社会稳定，推进社会治安综合治理工作。</w:t>
      </w:r>
    </w:p>
    <w:p>
      <w:pPr>
        <w:pStyle w:val="28"/>
        <w:rPr>
          <w:rFonts w:hint="eastAsia"/>
        </w:rPr>
      </w:pPr>
      <w:r>
        <w:rPr>
          <w:rFonts w:hint="eastAsia"/>
          <w:lang w:val="en-US" w:eastAsia="zh-CN"/>
        </w:rPr>
        <w:t>8、</w:t>
      </w:r>
      <w:r>
        <w:rPr>
          <w:rFonts w:hint="eastAsia"/>
        </w:rPr>
        <w:t>做好国防动员和兵役工作。</w:t>
      </w:r>
    </w:p>
    <w:p>
      <w:pPr>
        <w:pStyle w:val="28"/>
        <w:rPr>
          <w:rFonts w:hint="eastAsia"/>
        </w:rPr>
      </w:pPr>
      <w:r>
        <w:rPr>
          <w:rFonts w:hint="eastAsia"/>
          <w:lang w:val="en-US" w:eastAsia="zh-CN"/>
        </w:rPr>
        <w:t>9、</w:t>
      </w:r>
      <w:r>
        <w:rPr>
          <w:rFonts w:hint="eastAsia"/>
        </w:rPr>
        <w:t>承担组织、协调辖区的城市规划、建设和管理工作。</w:t>
      </w:r>
    </w:p>
    <w:p>
      <w:pPr>
        <w:pStyle w:val="28"/>
        <w:rPr>
          <w:rFonts w:hint="eastAsia"/>
        </w:rPr>
      </w:pPr>
      <w:r>
        <w:rPr>
          <w:rFonts w:hint="eastAsia"/>
          <w:lang w:val="en-US" w:eastAsia="zh-CN"/>
        </w:rPr>
        <w:t>10、</w:t>
      </w:r>
      <w:r>
        <w:rPr>
          <w:rFonts w:hint="eastAsia"/>
        </w:rPr>
        <w:t>负责环境卫生管理、监督检查和宣传教育工作。</w:t>
      </w:r>
    </w:p>
    <w:p>
      <w:pPr>
        <w:pStyle w:val="28"/>
        <w:rPr>
          <w:rFonts w:hint="eastAsia"/>
        </w:rPr>
      </w:pPr>
      <w:r>
        <w:rPr>
          <w:rFonts w:hint="eastAsia"/>
          <w:lang w:val="en-US" w:eastAsia="zh-CN"/>
        </w:rPr>
        <w:t>11、</w:t>
      </w:r>
      <w:r>
        <w:rPr>
          <w:rFonts w:hint="eastAsia"/>
        </w:rPr>
        <w:t>推进社区计划生育技术服务工作。</w:t>
      </w:r>
    </w:p>
    <w:p>
      <w:pPr>
        <w:pStyle w:val="28"/>
        <w:rPr>
          <w:rFonts w:hint="eastAsia"/>
        </w:rPr>
      </w:pPr>
      <w:r>
        <w:rPr>
          <w:rFonts w:hint="eastAsia"/>
          <w:lang w:val="en-US" w:eastAsia="zh-CN"/>
        </w:rPr>
        <w:t>12、</w:t>
      </w:r>
      <w:r>
        <w:rPr>
          <w:rFonts w:hint="eastAsia"/>
        </w:rPr>
        <w:t>组织居民开展健康文明的文化教育和体育活动，提高居民素质。</w:t>
      </w:r>
    </w:p>
    <w:p>
      <w:pPr>
        <w:pStyle w:val="28"/>
        <w:rPr>
          <w:rFonts w:hint="eastAsia"/>
        </w:rPr>
      </w:pPr>
      <w:r>
        <w:rPr>
          <w:rFonts w:hint="eastAsia"/>
          <w:lang w:val="en-US" w:eastAsia="zh-CN"/>
        </w:rPr>
        <w:t>13、</w:t>
      </w:r>
      <w:r>
        <w:rPr>
          <w:rFonts w:hint="eastAsia"/>
        </w:rPr>
        <w:t>维护老年人，未成年人、妇女、残疾人和归侨侨眷、少数民族的合法权益。</w:t>
      </w:r>
    </w:p>
    <w:p>
      <w:pPr>
        <w:pStyle w:val="28"/>
        <w:rPr>
          <w:rFonts w:hint="eastAsia"/>
        </w:rPr>
      </w:pPr>
      <w:r>
        <w:rPr>
          <w:rFonts w:hint="eastAsia"/>
          <w:lang w:val="en-US" w:eastAsia="zh-CN"/>
        </w:rPr>
        <w:t>14、</w:t>
      </w:r>
      <w:r>
        <w:rPr>
          <w:rFonts w:hint="eastAsia"/>
        </w:rPr>
        <w:t>反映居民群众的意见和要求，受理人民群众来信来访事项。</w:t>
      </w:r>
    </w:p>
    <w:p>
      <w:pPr>
        <w:pStyle w:val="28"/>
      </w:pPr>
      <w:r>
        <w:rPr>
          <w:rFonts w:hint="eastAsia"/>
          <w:lang w:val="en-US" w:eastAsia="zh-CN"/>
        </w:rPr>
        <w:t>15、</w:t>
      </w:r>
      <w:r>
        <w:rPr>
          <w:rFonts w:hint="eastAsia"/>
        </w:rPr>
        <w:t>承担区委、区政府交办的其他有关事项。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1"/>
            </w:pPr>
            <w:r>
              <w:t>单位名称</w:t>
            </w:r>
          </w:p>
        </w:tc>
        <w:tc>
          <w:tcPr>
            <w:tcW w:w="1843" w:type="dxa"/>
            <w:vAlign w:val="center"/>
          </w:tcPr>
          <w:p>
            <w:pPr>
              <w:pStyle w:val="21"/>
            </w:pPr>
            <w:r>
              <w:t>单位性质</w:t>
            </w:r>
          </w:p>
        </w:tc>
        <w:tc>
          <w:tcPr>
            <w:tcW w:w="2126" w:type="dxa"/>
            <w:vAlign w:val="center"/>
          </w:tcPr>
          <w:p>
            <w:pPr>
              <w:pStyle w:val="21"/>
            </w:pPr>
            <w:r>
              <w:t>单位规格</w:t>
            </w:r>
          </w:p>
        </w:tc>
        <w:tc>
          <w:tcPr>
            <w:tcW w:w="3827" w:type="dxa"/>
            <w:vAlign w:val="center"/>
          </w:tcPr>
          <w:p>
            <w:pPr>
              <w:pStyle w:val="2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3"/>
              <w:rPr>
                <w:rFonts w:hint="default"/>
                <w:lang w:val="en-US"/>
              </w:rPr>
            </w:pPr>
            <w:r>
              <w:t>唐山市丰南区</w:t>
            </w:r>
            <w:r>
              <w:rPr>
                <w:rFonts w:hint="eastAsia"/>
                <w:lang w:val="en-US" w:eastAsia="zh-CN"/>
              </w:rPr>
              <w:t>胥各庄街道办事处</w:t>
            </w:r>
          </w:p>
        </w:tc>
        <w:tc>
          <w:tcPr>
            <w:tcW w:w="1843" w:type="dxa"/>
            <w:vAlign w:val="center"/>
          </w:tcPr>
          <w:p>
            <w:pPr>
              <w:pStyle w:val="24"/>
            </w:pPr>
            <w:r>
              <w:t>行政</w:t>
            </w:r>
          </w:p>
        </w:tc>
        <w:tc>
          <w:tcPr>
            <w:tcW w:w="2126" w:type="dxa"/>
            <w:vAlign w:val="center"/>
          </w:tcPr>
          <w:p>
            <w:pPr>
              <w:pStyle w:val="24"/>
            </w:pPr>
            <w:r>
              <w:t>正科级</w:t>
            </w:r>
          </w:p>
        </w:tc>
        <w:tc>
          <w:tcPr>
            <w:tcW w:w="3827" w:type="dxa"/>
            <w:vAlign w:val="center"/>
          </w:tcPr>
          <w:p>
            <w:pPr>
              <w:pStyle w:val="24"/>
            </w:pPr>
            <w:r>
              <w:t>财政拨款</w:t>
            </w:r>
          </w:p>
        </w:tc>
      </w:tr>
    </w:tbl>
    <w:p>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pPr>
        <w:pStyle w:val="29"/>
      </w:pPr>
      <w:r>
        <w:t>按照预算管理有关规定，目前部门预算的编制实行综合预算管理，即全部收入和支出都反映在预算中。唐山市丰南区</w:t>
      </w:r>
      <w:r>
        <w:rPr>
          <w:rFonts w:hint="eastAsia"/>
          <w:lang w:eastAsia="zh-CN"/>
        </w:rPr>
        <w:t>胥各庄街道办事处</w:t>
      </w:r>
      <w:r>
        <w:t>机关及所属事业单位的收支包含在部门预算中。</w:t>
      </w:r>
    </w:p>
    <w:p>
      <w:pPr>
        <w:pStyle w:val="29"/>
      </w:pPr>
      <w:r>
        <w:t>1、收入说明</w:t>
      </w:r>
    </w:p>
    <w:p>
      <w:pPr>
        <w:pStyle w:val="29"/>
      </w:pPr>
      <w:r>
        <w:t>反映本部门当年全部收入。</w:t>
      </w:r>
      <w:r>
        <w:rPr>
          <w:rFonts w:hint="eastAsia"/>
          <w:lang w:eastAsia="zh-CN"/>
        </w:rPr>
        <w:t>2017</w:t>
      </w:r>
      <w:r>
        <w:t>年预算收入</w:t>
      </w:r>
      <w:r>
        <w:rPr>
          <w:rFonts w:hint="eastAsia"/>
        </w:rPr>
        <w:t>2908.76</w:t>
      </w:r>
      <w:r>
        <w:t>万元，其中：一般公共预算收入</w:t>
      </w:r>
      <w:r>
        <w:rPr>
          <w:rFonts w:hint="eastAsia"/>
        </w:rPr>
        <w:t>2908.76</w:t>
      </w:r>
      <w:r>
        <w:t>万元，基金预算收入0万元，国有资本经营预算收入0万元，财政专户核拨收入0万元，单位资金收入0万元，上年结转结余0万元。</w:t>
      </w:r>
    </w:p>
    <w:p>
      <w:pPr>
        <w:pStyle w:val="29"/>
      </w:pPr>
      <w:r>
        <w:t>2、支出说明</w:t>
      </w:r>
    </w:p>
    <w:p>
      <w:pPr>
        <w:pStyle w:val="29"/>
      </w:pPr>
      <w:r>
        <w:t>收支预算总表支出栏、基本支出表、项目支出表按经济分类和支出功能分类科目编制，反映唐山市丰南区</w:t>
      </w:r>
      <w:r>
        <w:rPr>
          <w:rFonts w:hint="eastAsia"/>
          <w:lang w:eastAsia="zh-CN"/>
        </w:rPr>
        <w:t>胥各庄街道办事处</w:t>
      </w:r>
      <w:r>
        <w:t>年度部门预算中支出预算的总体情况。</w:t>
      </w:r>
      <w:r>
        <w:rPr>
          <w:rFonts w:hint="eastAsia"/>
          <w:lang w:val="uk-UA" w:eastAsia="zh-CN"/>
        </w:rPr>
        <w:t>2017</w:t>
      </w:r>
      <w:r>
        <w:t>年支出预算</w:t>
      </w:r>
      <w:r>
        <w:rPr>
          <w:rFonts w:hint="eastAsia"/>
        </w:rPr>
        <w:t>2908.76</w:t>
      </w:r>
      <w:r>
        <w:t>万元，其中基本支出</w:t>
      </w:r>
      <w:r>
        <w:rPr>
          <w:rFonts w:hint="eastAsia"/>
          <w:lang w:val="en-US" w:eastAsia="zh-CN"/>
        </w:rPr>
        <w:t>1120</w:t>
      </w:r>
      <w:r>
        <w:t>万元，包括人员经费</w:t>
      </w:r>
      <w:r>
        <w:rPr>
          <w:rFonts w:hint="eastAsia"/>
          <w:lang w:val="en-US" w:eastAsia="zh-CN"/>
        </w:rPr>
        <w:t>1024.64</w:t>
      </w:r>
      <w:r>
        <w:t>万元和日常公用经费</w:t>
      </w:r>
      <w:r>
        <w:rPr>
          <w:rFonts w:hint="eastAsia"/>
        </w:rPr>
        <w:t>95.36</w:t>
      </w:r>
      <w:r>
        <w:t>万元；项目支出</w:t>
      </w:r>
      <w:r>
        <w:rPr>
          <w:rFonts w:hint="eastAsia"/>
        </w:rPr>
        <w:t>1788.76</w:t>
      </w:r>
      <w:r>
        <w:t>万元，主要为</w:t>
      </w:r>
      <w:r>
        <w:rPr>
          <w:rFonts w:hint="eastAsia"/>
        </w:rPr>
        <w:t>社区居委会经费、小区卫生清扫和保洁及绿化养护费、计划生育事业经费、新建社区办公场所装修和办公设施经费、劳动保障事务站经费、社区取暖费、社区信息化建设经费、信访维稳经费、社区工作人员培训费</w:t>
      </w:r>
      <w:r>
        <w:t>。</w:t>
      </w:r>
    </w:p>
    <w:p>
      <w:pPr>
        <w:pStyle w:val="29"/>
      </w:pPr>
      <w:r>
        <w:t>3、比上年增减情况</w:t>
      </w:r>
    </w:p>
    <w:p>
      <w:pPr>
        <w:pStyle w:val="29"/>
      </w:pPr>
      <w:r>
        <w:rPr>
          <w:rFonts w:hint="eastAsia"/>
          <w:lang w:eastAsia="zh-CN"/>
        </w:rPr>
        <w:t>2017</w:t>
      </w:r>
      <w:r>
        <w:t>年预算收支安排</w:t>
      </w:r>
      <w:r>
        <w:rPr>
          <w:rFonts w:hint="eastAsia"/>
        </w:rPr>
        <w:t>2908.76</w:t>
      </w:r>
      <w:r>
        <w:t>万元，较</w:t>
      </w:r>
      <w:r>
        <w:rPr>
          <w:rFonts w:hint="eastAsia"/>
          <w:lang w:eastAsia="zh-CN"/>
        </w:rPr>
        <w:t>201</w:t>
      </w:r>
      <w:r>
        <w:rPr>
          <w:rFonts w:hint="eastAsia"/>
          <w:lang w:val="en-US" w:eastAsia="zh-CN"/>
        </w:rPr>
        <w:t>6</w:t>
      </w:r>
      <w:r>
        <w:t>年预算</w:t>
      </w:r>
      <w:r>
        <w:rPr>
          <w:rFonts w:hint="eastAsia"/>
          <w:lang w:val="en-US" w:eastAsia="zh-CN"/>
        </w:rPr>
        <w:t>增加</w:t>
      </w:r>
      <w:r>
        <w:rPr>
          <w:rFonts w:hint="eastAsia"/>
        </w:rPr>
        <w:t>396.02</w:t>
      </w:r>
      <w:r>
        <w:t>万元，其中：基本支出减少</w:t>
      </w:r>
      <w:r>
        <w:rPr>
          <w:rFonts w:hint="eastAsia"/>
        </w:rPr>
        <w:t>705.18</w:t>
      </w:r>
      <w:r>
        <w:t>万元，主要为人员经费减少。项目支出</w:t>
      </w:r>
      <w:r>
        <w:rPr>
          <w:rFonts w:hint="eastAsia"/>
          <w:lang w:val="en-US" w:eastAsia="zh-CN"/>
        </w:rPr>
        <w:t>增加1101.2</w:t>
      </w:r>
      <w:r>
        <w:t>万元，主要为</w:t>
      </w:r>
      <w:r>
        <w:rPr>
          <w:rFonts w:hint="eastAsia"/>
        </w:rPr>
        <w:t>社区居委会经费</w:t>
      </w:r>
      <w:r>
        <w:rPr>
          <w:rFonts w:hint="eastAsia"/>
          <w:lang w:eastAsia="zh-CN"/>
        </w:rPr>
        <w:t>、新建社区办公场所装修和办公设施经费、计划生育事业经费、劳动保障事务站经费、小区卫生清扫</w:t>
      </w:r>
      <w:r>
        <w:rPr>
          <w:rFonts w:hint="eastAsia"/>
          <w:lang w:val="en-US" w:eastAsia="zh-CN"/>
        </w:rPr>
        <w:t>和</w:t>
      </w:r>
      <w:r>
        <w:rPr>
          <w:rFonts w:hint="eastAsia"/>
          <w:lang w:eastAsia="zh-CN"/>
        </w:rPr>
        <w:t>保洁及绿化养护费</w:t>
      </w:r>
      <w:r>
        <w:rPr>
          <w:rFonts w:hint="eastAsia"/>
          <w:lang w:val="en-US" w:eastAsia="zh-CN"/>
        </w:rPr>
        <w:t>增加</w:t>
      </w:r>
      <w:r>
        <w:t>。</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30"/>
      </w:pPr>
      <w:r>
        <w:rPr>
          <w:rFonts w:hint="eastAsia"/>
          <w:lang w:eastAsia="zh-CN"/>
        </w:rPr>
        <w:t>2017</w:t>
      </w:r>
      <w:r>
        <w:t>年，我部门机关运行经费共计安排</w:t>
      </w:r>
      <w:r>
        <w:rPr>
          <w:rFonts w:hint="eastAsia"/>
        </w:rPr>
        <w:t>95.36</w:t>
      </w:r>
      <w:r>
        <w:t>万元，主要用于</w:t>
      </w:r>
      <w:r>
        <w:rPr>
          <w:rFonts w:hint="eastAsia"/>
        </w:rPr>
        <w:t>日常维修、办公用房水电费、办公用房取暖费、邮电费、差旅费、公务用车运行维护费等</w:t>
      </w:r>
      <w:r>
        <w:t>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8"/>
      </w:pPr>
      <w:bookmarkStart w:id="4" w:name="_Toc_3_3_0000000014"/>
      <w:r>
        <w:rPr>
          <w:rFonts w:hint="eastAsia"/>
          <w:lang w:eastAsia="zh-CN"/>
        </w:rPr>
        <w:t>2017</w:t>
      </w:r>
      <w:r>
        <w:t>年，我单位财政拨款“三公”经费预算安排</w:t>
      </w:r>
      <w:r>
        <w:rPr>
          <w:rFonts w:hint="eastAsia"/>
          <w:lang w:val="en-US" w:eastAsia="zh-CN"/>
        </w:rPr>
        <w:t>7.50</w:t>
      </w:r>
      <w:r>
        <w:t>万元，其中因公出国（境）费0万元；公务用车购置及运维费15万元（其中：公务用车购置费为0万元，公务用车运维费</w:t>
      </w:r>
      <w:r>
        <w:rPr>
          <w:rFonts w:hint="eastAsia"/>
          <w:lang w:val="en-US" w:eastAsia="zh-CN"/>
        </w:rPr>
        <w:t>7.50</w:t>
      </w:r>
      <w:r>
        <w:t>万元)；公务接待费10万元。与</w:t>
      </w:r>
      <w:r>
        <w:rPr>
          <w:rFonts w:hint="eastAsia"/>
          <w:lang w:eastAsia="zh-CN"/>
        </w:rPr>
        <w:t>201</w:t>
      </w:r>
      <w:r>
        <w:rPr>
          <w:rFonts w:hint="eastAsia"/>
          <w:lang w:val="en-US" w:eastAsia="zh-CN"/>
        </w:rPr>
        <w:t>6</w:t>
      </w:r>
      <w:r>
        <w:t>年相比增加</w:t>
      </w:r>
      <w:r>
        <w:rPr>
          <w:rFonts w:hint="eastAsia"/>
          <w:lang w:val="en-US" w:eastAsia="zh-CN"/>
        </w:rPr>
        <w:t>2.5</w:t>
      </w:r>
      <w:r>
        <w:t>万元，增</w:t>
      </w:r>
      <w:r>
        <w:rPr>
          <w:rFonts w:hint="eastAsia"/>
          <w:lang w:val="en-US" w:eastAsia="zh-CN"/>
        </w:rPr>
        <w:t>加</w:t>
      </w:r>
      <w:r>
        <w:t>变化的主要原因是</w:t>
      </w:r>
      <w:r>
        <w:rPr>
          <w:rFonts w:hint="eastAsia"/>
          <w:lang w:val="en-US" w:eastAsia="zh-CN"/>
        </w:rPr>
        <w:t>增加</w:t>
      </w:r>
      <w:r>
        <w:t>公务车运行维护费</w:t>
      </w:r>
      <w:r>
        <w:rPr>
          <w:rFonts w:hint="eastAsia"/>
          <w:lang w:val="en-US" w:eastAsia="zh-CN"/>
        </w:rPr>
        <w:t>2.5</w:t>
      </w:r>
      <w:r>
        <w:t>万元。</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pPr>
      <w:r>
        <w:rPr>
          <w:rFonts w:eastAsia="方正仿宋_GBK"/>
          <w:color w:val="000000"/>
          <w:sz w:val="28"/>
        </w:rPr>
        <w:t>（一）总体绩效目标</w:t>
      </w:r>
    </w:p>
    <w:p>
      <w:pPr>
        <w:pStyle w:val="32"/>
        <w:rPr>
          <w:rFonts w:hint="eastAsia"/>
        </w:rPr>
      </w:pPr>
      <w:r>
        <w:rPr>
          <w:rFonts w:hint="eastAsia"/>
        </w:rPr>
        <w:t>2017年是贯彻党的十八届六中全会精神的关键之年，街道将继续按照“抓党建、带多建、促共建”的整体思路，切实做好民生工作，加强和谐社区建设，推动街居建设出成效，为民服务上水平，开创工作新局面。</w:t>
      </w:r>
    </w:p>
    <w:p>
      <w:pPr>
        <w:pStyle w:val="32"/>
        <w:rPr>
          <w:rFonts w:hint="eastAsia"/>
        </w:rPr>
      </w:pPr>
      <w:r>
        <w:rPr>
          <w:rFonts w:hint="eastAsia"/>
        </w:rPr>
        <w:t>1、党建工作。在继续开展好五个一月度工作法、“组织生活信息卡”传送制度、“三带两包一承诺”等活动的基础上，我们将以党员教育管理为抓手，打造“星级党建”，推进党员管理机制创新；突出重点，深入开展“两学一做”学习教育，着力创新基层党建活动载体，倾力打造特色党建、精品党建。</w:t>
      </w:r>
    </w:p>
    <w:p>
      <w:pPr>
        <w:pStyle w:val="32"/>
        <w:rPr>
          <w:rFonts w:hint="eastAsia"/>
        </w:rPr>
      </w:pPr>
      <w:r>
        <w:rPr>
          <w:rFonts w:hint="eastAsia"/>
        </w:rPr>
        <w:t>2、民政工作</w:t>
      </w:r>
    </w:p>
    <w:p>
      <w:pPr>
        <w:pStyle w:val="32"/>
        <w:rPr>
          <w:rFonts w:hint="eastAsia"/>
        </w:rPr>
      </w:pPr>
      <w:r>
        <w:rPr>
          <w:rFonts w:hint="eastAsia"/>
        </w:rPr>
        <w:t>一是把握低保政策，应保尽保；二是对贫困家庭积极开展多渠道救助服务；三是积极开展为老服务工作。</w:t>
      </w:r>
    </w:p>
    <w:p>
      <w:pPr>
        <w:pStyle w:val="32"/>
        <w:rPr>
          <w:rFonts w:hint="eastAsia"/>
        </w:rPr>
      </w:pPr>
      <w:r>
        <w:rPr>
          <w:rFonts w:hint="eastAsia"/>
        </w:rPr>
        <w:t>3、宣传工作</w:t>
      </w:r>
    </w:p>
    <w:p>
      <w:pPr>
        <w:pStyle w:val="32"/>
        <w:rPr>
          <w:rFonts w:hint="eastAsia"/>
        </w:rPr>
      </w:pPr>
      <w:r>
        <w:rPr>
          <w:rFonts w:hint="eastAsia"/>
        </w:rPr>
        <w:t>一是提升文体自治组织，鼓励创作精品节目；二是大力开展广场文化和社区文化活动；三是巩固强化特色楼宇文化建设；四是坚持典型引路，强化示范作用。</w:t>
      </w:r>
    </w:p>
    <w:p>
      <w:pPr>
        <w:pStyle w:val="32"/>
        <w:rPr>
          <w:rFonts w:hint="eastAsia"/>
        </w:rPr>
      </w:pPr>
      <w:r>
        <w:rPr>
          <w:rFonts w:hint="eastAsia"/>
        </w:rPr>
        <w:t>4、推动网格化服务升级，拓展服务领域。</w:t>
      </w:r>
    </w:p>
    <w:p>
      <w:pPr>
        <w:pStyle w:val="32"/>
        <w:rPr>
          <w:rFonts w:hint="eastAsia"/>
        </w:rPr>
      </w:pPr>
      <w:r>
        <w:rPr>
          <w:rFonts w:hint="eastAsia"/>
        </w:rPr>
        <w:t>一是探索“互联网+社区”电商服务模式；二是完善升级“智惠丰南”微信平台服务功能，推进社区服务创新。</w:t>
      </w:r>
    </w:p>
    <w:p>
      <w:pPr>
        <w:pStyle w:val="32"/>
        <w:numPr>
          <w:ilvl w:val="0"/>
          <w:numId w:val="1"/>
        </w:numPr>
        <w:rPr>
          <w:rFonts w:hint="eastAsia"/>
        </w:rPr>
      </w:pPr>
      <w:r>
        <w:rPr>
          <w:rFonts w:hint="eastAsia"/>
        </w:rPr>
        <w:t>加强管理，提高街居干部能力素质。</w:t>
      </w:r>
    </w:p>
    <w:p>
      <w:pPr>
        <w:pStyle w:val="32"/>
        <w:numPr>
          <w:ilvl w:val="0"/>
          <w:numId w:val="0"/>
        </w:numPr>
        <w:rPr>
          <w:rFonts w:hint="eastAsia"/>
        </w:rPr>
      </w:pPr>
    </w:p>
    <w:p>
      <w:pPr>
        <w:ind w:firstLine="560" w:firstLineChars="200"/>
        <w:outlineLvl w:val="0"/>
        <w:rPr>
          <w:rFonts w:ascii="方正仿宋简体" w:hAnsi="仿宋" w:eastAsia="方正仿宋简体" w:cs="仿宋"/>
          <w:bCs/>
          <w:color w:val="000000"/>
          <w:sz w:val="28"/>
          <w:szCs w:val="28"/>
        </w:rPr>
      </w:pPr>
      <w:bookmarkStart w:id="5" w:name="_Toc_3_3_0000000017"/>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pStyle w:val="32"/>
        <w:rPr>
          <w:rFonts w:hint="eastAsia"/>
        </w:rPr>
      </w:pPr>
      <w:r>
        <w:rPr>
          <w:rFonts w:hint="eastAsia"/>
        </w:rPr>
        <w:t>1、党建工作：一是建立“党员分类、日常积分、星级评定”综合机制。2017年街道在各社区全面推行“党员分类、日常积分、星级评定”综合机制。社区将党员根据个人情况划分为A、B、C、D、E五个类别，对不同类别党员按不同标准管理考核；建立日常积分管理机制，实行百分制管理，细化量化积分考核细则，建立《积分台账》，将党员履行义务、参与组织生活情况作详细记录，党员积分情况作为评议不合格党员和党员评先评优的重要依据；综合运用积分考核结果，对党员进行星级评定。通过星级评定，进一步增强社区党员的自豪感，进一步提升基层党组织的战斗力和凝聚力。二是突出重点，深入开展“两学一做”学习教育。继续在“真学、真懂、真信、真用”上下功夫，落实每周一次的集中学习制度。继续开办街道、社区各类讲堂，以党员干部远程教育网络、多媒体、各类展览、参观等为平台，以机关、社区党员活动室为阵地，组织党员干部开展学习培训。把学习教育融入组织生活、嵌入学习制度。各党支部要继续组织全体党员召开专题组织生活会、举办民主评议党员和专题学习讨论活动，使“两学一做”贯穿于各项工作始终。</w:t>
      </w:r>
    </w:p>
    <w:p>
      <w:pPr>
        <w:pStyle w:val="32"/>
        <w:rPr>
          <w:rFonts w:hint="eastAsia"/>
        </w:rPr>
      </w:pPr>
      <w:r>
        <w:rPr>
          <w:rFonts w:hint="eastAsia"/>
        </w:rPr>
        <w:t>2、民政工作。一是把握低保政策，应保尽保。二是对贫困家庭积极开展多渠道救助服务。①入户核查大病特困家庭，并上报区民政局和区慈善协会，为这些特困家庭申请救助。② 7月份我们将对各社区因家庭困难无力供子女就学的家庭进行入户调查，推荐困难家庭的子女入学，解决贫困家庭学生就学和就业难的问题。③做好低保家庭升学子女低保金提标工作和毕业人员学生补贴减免手续，并为升入大学的低保家庭子女申报2000元——3000元慈善助学基金，解决低保家庭子女无钱上学的困难。④春节前夕街道将对各社区上报的困难家庭进行分类汇总，并多方筹措资金多渠道对这些困难家庭进行慰问。三是积极开展为老服务工作。①社区托老服务。建设楼社区爱心居家养老服务站，是街道范围内首家托老所，通过“筑巢引凤”的方式吸纳有爱心的下岗职工马国秀为服务站负责管理和服务工作，进行市场化运作。目前入住老人达到18名，2017年首先是加大宣传力度，吸引更多的老人入住建设楼爱心助残托老所；其次协调民政部门落实建设楼爱心助残托老所的各项补贴；第三规范服务行为，提高经营者自身素质，使其由现在的服务员打造成经营管理者。②开展老年配餐服务。继续以曙光社区老年配餐中心为试点，组织各社区对辖区内的老年人进行入户走访，征求意见，详细了解老年人的就餐需求，为社区需要配餐服务的老人提供集中就餐和上门送餐等服务，解决老年人就餐问题。</w:t>
      </w:r>
    </w:p>
    <w:p>
      <w:pPr>
        <w:pStyle w:val="32"/>
        <w:rPr>
          <w:rFonts w:hint="eastAsia"/>
        </w:rPr>
      </w:pPr>
      <w:r>
        <w:rPr>
          <w:rFonts w:hint="eastAsia"/>
        </w:rPr>
        <w:t>3、宣传工作。一是提升文体自治组织，鼓励创作精品节目。明年我们将着力提升东兴的老兵红歌演唱队、河头好妈妈合唱团和红舞鞋舞蹈队的专业水平和整体素质。二是大力开展广场文化和社区文化活动，用活动凝聚人、教育人，提升居民文明素质。2017年，重点举办第六届邻居节启动仪式、第十三届群众歌咏演唱会，开展全民素质教育大讲堂、我爱社区摄影展、春联书法笔友会，结合春节、端午节、重阳节等传统节日和五一劳动节、国庆节等重大节日，重点开展“我们的节日”系列活动等形式多样的文体活动，开展多种形式的“中国梦”、社会主义核心价值观宣传活动，丰富居民文化生活，引导社区居民追求高尚的理想和目标，增进社区居民对社区的认同感和归属感，提高社区居民综合素质和社区建设工作水平。三是巩固强化特色楼宇文化建设。在前五届“邻居节”的基础上，继续构建新型睦邻文化，持续开展特色楼宇文化创建活动，巩固强化“一居一品”“一格一特色”楼宇文化建设，营造“进了楼门就是家”的良好氛围，实现居民的自我教育、自我管理和自我服务。四是坚持典型引路，强化示范作用。街道开展宣传思想工作时，充分运用典型引路这一有效形式，通过深入细致的调查研究，及时发现优秀典型的人、事、网格、网格志愿者、网格员等，挖掘其最具本质的、最具时代精神的闪光点，通过宣传激励、带动大家深入学习，并将其作为宣传思想工作创新的切入点，从而确立正确的舆论导向和宣传重点，真正做到“贴近实际、贴近生活、贴近群众”，使街道宣传思想政治工作充满创造力、说服力和感召力。</w:t>
      </w:r>
    </w:p>
    <w:p>
      <w:pPr>
        <w:pStyle w:val="32"/>
        <w:rPr>
          <w:rFonts w:hint="eastAsia"/>
        </w:rPr>
      </w:pPr>
      <w:r>
        <w:rPr>
          <w:rFonts w:hint="eastAsia"/>
        </w:rPr>
        <w:t>4、推动网格化服务升级，拓展服务领域。一是继续完善升级“智惠丰南”微信平台功能。结合“互联网+”的新形势，“智惠丰南”在平台软件上将继续升级完善：阅读记忆功能、排序功能、网上问卷功能、一键转发功能、搜索功能、分类功能等，同时也会将网上交费（水费、电费、取暖费）等生活服务内容陆续延伸拓展到平台中，打造丰南人专属的O2O，满足居民不同生活需求。真正实现服务全覆盖；二是活动吸引。平台的建设离不开活动的策划推广。结合节假日及居民需求，及时推出一些主题创意活动，有物质奖励的（比赛类），满足精神需求的（K歌，直播，展示个人成就感的），满足社交互动需求的（好友PK赛、读书微分享），当然，活动也必须经典，有温度，不能为了凑数而随便开展，要激发起居民的内心意愿，让大家自主参与的同时将街道服务理念也及时传达给他们，增强粉丝粘性，提升粉丝活跃度，实现“智惠丰南”的惠民目标。</w:t>
      </w:r>
    </w:p>
    <w:p>
      <w:pPr>
        <w:pStyle w:val="32"/>
        <w:rPr>
          <w:rFonts w:hint="eastAsia"/>
        </w:rPr>
      </w:pPr>
      <w:r>
        <w:rPr>
          <w:rFonts w:hint="eastAsia"/>
        </w:rPr>
        <w:t>5、加强管理，提高街居干部能力素质。街道社区队伍的素质直接决定和影响着社区建设的发展。为此，我们从打造开放型、开拓型、实干型队伍入手，着力培养街居干部科学严谨务实的工作作风，一丝不苟的为民服务态度。一是强化学习。采取走出去，引进来的方式，开展周末大讲堂、专家培训、专题调研等多种学习教育活动，不断提升社工干部队伍素质。二是优化作风。深入开展带着民情日志走基层“一线”工作法活动，做到“三勤、三心、三善”，即：工作在一线，深入社区，体察民情要勤，研究新情况、解决新问题要勤，宣传党的主张并变成百姓的行动要勤；做到接待群众要热心，说服教育要耐心，处理问题要细心；要善于协调各方面关系，善于利用社区资源，善于发动群众参与社区工作，从而不断提升社区干部沟通协调、语言表达、多谋善断等八项能力。三是严格考核。我们在完善制度建设，深化作风建设的基础上，强化社区干部日常考核和年终考核，做到奖惩分明，充分调动街居干部工作积极性和主动性，有力推动社区建设健康发展。</w:t>
      </w:r>
    </w:p>
    <w:p>
      <w:pPr>
        <w:pStyle w:val="32"/>
        <w:rPr>
          <w:rFonts w:hint="eastAsia"/>
        </w:rPr>
      </w:pPr>
    </w:p>
    <w:p>
      <w:pPr>
        <w:pStyle w:val="32"/>
        <w:numPr>
          <w:ilvl w:val="0"/>
          <w:numId w:val="2"/>
        </w:numPr>
        <w:rPr>
          <w:rFonts w:hint="eastAsia" w:ascii="方正仿宋简体" w:hAnsi="楷体" w:eastAsia="方正仿宋简体"/>
          <w:sz w:val="28"/>
          <w:szCs w:val="28"/>
        </w:rPr>
      </w:pPr>
      <w:r>
        <w:rPr>
          <w:rFonts w:hint="eastAsia" w:ascii="方正仿宋简体" w:hAnsi="楷体" w:eastAsia="方正仿宋简体"/>
          <w:sz w:val="28"/>
          <w:szCs w:val="28"/>
        </w:rPr>
        <w:t>部门职责及工作活动绩效目标指标</w:t>
      </w:r>
    </w:p>
    <w:p>
      <w:pPr>
        <w:pStyle w:val="32"/>
        <w:numPr>
          <w:ilvl w:val="0"/>
          <w:numId w:val="0"/>
        </w:numPr>
        <w:rPr>
          <w:rFonts w:hint="eastAsia" w:ascii="方正仿宋简体" w:hAnsi="楷体" w:eastAsia="方正仿宋简体"/>
          <w:sz w:val="28"/>
          <w:szCs w:val="28"/>
        </w:rPr>
      </w:pPr>
    </w:p>
    <w:p>
      <w:pPr>
        <w:jc w:val="center"/>
        <w:outlineLvl w:val="0"/>
        <w:rPr>
          <w:rFonts w:hint="eastAsia" w:ascii="方正小标宋_GBK" w:eastAsia="方正小标宋_GBK"/>
          <w:sz w:val="32"/>
        </w:rPr>
      </w:pPr>
      <w:bookmarkStart w:id="6" w:name="_Toc474137057"/>
      <w:r>
        <w:rPr>
          <w:rFonts w:hint="eastAsia" w:ascii="方正小标宋_GBK" w:eastAsia="方正小标宋_GBK"/>
          <w:sz w:val="32"/>
        </w:rPr>
        <w:t>部门职责-工作活动绩效目标</w:t>
      </w:r>
      <w:bookmarkEnd w:id="6"/>
    </w:p>
    <w:tbl>
      <w:tblPr>
        <w:tblStyle w:val="13"/>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418</w:t>
            </w:r>
            <w:r>
              <w:rPr>
                <w:rFonts w:hint="eastAsia" w:ascii="方正小标宋_GBK" w:eastAsia="方正小标宋_GBK"/>
                <w:sz w:val="24"/>
              </w:rPr>
              <w:t>胥各庄街道办事处</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政务管理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9.20</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负责部门多项事务管理</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保障单位一般性日常工作开展和机关事务的基本运转。</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机关综合事务管理</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6.40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公文运转、会议组织安排、公务接待、督查督办、信息采集和民意调查、网站建设与维护、网络及设备维护、值班工作安排和应急管理、政务公开等，为机关运行做好服务保障工作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率高，无差错，领导满意。保障会议顺利召开。确保政府决策事项和领导指示得到贯彻落实。信息真实完整，批示率高。保持线路通畅，保障网络和信息安全。做好政务信息公开工作，保证及时公开。使来我单位参观学习、指导的工作顺利进行。确保应急工作顺利完成，各类突发事件得到及时妥善处置。确保机关各项工作正常运转</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完成接待任务</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应急处置率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81%-90%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71%-80%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政务公开率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差错率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以下</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10%-20%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信息采集上报率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用户满意度率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纪检监察</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2.80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协助党工委落实街道党风廉政建设主体责任以及落实纪工委监督责任。开设廉政教育讲堂、组建网格廉政志愿者、开展廉政文化活动。协助上级纪委做好陪护、办案等工作。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深入推进街道社区党风廉政建设和反腐败工作，营造风清气正、勤政廉政的良好氛围，提升街道社区党员干部拒腐防变能力。维护党纪国法尊严，有效遏制腐败现象发生。</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资金使用规范率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宣传教育活动落实率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监督检查及巡视督查工作完成率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工会事务管理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积极开展各种活动，维护职工合法权益及切身利益</w:t>
            </w:r>
            <w:r>
              <w:rPr>
                <w:rFonts w:ascii="方正书宋_GBK" w:eastAsia="方正书宋_GBK"/>
              </w:rPr>
              <w:t>,</w:t>
            </w:r>
            <w:r>
              <w:rPr>
                <w:rFonts w:hint="eastAsia" w:ascii="方正书宋_GBK" w:eastAsia="方正书宋_GBK"/>
              </w:rPr>
              <w:t>提高职工幸福指数。工会自身改革和建设，负责工会干部管理制度和培训规划制定以及培训工作；承担区总工会交办的其他事项。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广大干部职工工作素质进一步提升。切实提高工会综合事务管理水平，保障单位的正常运转。切实保障职工合法权益及切身利益</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妇联事务管理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完善基层妇联组织建设，完成上级交办工作任务，引导妇女参加社区活动。为广大妇女儿童提供权益保护、救助等方面的政策咨询及服务。加强宣传引领，开展各项活动及培训，全面提高妇女素质。</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区妇联交办的工作任务；创业就业能力逐步增强；提高广大妇女儿童的维权意识和维权能力，维护妇女儿童合法权益；通过活动的开展使辖区妇女精神面貌有较大改观，参与意识逐步增强，整体素质得到全面提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10-12</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基本满意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共青团事务管理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加强基层团组织及青年中心建设；全方位推进团的工作，利用重要节点节日、各类阵地、各种形式对辖区青少年进行宣传教育及开展各类文体活动、志愿服务活动等；承担团区委交办的有关事项。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加强团干部配备，加强思想、作风建设；团组织服务能力不断提高。加强对青年的宣传力度，用科学理论武装青年，用共同理想感召青年，用核心价值观引领青年。圆满完成上级团组织交办的各项任务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至</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10-12</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团组织健全程度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党建综合事务管理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7.28</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负责辖区内党建工作，做好辖区内党员的培训、教育和管理，并组织、指导、协调辖区党组织宣传工作、规范干部档案</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创新党员教育活动形式，提升党员素质队伍建设</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组织建设、党员教育、党建宣传</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4.00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指导辖区内党组织建设，选配书记、委员，配齐班子成员。定期开展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和党员电教工作。组织、指导、协调辖区党组织宣传工作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加强党组织建设，不断提高执政能力和领导水平，有凝聚力和向心力。规范党员组织生活和丰富党员教育形式。组织、指导、协调辖区党组织宣传工作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宣传工作任务完成率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活动开展的次数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w:t>
            </w:r>
            <w:r>
              <w:rPr>
                <w:rFonts w:ascii="方正书宋_GBK" w:eastAsia="方正书宋_GBK"/>
              </w:rPr>
              <w:t>-11</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w:t>
            </w:r>
            <w:r>
              <w:rPr>
                <w:rFonts w:ascii="方正书宋_GBK" w:eastAsia="方正书宋_GBK"/>
              </w:rPr>
              <w:t>-9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社区党支部设置率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干部队伍管理、教育</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3.28</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负责对辖区内组织干部管理和备案审查工作。组织辖区内管理的干部和一定层次的其他干部的培训。规范、整理街居非在编干部的个人档案工作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培养锻炼干部，提高干部整体素质。建立规范的党员干部教育培训体系，不断提高党员干部的执政水平。整理、完善街居社区干部的档案收集、整理工作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档案工作任务完成率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干部考核调研次数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w:t>
            </w:r>
            <w:r>
              <w:rPr>
                <w:rFonts w:ascii="方正书宋_GBK" w:eastAsia="方正书宋_GBK"/>
              </w:rPr>
              <w:t>-9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w:t>
            </w:r>
            <w:r>
              <w:rPr>
                <w:rFonts w:ascii="方正书宋_GBK" w:eastAsia="方正书宋_GBK"/>
              </w:rPr>
              <w:t>-6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干部培训完成次数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r>
              <w:rPr>
                <w:rFonts w:ascii="方正书宋_GBK" w:eastAsia="方正书宋_GBK"/>
              </w:rPr>
              <w:t>-5</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社区建设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72.00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指导社区开展组织建设、制度建设和其他建设性工作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促进社区发展，使社区规模不断扩大，职能更加完善，服务更加便捷，居民更加满意</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社区信息化建设</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54.00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对现有系统、软硬件等进行日常维修、维护及升级；与区级相关部门平台对接及维护工作；购置社区信息化建设所需系统、软硬件等，并做好日常维修维护及升级工作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为网格化管理服务工作开展业务提供技术支持；提高街道社区居民管理信息化、数字化水平；拓展社区服务，加强街居管理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街道社区居民数字化、信息化管理普及率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75%-85%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65%-75%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社区居民信息化完成率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保障网格管理系统各项功能完善及正常运行率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社区培训与考核</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18.00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不定期开展综合能力拓展培训活动，购买培训资料自我学习，聘请专业讲师或经验丰富人员授课，参观优秀社区学习先进经验等培训。定期对社区及社区工作人员考核</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提高社区工作人员专业化、职业化水平，提升为居民服务能力；经过考核发现社区及社区工作人员工作中存在的问题并解决，使社区工作顺利、平稳、有序开展。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考核覆盖率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6-8</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培训学时</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320</w:t>
            </w:r>
            <w:r>
              <w:rPr>
                <w:rFonts w:hint="eastAsia" w:ascii="方正书宋_GBK" w:eastAsia="方正书宋_GBK"/>
              </w:rPr>
              <w:t>分钟以上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240</w:t>
            </w:r>
            <w:r>
              <w:rPr>
                <w:rFonts w:hint="eastAsia" w:ascii="方正书宋_GBK" w:eastAsia="方正书宋_GBK"/>
              </w:rPr>
              <w:t>分钟</w:t>
            </w:r>
            <w:r>
              <w:rPr>
                <w:rFonts w:ascii="方正书宋_GBK" w:eastAsia="方正书宋_GBK"/>
              </w:rPr>
              <w:t>-320</w:t>
            </w:r>
            <w:r>
              <w:rPr>
                <w:rFonts w:hint="eastAsia" w:ascii="方正书宋_GBK" w:eastAsia="方正书宋_GBK"/>
              </w:rPr>
              <w:t>分钟</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120</w:t>
            </w:r>
            <w:r>
              <w:rPr>
                <w:rFonts w:hint="eastAsia" w:ascii="方正书宋_GBK" w:eastAsia="方正书宋_GBK"/>
              </w:rPr>
              <w:t>分钟</w:t>
            </w:r>
            <w:r>
              <w:rPr>
                <w:rFonts w:ascii="方正书宋_GBK" w:eastAsia="方正书宋_GBK"/>
              </w:rPr>
              <w:t>-200</w:t>
            </w:r>
            <w:r>
              <w:rPr>
                <w:rFonts w:hint="eastAsia" w:ascii="方正书宋_GBK" w:eastAsia="方正书宋_GBK"/>
              </w:rPr>
              <w:t>分钟</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分钟以下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宣传</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14.09</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组织居民开展健康文明的文化教育和体育活动，提高居民素质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提升辖区居民的思想道德、科学文化、身心健康素质，构建新型睦邻文化，提升街居人员政治、业务和全民素质，推动和谐社区建设上水平。</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精神文明建设</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8.65</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完成上级部门交办精神文明工作，组织指导群众性精神文明创建活动</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提升居民思想道德素质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组织开展精神文明创建活动（次）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96-120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72-96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72</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开展主题志愿服务活动（次）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192-240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144-192</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144</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社会风气、居民素质及文化生活质量水平</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较大提升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较小提升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维持不变</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有所下降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提升全民素质、加大宣传力度</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5.44</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组织开展形式多样的文化活动，扶持壮大文体队伍。做好宣传阵地、科普工作、各类讲堂、全民素质培养工程、市民学校等工作。扩大对外宣传，开展多种形式的文化交流活动。</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活动社区文化体育活动；开始各类大讲堂，制作宣传橱窗和条幅等；充分展示良好形象，不断提高知名度、美誉度。</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各类讲堂场次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480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384-480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288-384</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288</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联系各媒体报社进行报道工作完成率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完善扶持壮大文体组织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38</w:t>
            </w:r>
            <w:r>
              <w:rPr>
                <w:rFonts w:hint="eastAsia" w:ascii="方正书宋_GBK" w:eastAsia="方正书宋_GBK"/>
              </w:rPr>
              <w:t>支及以上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30-38</w:t>
            </w:r>
            <w:r>
              <w:rPr>
                <w:rFonts w:hint="eastAsia" w:ascii="方正书宋_GBK" w:eastAsia="方正书宋_GBK"/>
              </w:rPr>
              <w:t>支</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22-30</w:t>
            </w:r>
            <w:r>
              <w:rPr>
                <w:rFonts w:hint="eastAsia" w:ascii="方正书宋_GBK" w:eastAsia="方正书宋_GBK"/>
              </w:rPr>
              <w:t>支</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r>
              <w:rPr>
                <w:rFonts w:hint="eastAsia" w:ascii="方正书宋_GBK" w:eastAsia="方正书宋_GBK"/>
              </w:rPr>
              <w:t>支以下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开展丰富多彩的各类文体活动场次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420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336-420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252-336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252</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武装工作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做好国防动员和兵役工作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支持国防建设，加强民兵组织建设，提高工作能力和民兵组织战斗力。按照兵役法和上级军事部门的要求对辖区内的适龄青年进行兵役登记，做好征兵工作。开展全民国防教育。</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民兵整组、兵役登记、征兵及全民国防教育</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建民兵应急分队；管理出入队。落实民兵参加人员并训练。负责民兵和预备役登记统计，负责国防动员，完成征兵工作。加强国防教育宣传员培训和教育；开展全民国防教育；负责民兵预备役的政治教育和适龄青年国防教育</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全面地、完整地、准确地宣传国防法规政策，解答居民相关问题。其余涉密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民兵整组落实率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兵役登记落实率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国防知识及相关法律法规知晓率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征兵工作完成率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社会事务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1540.48</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推进社会治安综合治理；反映群众意见要求，受理群众来信来访。负责环境卫生管理监督检查和宣传。负责法制宣传、调节民间纠纷。负责辖区计划生育工作。发展社区公益、福利事业。开展为民服务和其他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和减少不稳定因素的发生，化解群体性事件、突发事件及各类信访案件，维护社会稳定。确保民间纠纷化解在萌芽状态，切实提高群众法律素质，确保特殊群体不脱管、不失控。对小区卫生、绿化定期检查，发现问题及时处理。加强计划生育队伍建设，实现优质化服务，提高群众满意度。帮扶救助弱势群体；落实优抚对象各项优惠政策，为优抚对象提供服务；加强民宗事务管理。开展社区建设，拓展社区服务，加强社区管理，创建和谐社区。</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防范控制、社会治安综合治理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做好辖区内</w:t>
            </w:r>
            <w:r>
              <w:rPr>
                <w:rFonts w:hint="cs" w:ascii="方正书宋_GBK" w:eastAsia="方正书宋_GBK"/>
              </w:rPr>
              <w:t>“</w:t>
            </w:r>
            <w:r>
              <w:rPr>
                <w:rFonts w:hint="eastAsia" w:ascii="方正书宋_GBK" w:eastAsia="方正书宋_GBK"/>
              </w:rPr>
              <w:t>法轮功</w:t>
            </w:r>
            <w:r>
              <w:rPr>
                <w:rFonts w:hint="cs" w:ascii="方正书宋_GBK" w:eastAsia="方正书宋_GBK"/>
              </w:rPr>
              <w:t>”</w:t>
            </w:r>
            <w:r>
              <w:rPr>
                <w:rFonts w:hint="eastAsia" w:ascii="方正书宋_GBK" w:eastAsia="方正书宋_GBK"/>
              </w:rPr>
              <w:t>等邪教组织的防范控制、教育转化等工作。建立健全综治维稳工作机制；开展巡逻防控；指导社区排查不稳定隐患、群体性事件和突发事件及影响国家安全的事件；做好</w:t>
            </w:r>
            <w:r>
              <w:rPr>
                <w:rFonts w:hint="cs" w:ascii="方正书宋_GBK" w:eastAsia="方正书宋_GBK"/>
              </w:rPr>
              <w:t>“</w:t>
            </w:r>
            <w:r>
              <w:rPr>
                <w:rFonts w:hint="eastAsia" w:ascii="方正书宋_GBK" w:eastAsia="方正书宋_GBK"/>
              </w:rPr>
              <w:t>六无</w:t>
            </w:r>
            <w:r>
              <w:rPr>
                <w:rFonts w:hint="cs" w:ascii="方正书宋_GBK" w:eastAsia="方正书宋_GBK"/>
              </w:rPr>
              <w:t>”</w:t>
            </w:r>
            <w:r>
              <w:rPr>
                <w:rFonts w:hint="eastAsia" w:ascii="方正书宋_GBK" w:eastAsia="方正书宋_GBK"/>
              </w:rPr>
              <w:t>社区创建。</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不出现</w:t>
            </w:r>
            <w:r>
              <w:rPr>
                <w:rFonts w:hint="cs" w:ascii="方正书宋_GBK" w:eastAsia="方正书宋_GBK"/>
              </w:rPr>
              <w:t>“</w:t>
            </w:r>
            <w:r>
              <w:rPr>
                <w:rFonts w:hint="eastAsia" w:ascii="方正书宋_GBK" w:eastAsia="方正书宋_GBK"/>
              </w:rPr>
              <w:t>法轮功</w:t>
            </w:r>
            <w:r>
              <w:rPr>
                <w:rFonts w:hint="cs" w:ascii="方正书宋_GBK" w:eastAsia="方正书宋_GBK"/>
              </w:rPr>
              <w:t>”</w:t>
            </w:r>
            <w:r>
              <w:rPr>
                <w:rFonts w:hint="eastAsia" w:ascii="方正书宋_GBK" w:eastAsia="方正书宋_GBK"/>
              </w:rPr>
              <w:t>聚集闹事；不出现大量反宣；不出现进京滋事事件；不出现串联闹事事件。预防减少不稳定因素的发生，有效化解不稳定隐患、群体性和突发事件；组织平安建设和</w:t>
            </w:r>
            <w:r>
              <w:rPr>
                <w:rFonts w:hint="cs" w:ascii="方正书宋_GBK" w:eastAsia="方正书宋_GBK"/>
              </w:rPr>
              <w:t>“</w:t>
            </w:r>
            <w:r>
              <w:rPr>
                <w:rFonts w:hint="eastAsia" w:ascii="方正书宋_GBK" w:eastAsia="方正书宋_GBK"/>
              </w:rPr>
              <w:t>六无</w:t>
            </w:r>
            <w:r>
              <w:rPr>
                <w:rFonts w:hint="cs" w:ascii="方正书宋_GBK" w:eastAsia="方正书宋_GBK"/>
              </w:rPr>
              <w:t>”</w:t>
            </w:r>
            <w:r>
              <w:rPr>
                <w:rFonts w:hint="eastAsia" w:ascii="方正书宋_GBK" w:eastAsia="方正书宋_GBK"/>
              </w:rPr>
              <w:t>社区创建。</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w:t>
            </w:r>
            <w:r>
              <w:rPr>
                <w:rFonts w:hint="cs" w:ascii="方正书宋_GBK" w:eastAsia="方正书宋_GBK"/>
              </w:rPr>
              <w:t>“</w:t>
            </w:r>
            <w:r>
              <w:rPr>
                <w:rFonts w:hint="eastAsia" w:ascii="方正书宋_GBK" w:eastAsia="方正书宋_GBK"/>
              </w:rPr>
              <w:t>六无</w:t>
            </w:r>
            <w:r>
              <w:rPr>
                <w:rFonts w:hint="cs" w:ascii="方正书宋_GBK" w:eastAsia="方正书宋_GBK"/>
              </w:rPr>
              <w:t>”</w:t>
            </w:r>
            <w:r>
              <w:rPr>
                <w:rFonts w:hint="eastAsia" w:ascii="方正书宋_GBK" w:eastAsia="方正书宋_GBK"/>
              </w:rPr>
              <w:t>社区完成率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人民群众满意率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法轮功</w:t>
            </w:r>
            <w:r>
              <w:rPr>
                <w:rFonts w:hint="cs" w:ascii="方正书宋_GBK" w:eastAsia="方正书宋_GBK"/>
              </w:rPr>
              <w:t>”</w:t>
            </w:r>
            <w:r>
              <w:rPr>
                <w:rFonts w:hint="eastAsia" w:ascii="方正书宋_GBK" w:eastAsia="方正书宋_GBK"/>
              </w:rPr>
              <w:t>习练者转化率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信访工作</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24.00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加强信访工作各项制度的落实；定期对各社区矛盾进行排查预测；接待群众来访；及时解决群众来访问题，不能解决的及时上报上级部门；做好信访人的思想工作和稳控。</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信访工作扎实有效，信访量逐渐减少；将矛盾纠纷化解在基层，年内圆满完成各重要敏感期安保防控任务。</w:t>
            </w:r>
          </w:p>
        </w:tc>
        <w:tc>
          <w:tcPr>
            <w:tcW w:w="141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群众满意率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信访事项办理率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信访案件重访率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基层司法行政业务</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为本单位的依法行政工作提供法律咨询和建议。开展调解人员业务培训、民间纠纷排查和专项治理</w:t>
            </w:r>
            <w:r>
              <w:rPr>
                <w:rFonts w:ascii="方正书宋_GBK" w:eastAsia="方正书宋_GBK"/>
              </w:rPr>
              <w:t>;</w:t>
            </w:r>
            <w:r>
              <w:rPr>
                <w:rFonts w:hint="eastAsia" w:ascii="方正书宋_GBK" w:eastAsia="方正书宋_GBK"/>
              </w:rPr>
              <w:t>协助化解重大疑难民间纠纷。开展法治宣传教育，加强重点法律的普及宣传。做好社区矫正日常监督管理工作。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提高依法行政意识和依法行政的水平。不断提高调解队伍的法律素质和调解水平，维护辖区社会稳定。总结交流普法宣传和法制教育工作的经验，不断提高普法宣传和法制教育工作的质量和实效，提高广大群众遵纪守法和依法维权的自觉性。不断提高矫正效果，维护社会稳定，使社区服刑人员顺利回归社会</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法律知识知晓率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矫正率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纠纷调解率与调解成功率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环境卫生管理、监督检查和宣传教育</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401.88</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小区卫生保洁、绿化养护监督，及时发现问题，协调相关单位进行处理。定期组织开展环境卫生整治活动。每季更换一次橱窗内容，每月开展一次健康知识讲座。定期向发放消杀药物，督导、检查社区定时、定点投放消杀药物</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提供全天保洁，发现问题及时处理；绿化完好，无损坏，完好率</w:t>
            </w:r>
            <w:r>
              <w:rPr>
                <w:rFonts w:ascii="方正书宋_GBK" w:eastAsia="方正书宋_GBK"/>
              </w:rPr>
              <w:t>90%</w:t>
            </w:r>
            <w:r>
              <w:rPr>
                <w:rFonts w:hint="eastAsia" w:ascii="方正书宋_GBK" w:eastAsia="方正书宋_GBK"/>
              </w:rPr>
              <w:t>。增强居民环境保护意识，强化健康教育意识；引导居民积极参与环境卫生工作，树立文明向上的社区精神风貌，养成良好的卫生习惯。</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宣传橱窗更换次数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四害密度达标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低于国家标准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达到国家标准</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未达到国家标准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居民知晓率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清扫保洁到位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实行全天保洁绿化完好率</w:t>
            </w: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实行全天保洁绿化完好率</w:t>
            </w: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实行全天保洁绿化完好率</w:t>
            </w:r>
            <w:r>
              <w:rPr>
                <w:rFonts w:ascii="方正书宋_GBK" w:eastAsia="方正书宋_GBK"/>
              </w:rPr>
              <w:t>60%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实行全天保洁绿化完好率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计生户奖励扶助</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对街道独生子女死亡家庭、独生子女伤残家庭发放一次性救助金；独生子女父母伤残及独生子女患重大疾病家庭发放一次性救助金；对街道独生子女死亡家庭、独生子女伤残家庭发放特扶金</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提高计生特殊家庭的生活信心，感受到党委政府的关怀。落实关怀救助政策，关爱计生特殊家庭。</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特扶金落实率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一次性救助金落实率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计生户居民服务</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200.38</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核符合条件家庭的证件；统计辖区居住人口及新婚、出生等数据；免费为辖区育龄妇女提供孕前优生及避孕节育检查；开展流动人口卫生计生公共均等化服务；举办计划生育宣传活动；对计生特殊家庭进行爱心帮扶</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保障居民持证生育，减少政策外生育；及时将当年所有信息录入</w:t>
            </w:r>
            <w:r>
              <w:rPr>
                <w:rFonts w:ascii="方正书宋_GBK" w:eastAsia="方正书宋_GBK"/>
              </w:rPr>
              <w:t>PIS</w:t>
            </w:r>
            <w:r>
              <w:rPr>
                <w:rFonts w:hint="eastAsia" w:ascii="方正书宋_GBK" w:eastAsia="方正书宋_GBK"/>
              </w:rPr>
              <w:t>系统；按时按质完成全年免费查体服务；流动人口享受与本地居民同等待遇；丰富居民生活，提升居民素质，提高计生知识群众知晓程度；帮助解决特殊家庭的生活困难，使其在关怀中得到精神慰藉</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重大节日开展活动次数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r>
              <w:rPr>
                <w:rFonts w:ascii="方正书宋_GBK" w:eastAsia="方正书宋_GBK"/>
              </w:rPr>
              <w:t xml:space="preserve"> </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每月帮扶次数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次</w:t>
            </w:r>
            <w:r>
              <w:rPr>
                <w:rFonts w:ascii="方正书宋_GBK" w:eastAsia="方正书宋_GBK"/>
              </w:rPr>
              <w:t xml:space="preserve"> </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次</w:t>
            </w:r>
            <w:r>
              <w:rPr>
                <w:rFonts w:ascii="方正书宋_GBK" w:eastAsia="方正书宋_GBK"/>
              </w:rPr>
              <w:t xml:space="preserve"> </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检查服务率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 xml:space="preserve">60% </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三项证件的发放合格率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弱势群体、民族宗教、优抚对象综合事务及社区建设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居民最低生活保障及城镇居民各项救助初审，发放残疾人两项补贴，落实为老服务和高龄老年人津贴发放工作。落实优抚对象、残疾人的各项优惠政策，为优抚对象提供服务。少数民族和信教群体统计及宣传民族政策。</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确保困难居民得到救助；以社区为依托为辖区内老年人搞好服务；按时足额发放优抚金、药费补贴、义务兵款和一次性安置费等各项优抚款项；为残疾人搞好服务；维护民族团结。</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入户调查率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社区事务管理与服务</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914.22</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开展社区日常工作，完成上级及街道交办各项任务，为居民提供服务</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确保社区各项工作正常运转，满足社区需要，改善居民生活环境及生活质量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交办事项完成率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城市管理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承担组织、协调辖区的城市规划、建设和管理工作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宣传方针政策，提高居民环境保护意识；维护好辖区内公益设施；强化动物免疫；做好防汛；做好临时性重大活动的迎创工作。</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国家级文明城市及其他重大活动的迎创工作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以小区环境卫生治理为重点，创造优美、整洁的人居环境。做好创建国家级文明城市的相关工作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小区路面整洁，垃圾箱、果皮箱齐全完好；楼道整洁，小区无暴露垃圾、废墟；小区无违章建筑、乱栽种、乱养家禽；小区出入口管理有序、无商贩；绿化完好，无损坏，完好率</w:t>
            </w:r>
            <w:r>
              <w:rPr>
                <w:rFonts w:ascii="方正书宋_GBK" w:eastAsia="方正书宋_GBK"/>
              </w:rPr>
              <w:t>90%</w:t>
            </w:r>
            <w:r>
              <w:rPr>
                <w:rFonts w:hint="eastAsia"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完善各类档案</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资料完善档案齐全</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有资料档案但不完善规范</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无档案资料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营造迎创氛围</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有专门宣传台、社区横幅不少于</w:t>
            </w:r>
            <w:r>
              <w:rPr>
                <w:rFonts w:ascii="方正书宋_GBK" w:eastAsia="方正书宋_GBK"/>
              </w:rPr>
              <w:t>3</w:t>
            </w:r>
            <w:r>
              <w:rPr>
                <w:rFonts w:hint="eastAsia" w:ascii="方正书宋_GBK" w:eastAsia="方正书宋_GBK"/>
              </w:rPr>
              <w:t>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有专门宣传台、社区横幅不少于</w:t>
            </w:r>
            <w:r>
              <w:rPr>
                <w:rFonts w:ascii="方正书宋_GBK" w:eastAsia="方正书宋_GBK"/>
              </w:rPr>
              <w:t>2</w:t>
            </w:r>
            <w:r>
              <w:rPr>
                <w:rFonts w:hint="eastAsia" w:ascii="方正书宋_GBK" w:eastAsia="方正书宋_GBK"/>
              </w:rPr>
              <w:t>条</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有专门宣传台、社区横幅不少于</w:t>
            </w:r>
            <w:r>
              <w:rPr>
                <w:rFonts w:ascii="方正书宋_GBK" w:eastAsia="方正书宋_GBK"/>
              </w:rPr>
              <w:t>1</w:t>
            </w:r>
            <w:r>
              <w:rPr>
                <w:rFonts w:hint="eastAsia" w:ascii="方正书宋_GBK" w:eastAsia="方正书宋_GBK"/>
              </w:rPr>
              <w:t>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无专门宣传台、社区无宣传横幅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环境卫生整洁，达到国家级卫生城市评审标准。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达到标准</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没有达标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防汛工作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对小区防汛设施进行检查，发现问题及时向区防汛指挥部报告；落实防汛抢险队伍组建和物资储备。</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做好防汛工作，保证辖区安全度过汛期</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抢险队伍物资储备齐全</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落实人员队伍和抢险物资储备</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未落实人员队伍和抢险物资储备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值班备勤制度</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有值班备勤制度</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无值班备勤制度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辖区安全度过汛期</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安全度过</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没有安全度过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劳动保障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145.71</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劳动保障宣传和咨询；就业再就业及创业扶持；办理社会保险及企业退休人员社会化管理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优惠政策宣传到位；促进失业人员再就业；各项优惠政策落实到位；扩大办理城镇居民养老保险、居民医疗保险覆盖范围提高参保率；掌握企业退休人员的情况</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劳动就业社会保障服务工作</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145.71</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开展劳动保障政策的宣传和咨询。开具城镇失业人员等证明；发布用工信息、开展创业培训；办理求职登记；为</w:t>
            </w:r>
            <w:r>
              <w:rPr>
                <w:rFonts w:hint="cs" w:ascii="方正书宋_GBK" w:eastAsia="方正书宋_GBK"/>
              </w:rPr>
              <w:t>“</w:t>
            </w:r>
            <w:r>
              <w:rPr>
                <w:rFonts w:ascii="方正书宋_GBK" w:eastAsia="方正书宋_GBK"/>
              </w:rPr>
              <w:t>4050”</w:t>
            </w:r>
            <w:r>
              <w:rPr>
                <w:rFonts w:hint="eastAsia" w:ascii="方正书宋_GBK" w:eastAsia="方正书宋_GBK"/>
              </w:rPr>
              <w:t>办理社保补贴；小额担保贷款初审。办理城镇居民养老保险、居民医疗保险；企业退休人员社会化管理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优惠政策宣传到位；促进失业人员再就业；各项优惠政策落实到位；扩大办理城镇居民养老保险、居民医疗保险覆盖范围提高参保率；掌握企业退休人员的情况</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劳动保障法律法规和政策咨询居民满意度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bl>
    <w:p>
      <w:pPr>
        <w:spacing w:line="300" w:lineRule="exact"/>
        <w:outlineLvl w:val="0"/>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outlineLvl w:val="0"/>
        <w:rPr>
          <w:rFonts w:hint="eastAsia" w:ascii="方正小标宋_GBK" w:eastAsia="方正小标宋_GBK"/>
          <w:sz w:val="32"/>
        </w:rPr>
      </w:pPr>
      <w:bookmarkStart w:id="7" w:name="_Toc475519778"/>
      <w:r>
        <w:rPr>
          <w:rFonts w:hint="eastAsia" w:ascii="方正小标宋_GBK" w:eastAsia="方正小标宋_GBK"/>
          <w:sz w:val="32"/>
        </w:rPr>
        <w:t>部门政府采购预算</w:t>
      </w:r>
      <w:bookmarkEnd w:id="7"/>
    </w:p>
    <w:tbl>
      <w:tblPr>
        <w:tblStyle w:val="13"/>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6"/>
        <w:gridCol w:w="1069"/>
        <w:gridCol w:w="872"/>
        <w:gridCol w:w="1793"/>
        <w:gridCol w:w="872"/>
        <w:gridCol w:w="872"/>
        <w:gridCol w:w="978"/>
        <w:gridCol w:w="1025"/>
        <w:gridCol w:w="1025"/>
        <w:gridCol w:w="1025"/>
        <w:gridCol w:w="788"/>
        <w:gridCol w:w="872"/>
        <w:gridCol w:w="873"/>
        <w:gridCol w:w="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0" w:type="pct"/>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418</w:t>
            </w:r>
            <w:r>
              <w:rPr>
                <w:rFonts w:hint="eastAsia" w:ascii="方正小标宋_GBK" w:eastAsia="方正小标宋_GBK"/>
                <w:sz w:val="24"/>
              </w:rPr>
              <w:t>胥各庄街道办事处</w:t>
            </w:r>
          </w:p>
        </w:tc>
        <w:tc>
          <w:tcPr>
            <w:tcW w:w="2180" w:type="pct"/>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4"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1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4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31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31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21"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180" w:type="pct"/>
            <w:gridSpan w:val="7"/>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14" w:type="pct"/>
            <w:vMerge w:val="continue"/>
            <w:shd w:val="clear" w:color="auto" w:fill="auto"/>
            <w:noWrap w:val="0"/>
            <w:vAlign w:val="center"/>
          </w:tcPr>
          <w:p>
            <w:pPr>
              <w:spacing w:line="300" w:lineRule="exact"/>
              <w:jc w:val="left"/>
              <w:outlineLvl w:val="0"/>
            </w:pPr>
          </w:p>
        </w:tc>
        <w:tc>
          <w:tcPr>
            <w:tcW w:w="343" w:type="pct"/>
            <w:vMerge w:val="continue"/>
            <w:shd w:val="clear" w:color="auto" w:fill="auto"/>
            <w:noWrap w:val="0"/>
            <w:vAlign w:val="center"/>
          </w:tcPr>
          <w:p>
            <w:pPr>
              <w:spacing w:line="300" w:lineRule="exact"/>
              <w:jc w:val="left"/>
              <w:outlineLvl w:val="0"/>
            </w:pPr>
          </w:p>
        </w:tc>
        <w:tc>
          <w:tcPr>
            <w:tcW w:w="314" w:type="pct"/>
            <w:vMerge w:val="continue"/>
            <w:shd w:val="clear" w:color="auto" w:fill="auto"/>
            <w:noWrap w:val="0"/>
            <w:vAlign w:val="center"/>
          </w:tcPr>
          <w:p>
            <w:pPr>
              <w:spacing w:line="300" w:lineRule="exact"/>
              <w:jc w:val="left"/>
              <w:outlineLvl w:val="0"/>
            </w:pPr>
          </w:p>
        </w:tc>
        <w:tc>
          <w:tcPr>
            <w:tcW w:w="314" w:type="pct"/>
            <w:vMerge w:val="continue"/>
            <w:shd w:val="clear" w:color="auto" w:fill="auto"/>
            <w:noWrap w:val="0"/>
            <w:vAlign w:val="center"/>
          </w:tcPr>
          <w:p>
            <w:pPr>
              <w:spacing w:line="300" w:lineRule="exact"/>
              <w:jc w:val="left"/>
              <w:outlineLvl w:val="0"/>
            </w:pPr>
          </w:p>
        </w:tc>
        <w:tc>
          <w:tcPr>
            <w:tcW w:w="321" w:type="pct"/>
            <w:vMerge w:val="continue"/>
            <w:shd w:val="clear" w:color="auto" w:fill="auto"/>
            <w:noWrap w:val="0"/>
            <w:vAlign w:val="center"/>
          </w:tcPr>
          <w:p>
            <w:pPr>
              <w:spacing w:line="300" w:lineRule="exact"/>
              <w:jc w:val="left"/>
              <w:outlineLvl w:val="0"/>
            </w:pPr>
          </w:p>
        </w:tc>
        <w:tc>
          <w:tcPr>
            <w:tcW w:w="314"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569" w:type="pct"/>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297"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continue"/>
            <w:shd w:val="clear" w:color="auto" w:fill="auto"/>
            <w:noWrap w:val="0"/>
            <w:vAlign w:val="center"/>
          </w:tcPr>
          <w:p>
            <w:pPr>
              <w:spacing w:line="300" w:lineRule="exact"/>
              <w:jc w:val="left"/>
              <w:outlineLvl w:val="0"/>
            </w:pPr>
          </w:p>
        </w:tc>
        <w:tc>
          <w:tcPr>
            <w:tcW w:w="377" w:type="pct"/>
            <w:vMerge w:val="continue"/>
            <w:shd w:val="clear" w:color="auto" w:fill="auto"/>
            <w:noWrap w:val="0"/>
            <w:vAlign w:val="center"/>
          </w:tcPr>
          <w:p>
            <w:pPr>
              <w:spacing w:line="300" w:lineRule="exact"/>
              <w:jc w:val="left"/>
              <w:outlineLvl w:val="0"/>
            </w:pPr>
          </w:p>
        </w:tc>
        <w:tc>
          <w:tcPr>
            <w:tcW w:w="314" w:type="pct"/>
            <w:vMerge w:val="continue"/>
            <w:shd w:val="clear" w:color="auto" w:fill="auto"/>
            <w:noWrap w:val="0"/>
            <w:vAlign w:val="center"/>
          </w:tcPr>
          <w:p>
            <w:pPr>
              <w:spacing w:line="300" w:lineRule="exact"/>
              <w:jc w:val="left"/>
              <w:outlineLvl w:val="0"/>
            </w:pPr>
          </w:p>
        </w:tc>
        <w:tc>
          <w:tcPr>
            <w:tcW w:w="343" w:type="pct"/>
            <w:vMerge w:val="continue"/>
            <w:shd w:val="clear" w:color="auto" w:fill="auto"/>
            <w:noWrap w:val="0"/>
            <w:vAlign w:val="center"/>
          </w:tcPr>
          <w:p>
            <w:pPr>
              <w:spacing w:line="300" w:lineRule="exact"/>
              <w:jc w:val="left"/>
              <w:outlineLvl w:val="0"/>
            </w:pPr>
          </w:p>
        </w:tc>
        <w:tc>
          <w:tcPr>
            <w:tcW w:w="314" w:type="pct"/>
            <w:vMerge w:val="continue"/>
            <w:shd w:val="clear" w:color="auto" w:fill="auto"/>
            <w:noWrap w:val="0"/>
            <w:vAlign w:val="center"/>
          </w:tcPr>
          <w:p>
            <w:pPr>
              <w:spacing w:line="300" w:lineRule="exact"/>
              <w:jc w:val="left"/>
              <w:outlineLvl w:val="0"/>
            </w:pPr>
          </w:p>
        </w:tc>
        <w:tc>
          <w:tcPr>
            <w:tcW w:w="314" w:type="pct"/>
            <w:vMerge w:val="continue"/>
            <w:shd w:val="clear" w:color="auto" w:fill="auto"/>
            <w:noWrap w:val="0"/>
            <w:vAlign w:val="center"/>
          </w:tcPr>
          <w:p>
            <w:pPr>
              <w:spacing w:line="300" w:lineRule="exact"/>
              <w:jc w:val="left"/>
              <w:outlineLvl w:val="0"/>
            </w:pPr>
          </w:p>
        </w:tc>
        <w:tc>
          <w:tcPr>
            <w:tcW w:w="321" w:type="pct"/>
            <w:vMerge w:val="continue"/>
            <w:shd w:val="clear" w:color="auto" w:fill="auto"/>
            <w:noWrap w:val="0"/>
            <w:vAlign w:val="center"/>
          </w:tcPr>
          <w:p>
            <w:pPr>
              <w:spacing w:line="300" w:lineRule="exact"/>
              <w:jc w:val="left"/>
              <w:outlineLvl w:val="0"/>
            </w:pPr>
          </w:p>
        </w:tc>
        <w:tc>
          <w:tcPr>
            <w:tcW w:w="314" w:type="pct"/>
            <w:vMerge w:val="continue"/>
            <w:shd w:val="clear" w:color="auto" w:fill="auto"/>
            <w:noWrap w:val="0"/>
            <w:vAlign w:val="center"/>
          </w:tcPr>
          <w:p>
            <w:pPr>
              <w:spacing w:line="300" w:lineRule="exact"/>
              <w:jc w:val="left"/>
              <w:outlineLvl w:val="0"/>
            </w:pPr>
          </w:p>
        </w:tc>
        <w:tc>
          <w:tcPr>
            <w:tcW w:w="31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1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1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1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1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297" w:type="pct"/>
            <w:vMerge w:val="continue"/>
            <w:shd w:val="clear" w:color="auto" w:fill="auto"/>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胥各庄街道办事处小计</w:t>
            </w:r>
          </w:p>
        </w:tc>
        <w:tc>
          <w:tcPr>
            <w:tcW w:w="377" w:type="pct"/>
            <w:shd w:val="clear" w:color="auto" w:fill="auto"/>
            <w:noWrap w:val="0"/>
            <w:vAlign w:val="center"/>
          </w:tcPr>
          <w:p>
            <w:pPr>
              <w:spacing w:line="300" w:lineRule="exact"/>
              <w:jc w:val="right"/>
              <w:rPr>
                <w:rFonts w:ascii="方正书宋_GBK" w:eastAsia="方正书宋_GBK"/>
                <w:b/>
              </w:rPr>
            </w:pPr>
          </w:p>
        </w:tc>
        <w:tc>
          <w:tcPr>
            <w:tcW w:w="314" w:type="pct"/>
            <w:shd w:val="clear" w:color="auto" w:fill="auto"/>
            <w:noWrap w:val="0"/>
            <w:vAlign w:val="center"/>
          </w:tcPr>
          <w:p>
            <w:pPr>
              <w:spacing w:line="300" w:lineRule="exact"/>
              <w:jc w:val="left"/>
              <w:rPr>
                <w:rFonts w:ascii="方正书宋_GBK" w:eastAsia="方正书宋_GBK"/>
                <w:b/>
              </w:rPr>
            </w:pPr>
          </w:p>
        </w:tc>
        <w:tc>
          <w:tcPr>
            <w:tcW w:w="343" w:type="pct"/>
            <w:shd w:val="clear" w:color="auto" w:fill="auto"/>
            <w:noWrap w:val="0"/>
            <w:vAlign w:val="center"/>
          </w:tcPr>
          <w:p>
            <w:pPr>
              <w:spacing w:line="300" w:lineRule="exact"/>
              <w:jc w:val="left"/>
              <w:rPr>
                <w:rFonts w:ascii="方正书宋_GBK" w:eastAsia="方正书宋_GBK"/>
                <w:b/>
              </w:rPr>
            </w:pPr>
          </w:p>
        </w:tc>
        <w:tc>
          <w:tcPr>
            <w:tcW w:w="314" w:type="pct"/>
            <w:shd w:val="clear" w:color="auto" w:fill="auto"/>
            <w:noWrap w:val="0"/>
            <w:vAlign w:val="center"/>
          </w:tcPr>
          <w:p>
            <w:pPr>
              <w:spacing w:line="300" w:lineRule="exact"/>
              <w:jc w:val="left"/>
              <w:rPr>
                <w:rFonts w:ascii="方正书宋_GBK" w:eastAsia="方正书宋_GBK"/>
                <w:b/>
              </w:rPr>
            </w:pPr>
          </w:p>
        </w:tc>
        <w:tc>
          <w:tcPr>
            <w:tcW w:w="314" w:type="pct"/>
            <w:shd w:val="clear" w:color="auto" w:fill="auto"/>
            <w:noWrap w:val="0"/>
            <w:vAlign w:val="center"/>
          </w:tcPr>
          <w:p>
            <w:pPr>
              <w:spacing w:line="300" w:lineRule="exact"/>
              <w:jc w:val="right"/>
              <w:rPr>
                <w:rFonts w:ascii="方正书宋_GBK" w:eastAsia="方正书宋_GBK"/>
                <w:b/>
              </w:rPr>
            </w:pPr>
          </w:p>
        </w:tc>
        <w:tc>
          <w:tcPr>
            <w:tcW w:w="321" w:type="pct"/>
            <w:shd w:val="clear" w:color="auto" w:fill="auto"/>
            <w:noWrap w:val="0"/>
            <w:vAlign w:val="center"/>
          </w:tcPr>
          <w:p>
            <w:pPr>
              <w:spacing w:line="300" w:lineRule="exact"/>
              <w:jc w:val="right"/>
              <w:rPr>
                <w:rFonts w:ascii="方正书宋_GBK" w:eastAsia="方正书宋_GBK"/>
                <w:b/>
              </w:rPr>
            </w:pPr>
          </w:p>
        </w:tc>
        <w:tc>
          <w:tcPr>
            <w:tcW w:w="314"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222.07</w:t>
            </w:r>
          </w:p>
        </w:tc>
        <w:tc>
          <w:tcPr>
            <w:tcW w:w="314"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222.07</w:t>
            </w:r>
          </w:p>
        </w:tc>
        <w:tc>
          <w:tcPr>
            <w:tcW w:w="314" w:type="pct"/>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222.07</w:t>
            </w:r>
          </w:p>
        </w:tc>
        <w:tc>
          <w:tcPr>
            <w:tcW w:w="314" w:type="pct"/>
            <w:shd w:val="clear" w:color="auto" w:fill="auto"/>
            <w:noWrap w:val="0"/>
            <w:vAlign w:val="center"/>
          </w:tcPr>
          <w:p>
            <w:pPr>
              <w:spacing w:line="300" w:lineRule="exact"/>
              <w:jc w:val="right"/>
              <w:rPr>
                <w:rFonts w:ascii="方正书宋_GBK" w:eastAsia="方正书宋_GBK"/>
                <w:b/>
              </w:rPr>
            </w:pPr>
          </w:p>
        </w:tc>
        <w:tc>
          <w:tcPr>
            <w:tcW w:w="314" w:type="pct"/>
            <w:shd w:val="clear" w:color="auto" w:fill="auto"/>
            <w:noWrap w:val="0"/>
            <w:vAlign w:val="center"/>
          </w:tcPr>
          <w:p>
            <w:pPr>
              <w:spacing w:line="300" w:lineRule="exact"/>
              <w:jc w:val="right"/>
              <w:rPr>
                <w:rFonts w:ascii="方正书宋_GBK" w:eastAsia="方正书宋_GBK"/>
                <w:b/>
              </w:rPr>
            </w:pPr>
          </w:p>
        </w:tc>
        <w:tc>
          <w:tcPr>
            <w:tcW w:w="314" w:type="pct"/>
            <w:shd w:val="clear" w:color="auto" w:fill="auto"/>
            <w:noWrap w:val="0"/>
            <w:vAlign w:val="center"/>
          </w:tcPr>
          <w:p>
            <w:pPr>
              <w:spacing w:line="300" w:lineRule="exact"/>
              <w:jc w:val="right"/>
              <w:rPr>
                <w:rFonts w:ascii="方正书宋_GBK" w:eastAsia="方正书宋_GBK"/>
                <w:b/>
              </w:rPr>
            </w:pPr>
          </w:p>
        </w:tc>
        <w:tc>
          <w:tcPr>
            <w:tcW w:w="297" w:type="pct"/>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社区信息化建设经费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54.00</w:t>
            </w:r>
          </w:p>
        </w:tc>
        <w:tc>
          <w:tcPr>
            <w:tcW w:w="31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A0201</w:t>
            </w:r>
          </w:p>
        </w:tc>
        <w:tc>
          <w:tcPr>
            <w:tcW w:w="31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批</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装修工程</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B07</w:t>
            </w:r>
          </w:p>
        </w:tc>
        <w:tc>
          <w:tcPr>
            <w:tcW w:w="314" w:type="pct"/>
            <w:shd w:val="clear" w:color="auto" w:fill="auto"/>
            <w:noWrap w:val="0"/>
            <w:vAlign w:val="center"/>
          </w:tcPr>
          <w:p>
            <w:pPr>
              <w:spacing w:line="300" w:lineRule="exact"/>
              <w:jc w:val="left"/>
              <w:rPr>
                <w:rFonts w:hint="eastAsia"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126.07</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126.07</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126.07</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126.07</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图书</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A0501</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批</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0.91</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0.91</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0.91</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0.91</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体育设备</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A0336</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0.08</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0.48</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0.48</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0.48</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体育设备</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A0336</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张</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A06</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批</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15.61</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15.61</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15.61</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15.61</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音频设备</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A020912</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A020204</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32</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11.20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11.20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11.20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普通电视设备</w:t>
            </w:r>
            <w:r>
              <w:rPr>
                <w:rFonts w:ascii="方正书宋_GBK" w:eastAsia="方正书宋_GBK"/>
              </w:rPr>
              <w:t>(</w:t>
            </w:r>
            <w:r>
              <w:rPr>
                <w:rFonts w:hint="eastAsia" w:ascii="方正书宋_GBK" w:eastAsia="方正书宋_GBK"/>
              </w:rPr>
              <w:t>电视机</w:t>
            </w:r>
            <w:r>
              <w:rPr>
                <w:rFonts w:ascii="方正书宋_GBK" w:eastAsia="方正书宋_GBK"/>
              </w:rPr>
              <w:t>)</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A02091001</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LED</w:t>
            </w:r>
            <w:r>
              <w:rPr>
                <w:rFonts w:hint="eastAsia" w:ascii="方正书宋_GBK" w:eastAsia="方正书宋_GBK"/>
              </w:rPr>
              <w:t>显示屏</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批</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照相机及器材</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A020205</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15</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0.55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4.40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4.40</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4.40</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新建社区办公场所装修和办公设施经费</w:t>
            </w:r>
          </w:p>
        </w:tc>
        <w:tc>
          <w:tcPr>
            <w:tcW w:w="377"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172.07</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视频设备</w:t>
            </w:r>
          </w:p>
        </w:tc>
        <w:tc>
          <w:tcPr>
            <w:tcW w:w="343"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A020911</w:t>
            </w:r>
          </w:p>
        </w:tc>
        <w:tc>
          <w:tcPr>
            <w:tcW w:w="31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批</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2.25</w:t>
            </w:r>
          </w:p>
        </w:tc>
        <w:tc>
          <w:tcPr>
            <w:tcW w:w="314"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2.25</w:t>
            </w: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314" w:type="pct"/>
            <w:shd w:val="clear" w:color="auto" w:fill="auto"/>
            <w:noWrap w:val="0"/>
            <w:vAlign w:val="center"/>
          </w:tcPr>
          <w:p>
            <w:pPr>
              <w:spacing w:line="300" w:lineRule="exact"/>
              <w:jc w:val="right"/>
              <w:rPr>
                <w:rFonts w:ascii="方正书宋_GBK" w:eastAsia="方正书宋_GBK"/>
              </w:rPr>
            </w:pPr>
          </w:p>
        </w:tc>
        <w:tc>
          <w:tcPr>
            <w:tcW w:w="297" w:type="pct"/>
            <w:shd w:val="clear" w:color="auto" w:fill="auto"/>
            <w:noWrap w:val="0"/>
            <w:vAlign w:val="center"/>
          </w:tcPr>
          <w:p>
            <w:pPr>
              <w:spacing w:line="300" w:lineRule="exact"/>
              <w:jc w:val="right"/>
              <w:rPr>
                <w:rFonts w:ascii="方正书宋_GBK" w:eastAsia="方正书宋_GBK"/>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2"/>
      </w:pPr>
      <w:bookmarkStart w:id="8" w:name="_Toc_3_3_0000000018"/>
      <w:r>
        <w:rPr>
          <w:rFonts w:ascii="黑体" w:hAnsi="黑体" w:eastAsia="黑体" w:cs="黑体"/>
          <w:color w:val="000000"/>
          <w:sz w:val="32"/>
        </w:rPr>
        <w:t>七、国有资产信息</w:t>
      </w:r>
      <w:bookmarkEnd w:id="8"/>
    </w:p>
    <w:p>
      <w:pPr>
        <w:spacing w:line="500" w:lineRule="exact"/>
        <w:ind w:firstLine="560"/>
      </w:pPr>
      <w:r>
        <w:rPr>
          <w:rFonts w:eastAsia="方正仿宋_GBK"/>
          <w:color w:val="000000"/>
          <w:sz w:val="28"/>
        </w:rPr>
        <w:t>唐山市丰南区</w:t>
      </w:r>
      <w:r>
        <w:rPr>
          <w:rFonts w:hint="eastAsia" w:eastAsia="方正仿宋_GBK"/>
          <w:color w:val="000000"/>
          <w:sz w:val="28"/>
          <w:lang w:eastAsia="zh-CN"/>
        </w:rPr>
        <w:t>胥各庄街道办事处</w:t>
      </w:r>
      <w:r>
        <w:rPr>
          <w:rFonts w:eastAsia="方正仿宋_GBK"/>
          <w:color w:val="000000"/>
          <w:sz w:val="28"/>
        </w:rPr>
        <w:t>（含所属单位）上年末固定资产金额为124.78万元（详见下表）。本年度拟购置固定资产总额为</w:t>
      </w:r>
      <w:r>
        <w:rPr>
          <w:rFonts w:hint="eastAsia" w:eastAsia="方正仿宋_GBK"/>
          <w:color w:val="000000"/>
          <w:sz w:val="28"/>
        </w:rPr>
        <w:t>222.07</w:t>
      </w:r>
      <w:bookmarkStart w:id="11" w:name="_GoBack"/>
      <w:bookmarkEnd w:id="11"/>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0"/>
              <w:rPr>
                <w:lang w:eastAsia="zh-CN"/>
              </w:rPr>
            </w:pPr>
            <w:r>
              <w:rPr>
                <w:rFonts w:hint="eastAsia"/>
                <w:lang w:val="en-US" w:eastAsia="zh-CN"/>
              </w:rPr>
              <w:t>418</w:t>
            </w:r>
            <w:r>
              <w:t>唐山市丰南区</w:t>
            </w:r>
            <w:r>
              <w:rPr>
                <w:rFonts w:hint="eastAsia"/>
                <w:lang w:eastAsia="zh-CN"/>
              </w:rPr>
              <w:t>胥各庄街道办事处</w:t>
            </w:r>
          </w:p>
        </w:tc>
        <w:tc>
          <w:tcPr>
            <w:tcW w:w="5669" w:type="dxa"/>
            <w:gridSpan w:val="2"/>
            <w:tcBorders>
              <w:top w:val="single" w:color="FFFFFF" w:sz="6" w:space="0"/>
              <w:left w:val="single" w:color="FFFFFF" w:sz="6" w:space="0"/>
              <w:right w:val="single" w:color="FFFFFF" w:sz="6" w:space="0"/>
            </w:tcBorders>
            <w:vAlign w:val="center"/>
          </w:tcPr>
          <w:p>
            <w:pPr>
              <w:pStyle w:val="18"/>
            </w:pPr>
            <w:r>
              <w:t>截止时间：</w:t>
            </w:r>
            <w:r>
              <w:rPr>
                <w:rFonts w:hint="eastAsia"/>
                <w:lang w:eastAsia="zh-CN"/>
              </w:rPr>
              <w:t>2017</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1"/>
            </w:pPr>
            <w:r>
              <w:t>项   目</w:t>
            </w:r>
          </w:p>
        </w:tc>
        <w:tc>
          <w:tcPr>
            <w:tcW w:w="2835" w:type="dxa"/>
            <w:vAlign w:val="center"/>
          </w:tcPr>
          <w:p>
            <w:pPr>
              <w:pStyle w:val="21"/>
            </w:pPr>
            <w:r>
              <w:t>数量</w:t>
            </w:r>
          </w:p>
        </w:tc>
        <w:tc>
          <w:tcPr>
            <w:tcW w:w="2835" w:type="dxa"/>
            <w:vAlign w:val="center"/>
          </w:tcPr>
          <w:p>
            <w:pPr>
              <w:pStyle w:val="2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3"/>
            </w:pPr>
            <w:r>
              <w:t>资产总额</w:t>
            </w:r>
          </w:p>
        </w:tc>
        <w:tc>
          <w:tcPr>
            <w:tcW w:w="2835" w:type="dxa"/>
            <w:vAlign w:val="center"/>
          </w:tcPr>
          <w:p>
            <w:pPr>
              <w:pStyle w:val="24"/>
              <w:rPr>
                <w:rFonts w:hint="eastAsia" w:eastAsia="方正书宋_GBK"/>
                <w:lang w:val="en-US" w:eastAsia="zh-CN"/>
              </w:rPr>
            </w:pPr>
            <w:r>
              <w:rPr>
                <w:rFonts w:hint="eastAsia"/>
                <w:lang w:val="en-US" w:eastAsia="zh-CN"/>
              </w:rPr>
              <w:t>-</w:t>
            </w:r>
          </w:p>
        </w:tc>
        <w:tc>
          <w:tcPr>
            <w:tcW w:w="2835" w:type="dxa"/>
            <w:vAlign w:val="center"/>
          </w:tcPr>
          <w:p>
            <w:pPr>
              <w:pStyle w:val="22"/>
            </w:pPr>
            <w:r>
              <w:rPr>
                <w:rFonts w:hint="eastAsia"/>
              </w:rPr>
              <w:t>2703.50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3"/>
            </w:pPr>
            <w:r>
              <w:t>1、房屋（平方米）</w:t>
            </w:r>
          </w:p>
        </w:tc>
        <w:tc>
          <w:tcPr>
            <w:tcW w:w="2835" w:type="dxa"/>
            <w:vAlign w:val="center"/>
          </w:tcPr>
          <w:p>
            <w:pPr>
              <w:pStyle w:val="24"/>
            </w:pPr>
            <w:r>
              <w:rPr>
                <w:rFonts w:hint="eastAsia"/>
              </w:rPr>
              <w:t>8885</w:t>
            </w:r>
          </w:p>
        </w:tc>
        <w:tc>
          <w:tcPr>
            <w:tcW w:w="2835" w:type="dxa"/>
            <w:vAlign w:val="center"/>
          </w:tcPr>
          <w:p>
            <w:pPr>
              <w:pStyle w:val="22"/>
              <w:rPr>
                <w:rFonts w:hint="default" w:eastAsia="方正书宋_GBK"/>
                <w:lang w:val="en-US" w:eastAsia="zh-CN"/>
              </w:rPr>
            </w:pPr>
            <w:r>
              <w:rPr>
                <w:rFonts w:hint="eastAsia"/>
                <w:lang w:val="en-US" w:eastAsia="zh-CN"/>
              </w:rPr>
              <w:t>507.25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3"/>
            </w:pPr>
            <w:r>
              <w:t>　　其中：办公用房（平方米）</w:t>
            </w:r>
          </w:p>
        </w:tc>
        <w:tc>
          <w:tcPr>
            <w:tcW w:w="2835" w:type="dxa"/>
            <w:vAlign w:val="center"/>
          </w:tcPr>
          <w:p>
            <w:pPr>
              <w:pStyle w:val="24"/>
            </w:pPr>
            <w:r>
              <w:rPr>
                <w:rFonts w:hint="eastAsia"/>
              </w:rPr>
              <w:t>769.98</w:t>
            </w:r>
          </w:p>
        </w:tc>
        <w:tc>
          <w:tcPr>
            <w:tcW w:w="2835"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3"/>
            </w:pPr>
            <w:r>
              <w:t>2、车辆（台、辆）</w:t>
            </w:r>
          </w:p>
        </w:tc>
        <w:tc>
          <w:tcPr>
            <w:tcW w:w="2835" w:type="dxa"/>
            <w:vAlign w:val="center"/>
          </w:tcPr>
          <w:p>
            <w:pPr>
              <w:pStyle w:val="24"/>
            </w:pPr>
            <w:r>
              <w:t>3</w:t>
            </w:r>
          </w:p>
        </w:tc>
        <w:tc>
          <w:tcPr>
            <w:tcW w:w="2835" w:type="dxa"/>
            <w:vAlign w:val="center"/>
          </w:tcPr>
          <w:p>
            <w:pPr>
              <w:pStyle w:val="22"/>
              <w:rPr>
                <w:rFonts w:hint="default" w:eastAsia="方正书宋_GBK"/>
                <w:lang w:val="en-US" w:eastAsia="zh-CN"/>
              </w:rPr>
            </w:pPr>
            <w:r>
              <w:rPr>
                <w:rFonts w:hint="eastAsia"/>
                <w:lang w:val="en-US" w:eastAsia="zh-CN"/>
              </w:rP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3"/>
            </w:pPr>
            <w:r>
              <w:t>3、单价在20万元以上的设备</w:t>
            </w:r>
          </w:p>
        </w:tc>
        <w:tc>
          <w:tcPr>
            <w:tcW w:w="2835" w:type="dxa"/>
            <w:vAlign w:val="center"/>
          </w:tcPr>
          <w:p>
            <w:pPr>
              <w:pStyle w:val="24"/>
              <w:rPr>
                <w:rFonts w:hint="eastAsia" w:eastAsia="方正书宋_GBK"/>
                <w:lang w:val="en-US" w:eastAsia="zh-CN"/>
              </w:rPr>
            </w:pPr>
            <w:r>
              <w:rPr>
                <w:rFonts w:hint="eastAsia"/>
                <w:lang w:val="en-US" w:eastAsia="zh-CN"/>
              </w:rPr>
              <w:t>0</w:t>
            </w:r>
          </w:p>
        </w:tc>
        <w:tc>
          <w:tcPr>
            <w:tcW w:w="2835" w:type="dxa"/>
            <w:vAlign w:val="center"/>
          </w:tcPr>
          <w:p>
            <w:pPr>
              <w:pStyle w:val="2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3"/>
            </w:pPr>
            <w:r>
              <w:t>4、其他固定资产</w:t>
            </w:r>
          </w:p>
        </w:tc>
        <w:tc>
          <w:tcPr>
            <w:tcW w:w="2835" w:type="dxa"/>
            <w:vAlign w:val="center"/>
          </w:tcPr>
          <w:p>
            <w:pPr>
              <w:pStyle w:val="24"/>
              <w:rPr>
                <w:rFonts w:hint="eastAsia" w:eastAsia="方正书宋_GBK"/>
                <w:lang w:eastAsia="zh-CN"/>
              </w:rPr>
            </w:pPr>
            <w:r>
              <w:rPr>
                <w:rFonts w:hint="eastAsia"/>
                <w:lang w:val="en-US" w:eastAsia="zh-CN"/>
              </w:rPr>
              <w:t>-</w:t>
            </w:r>
          </w:p>
        </w:tc>
        <w:tc>
          <w:tcPr>
            <w:tcW w:w="2835" w:type="dxa"/>
            <w:vAlign w:val="center"/>
          </w:tcPr>
          <w:p>
            <w:pPr>
              <w:pStyle w:val="22"/>
              <w:rPr>
                <w:rFonts w:hint="eastAsia" w:eastAsia="方正书宋_GBK"/>
                <w:lang w:eastAsia="zh-CN"/>
              </w:rPr>
            </w:pPr>
            <w:r>
              <w:rPr>
                <w:rFonts w:hint="eastAsia"/>
              </w:rPr>
              <w:t>603.5</w:t>
            </w:r>
            <w:r>
              <w:rPr>
                <w:rFonts w:hint="eastAsia"/>
                <w:lang w:val="en-US" w:eastAsia="zh-CN"/>
              </w:rPr>
              <w:t>4</w:t>
            </w:r>
          </w:p>
        </w:tc>
      </w:tr>
    </w:tbl>
    <w:p>
      <w:pPr>
        <w:ind w:firstLine="640"/>
      </w:pPr>
      <w:r>
        <w:rPr>
          <w:rFonts w:eastAsia="方正仿宋_GBK"/>
          <w:color w:val="000000"/>
          <w:sz w:val="32"/>
        </w:rPr>
        <w:t xml:space="preserve"> </w:t>
      </w:r>
    </w:p>
    <w:p>
      <w:pPr>
        <w:spacing w:before="10" w:after="10"/>
        <w:ind w:firstLine="640"/>
        <w:outlineLvl w:val="2"/>
      </w:pPr>
      <w:bookmarkStart w:id="9" w:name="_Toc_3_3_0000000019"/>
      <w:r>
        <w:rPr>
          <w:rFonts w:ascii="黑体" w:hAnsi="黑体" w:eastAsia="黑体" w:cs="黑体"/>
          <w:color w:val="000000"/>
          <w:sz w:val="32"/>
        </w:rPr>
        <w:t>八、名词解释</w:t>
      </w:r>
      <w:bookmarkEnd w:id="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0" w:name="_Toc_3_3_0000000020"/>
      <w:r>
        <w:rPr>
          <w:rFonts w:ascii="黑体" w:hAnsi="黑体" w:eastAsia="黑体" w:cs="黑体"/>
          <w:color w:val="000000"/>
          <w:sz w:val="32"/>
        </w:rPr>
        <w:t>九、其他需要说明的事项</w:t>
      </w:r>
      <w:bookmarkEnd w:id="10"/>
    </w:p>
    <w:p>
      <w:pPr>
        <w:spacing w:line="500" w:lineRule="exact"/>
        <w:ind w:firstLine="560"/>
        <w:rPr>
          <w:rFonts w:eastAsiaTheme="minorEastAsia"/>
          <w:lang w:eastAsia="zh-CN"/>
        </w:rPr>
      </w:pPr>
      <w:r>
        <w:rPr>
          <w:rFonts w:hint="eastAsia" w:eastAsia="方正仿宋_GBK"/>
          <w:color w:val="000000"/>
          <w:sz w:val="28"/>
        </w:rPr>
        <w:t>由于</w:t>
      </w:r>
      <w:r>
        <w:rPr>
          <w:rFonts w:hint="eastAsia" w:eastAsia="方正仿宋_GBK"/>
          <w:color w:val="000000"/>
          <w:sz w:val="28"/>
          <w:lang w:val="en-US" w:eastAsia="zh-CN"/>
        </w:rPr>
        <w:t>预算</w:t>
      </w:r>
      <w:r>
        <w:rPr>
          <w:rFonts w:hint="eastAsia" w:eastAsia="方正仿宋_GBK"/>
          <w:color w:val="000000"/>
          <w:sz w:val="28"/>
        </w:rPr>
        <w:t>公开表格中金额数值应当保留两位小数，公开数据为四舍五入计算结果，个别数据合计项与分项之和存在小数点后差额，特此说明。</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2985F"/>
    <w:multiLevelType w:val="singleLevel"/>
    <w:tmpl w:val="F7A2985F"/>
    <w:lvl w:ilvl="0" w:tentative="0">
      <w:start w:val="5"/>
      <w:numFmt w:val="decimal"/>
      <w:suff w:val="nothing"/>
      <w:lvlText w:val="%1、"/>
      <w:lvlJc w:val="left"/>
    </w:lvl>
  </w:abstractNum>
  <w:abstractNum w:abstractNumId="1">
    <w:nsid w:val="19D9BE4C"/>
    <w:multiLevelType w:val="singleLevel"/>
    <w:tmpl w:val="19D9BE4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ZThlYmZlZDE1NGU3ODUxN2M1YTYzNjkyNjRlNTAifQ=="/>
  </w:docVars>
  <w:rsids>
    <w:rsidRoot w:val="006277C0"/>
    <w:rsid w:val="00074A21"/>
    <w:rsid w:val="00177DA3"/>
    <w:rsid w:val="001A5C8C"/>
    <w:rsid w:val="003B79D8"/>
    <w:rsid w:val="003D29B6"/>
    <w:rsid w:val="006277C0"/>
    <w:rsid w:val="006A4512"/>
    <w:rsid w:val="008B309E"/>
    <w:rsid w:val="00AE3414"/>
    <w:rsid w:val="00B479C0"/>
    <w:rsid w:val="00BC0652"/>
    <w:rsid w:val="00CC0711"/>
    <w:rsid w:val="00CD471C"/>
    <w:rsid w:val="00D25C90"/>
    <w:rsid w:val="00F76141"/>
    <w:rsid w:val="00FB57FD"/>
    <w:rsid w:val="037C7D65"/>
    <w:rsid w:val="05A83CE5"/>
    <w:rsid w:val="0FEA6F0A"/>
    <w:rsid w:val="18CE04CE"/>
    <w:rsid w:val="1F8076C3"/>
    <w:rsid w:val="212E0887"/>
    <w:rsid w:val="26F138EB"/>
    <w:rsid w:val="2E6E1CA0"/>
    <w:rsid w:val="35B30B92"/>
    <w:rsid w:val="3C3739C2"/>
    <w:rsid w:val="3F0C10F2"/>
    <w:rsid w:val="3FF83719"/>
    <w:rsid w:val="40C70BC3"/>
    <w:rsid w:val="472B420D"/>
    <w:rsid w:val="4B34391F"/>
    <w:rsid w:val="4BD16BA5"/>
    <w:rsid w:val="4EA308F0"/>
    <w:rsid w:val="513349DC"/>
    <w:rsid w:val="54DF68A5"/>
    <w:rsid w:val="5751442E"/>
    <w:rsid w:val="59F05346"/>
    <w:rsid w:val="5A732C32"/>
    <w:rsid w:val="5BE7274E"/>
    <w:rsid w:val="5D2E79F5"/>
    <w:rsid w:val="61FC5F83"/>
    <w:rsid w:val="65B25723"/>
    <w:rsid w:val="6A8E02A0"/>
    <w:rsid w:val="6D850EB6"/>
    <w:rsid w:val="6E7349C4"/>
    <w:rsid w:val="76A921ED"/>
    <w:rsid w:val="7C20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9"/>
    <w:autoRedefine/>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40"/>
    <w:autoRedefine/>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1"/>
    <w:autoRedefine/>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autoRedefine/>
    <w:qFormat/>
    <w:uiPriority w:val="0"/>
    <w:pPr>
      <w:ind w:left="480"/>
    </w:pPr>
  </w:style>
  <w:style w:type="paragraph" w:styleId="6">
    <w:name w:val="Plain Text"/>
    <w:basedOn w:val="1"/>
    <w:autoRedefine/>
    <w:qFormat/>
    <w:uiPriority w:val="0"/>
    <w:rPr>
      <w:rFonts w:ascii="宋体" w:hAnsi="Courier New" w:cs="Courier New"/>
      <w:szCs w:val="21"/>
    </w:rPr>
  </w:style>
  <w:style w:type="paragraph" w:styleId="7">
    <w:name w:val="Date"/>
    <w:basedOn w:val="1"/>
    <w:next w:val="1"/>
    <w:link w:val="44"/>
    <w:autoRedefine/>
    <w:qFormat/>
    <w:uiPriority w:val="0"/>
    <w:pPr>
      <w:widowControl w:val="0"/>
      <w:ind w:left="2500" w:leftChars="2500"/>
      <w:jc w:val="both"/>
    </w:pPr>
    <w:rPr>
      <w:rFonts w:eastAsia="宋体"/>
      <w:kern w:val="2"/>
      <w:sz w:val="21"/>
      <w:szCs w:val="20"/>
      <w:lang w:eastAsia="zh-CN"/>
    </w:rPr>
  </w:style>
  <w:style w:type="paragraph" w:styleId="8">
    <w:name w:val="footer"/>
    <w:basedOn w:val="1"/>
    <w:link w:val="37"/>
    <w:autoRedefine/>
    <w:unhideWhenUsed/>
    <w:qFormat/>
    <w:uiPriority w:val="0"/>
    <w:pPr>
      <w:tabs>
        <w:tab w:val="center" w:pos="4153"/>
        <w:tab w:val="right" w:pos="8306"/>
      </w:tabs>
      <w:snapToGrid w:val="0"/>
    </w:pPr>
    <w:rPr>
      <w:sz w:val="18"/>
      <w:szCs w:val="18"/>
    </w:rPr>
  </w:style>
  <w:style w:type="paragraph" w:styleId="9">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autoRedefine/>
    <w:qFormat/>
    <w:uiPriority w:val="0"/>
    <w:pPr>
      <w:spacing w:before="120"/>
      <w:ind w:firstLine="560"/>
    </w:pPr>
    <w:rPr>
      <w:rFonts w:eastAsia="方正仿宋_GBK"/>
      <w:color w:val="000000"/>
      <w:sz w:val="28"/>
    </w:rPr>
  </w:style>
  <w:style w:type="paragraph" w:styleId="11">
    <w:name w:val="footnote text"/>
    <w:basedOn w:val="1"/>
    <w:link w:val="45"/>
    <w:autoRedefine/>
    <w:qFormat/>
    <w:uiPriority w:val="0"/>
    <w:pPr>
      <w:widowControl w:val="0"/>
      <w:snapToGrid w:val="0"/>
    </w:pPr>
    <w:rPr>
      <w:rFonts w:eastAsia="宋体"/>
      <w:kern w:val="2"/>
      <w:sz w:val="18"/>
      <w:szCs w:val="18"/>
      <w:lang w:eastAsia="zh-CN"/>
    </w:rPr>
  </w:style>
  <w:style w:type="paragraph" w:styleId="12">
    <w:name w:val="toc 2"/>
    <w:basedOn w:val="1"/>
    <w:autoRedefine/>
    <w:qFormat/>
    <w:uiPriority w:val="0"/>
    <w:pPr>
      <w:ind w:left="240"/>
    </w:p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footnote reference"/>
    <w:basedOn w:val="15"/>
    <w:autoRedefine/>
    <w:qFormat/>
    <w:uiPriority w:val="0"/>
    <w:rPr>
      <w:vertAlign w:val="superscript"/>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20">
    <w:name w:val="单元格样式20"/>
    <w:basedOn w:val="1"/>
    <w:autoRedefine/>
    <w:qFormat/>
    <w:uiPriority w:val="0"/>
    <w:rPr>
      <w:rFonts w:ascii="方正小标宋_GBK" w:hAnsi="方正小标宋_GBK" w:eastAsia="方正小标宋_GBK" w:cs="方正小标宋_GBK"/>
    </w:rPr>
  </w:style>
  <w:style w:type="paragraph" w:customStyle="1" w:styleId="2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3">
    <w:name w:val="单元格样式2"/>
    <w:basedOn w:val="1"/>
    <w:autoRedefine/>
    <w:qFormat/>
    <w:uiPriority w:val="0"/>
    <w:rPr>
      <w:rFonts w:ascii="方正书宋_GBK" w:hAnsi="方正书宋_GBK" w:eastAsia="方正书宋_GBK" w:cs="方正书宋_GBK"/>
      <w:sz w:val="21"/>
    </w:rPr>
  </w:style>
  <w:style w:type="paragraph" w:customStyle="1" w:styleId="2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7">
    <w:name w:val="单元格样式5"/>
    <w:basedOn w:val="1"/>
    <w:autoRedefine/>
    <w:qFormat/>
    <w:uiPriority w:val="0"/>
    <w:rPr>
      <w:rFonts w:ascii="方正书宋_GBK" w:hAnsi="方正书宋_GBK" w:eastAsia="方正书宋_GBK" w:cs="方正书宋_GBK"/>
      <w:b/>
      <w:sz w:val="21"/>
    </w:rPr>
  </w:style>
  <w:style w:type="paragraph" w:customStyle="1" w:styleId="28">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2">
    <w:name w:val="插入文本样式-插入总体目标文件"/>
    <w:basedOn w:val="1"/>
    <w:autoRedefine/>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5">
    <w:name w:val="单元格样式23"/>
    <w:basedOn w:val="1"/>
    <w:autoRedefine/>
    <w:qFormat/>
    <w:uiPriority w:val="0"/>
    <w:pPr>
      <w:jc w:val="right"/>
    </w:pPr>
    <w:rPr>
      <w:rFonts w:ascii="方正书宋_GBK" w:hAnsi="方正书宋_GBK" w:eastAsia="方正书宋_GBK" w:cs="方正书宋_GBK"/>
    </w:rPr>
  </w:style>
  <w:style w:type="character" w:customStyle="1" w:styleId="36">
    <w:name w:val="页眉 Char"/>
    <w:basedOn w:val="15"/>
    <w:link w:val="9"/>
    <w:autoRedefine/>
    <w:qFormat/>
    <w:uiPriority w:val="99"/>
    <w:rPr>
      <w:rFonts w:eastAsia="Times New Roman"/>
      <w:sz w:val="18"/>
      <w:szCs w:val="18"/>
      <w:lang w:eastAsia="uk-UA"/>
    </w:rPr>
  </w:style>
  <w:style w:type="character" w:customStyle="1" w:styleId="37">
    <w:name w:val="页脚 Char"/>
    <w:basedOn w:val="15"/>
    <w:link w:val="8"/>
    <w:autoRedefine/>
    <w:qFormat/>
    <w:uiPriority w:val="99"/>
    <w:rPr>
      <w:rFonts w:eastAsia="Times New Roman"/>
      <w:sz w:val="18"/>
      <w:szCs w:val="18"/>
      <w:lang w:eastAsia="uk-UA"/>
    </w:rPr>
  </w:style>
  <w:style w:type="paragraph" w:customStyle="1" w:styleId="3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9">
    <w:name w:val="标题 1 Char"/>
    <w:basedOn w:val="15"/>
    <w:link w:val="2"/>
    <w:autoRedefine/>
    <w:qFormat/>
    <w:uiPriority w:val="0"/>
    <w:rPr>
      <w:rFonts w:eastAsia="宋体"/>
      <w:b/>
      <w:bCs/>
      <w:kern w:val="44"/>
      <w:sz w:val="44"/>
    </w:rPr>
  </w:style>
  <w:style w:type="character" w:customStyle="1" w:styleId="40">
    <w:name w:val="标题 2 Char"/>
    <w:basedOn w:val="15"/>
    <w:link w:val="3"/>
    <w:autoRedefine/>
    <w:qFormat/>
    <w:uiPriority w:val="0"/>
    <w:rPr>
      <w:rFonts w:ascii="Arial" w:hAnsi="Arial" w:eastAsia="黑体"/>
      <w:b/>
      <w:kern w:val="2"/>
      <w:sz w:val="32"/>
    </w:rPr>
  </w:style>
  <w:style w:type="character" w:customStyle="1" w:styleId="41">
    <w:name w:val="标题 3 Char"/>
    <w:basedOn w:val="15"/>
    <w:link w:val="4"/>
    <w:autoRedefine/>
    <w:qFormat/>
    <w:uiPriority w:val="0"/>
    <w:rPr>
      <w:rFonts w:eastAsia="宋体"/>
      <w:b/>
      <w:kern w:val="2"/>
      <w:sz w:val="32"/>
    </w:rPr>
  </w:style>
  <w:style w:type="character" w:customStyle="1" w:styleId="42">
    <w:name w:val="font21"/>
    <w:basedOn w:val="15"/>
    <w:autoRedefine/>
    <w:qFormat/>
    <w:uiPriority w:val="0"/>
    <w:rPr>
      <w:rFonts w:ascii="宋体" w:eastAsia="宋体" w:cs="宋体"/>
      <w:color w:val="000000"/>
      <w:sz w:val="20"/>
      <w:szCs w:val="20"/>
      <w:u w:val="none"/>
      <w:lang w:bidi="ar-SA"/>
    </w:rPr>
  </w:style>
  <w:style w:type="character" w:customStyle="1" w:styleId="43">
    <w:name w:val="font31"/>
    <w:basedOn w:val="15"/>
    <w:autoRedefine/>
    <w:qFormat/>
    <w:uiPriority w:val="0"/>
    <w:rPr>
      <w:rFonts w:ascii="宋体" w:eastAsia="宋体" w:cs="宋体"/>
      <w:color w:val="000000"/>
      <w:sz w:val="20"/>
      <w:szCs w:val="20"/>
      <w:u w:val="none"/>
      <w:lang w:bidi="ar-SA"/>
    </w:rPr>
  </w:style>
  <w:style w:type="character" w:customStyle="1" w:styleId="44">
    <w:name w:val="日期 Char"/>
    <w:basedOn w:val="15"/>
    <w:link w:val="7"/>
    <w:autoRedefine/>
    <w:qFormat/>
    <w:uiPriority w:val="0"/>
    <w:rPr>
      <w:rFonts w:eastAsia="宋体"/>
      <w:kern w:val="2"/>
      <w:sz w:val="21"/>
    </w:rPr>
  </w:style>
  <w:style w:type="character" w:customStyle="1" w:styleId="45">
    <w:name w:val="脚注文本 Char"/>
    <w:basedOn w:val="15"/>
    <w:link w:val="11"/>
    <w:autoRedefine/>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Props1.xml><?xml version="1.0" encoding="utf-8"?>
<ds:datastoreItem xmlns:ds="http://schemas.openxmlformats.org/officeDocument/2006/customXml" ds:itemID="{404EA866-08CA-4D86-B2E5-CCA192ED2CDC}">
  <ds:schemaRefs/>
</ds:datastoreItem>
</file>

<file path=customXml/itemProps10.xml><?xml version="1.0" encoding="utf-8"?>
<ds:datastoreItem xmlns:ds="http://schemas.openxmlformats.org/officeDocument/2006/customXml" ds:itemID="{7F00D4D5-0020-496D-B59A-407FFB73482C}">
  <ds:schemaRefs/>
</ds:datastoreItem>
</file>

<file path=customXml/itemProps11.xml><?xml version="1.0" encoding="utf-8"?>
<ds:datastoreItem xmlns:ds="http://schemas.openxmlformats.org/officeDocument/2006/customXml" ds:itemID="{78E5979C-97E7-47D5-AEA1-CDD50C40EA94}">
  <ds:schemaRefs/>
</ds:datastoreItem>
</file>

<file path=customXml/itemProps12.xml><?xml version="1.0" encoding="utf-8"?>
<ds:datastoreItem xmlns:ds="http://schemas.openxmlformats.org/officeDocument/2006/customXml" ds:itemID="{7DFE330B-1A60-4E85-8AB8-8E4F9E0355E8}">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590DCAF1-D4C8-4C79-9E84-3D6D21FCA2DF}">
  <ds:schemaRefs/>
</ds:datastoreItem>
</file>

<file path=customXml/itemProps15.xml><?xml version="1.0" encoding="utf-8"?>
<ds:datastoreItem xmlns:ds="http://schemas.openxmlformats.org/officeDocument/2006/customXml" ds:itemID="{9BA4627D-51E2-414D-BAD3-6FA7A394E770}">
  <ds:schemaRefs/>
</ds:datastoreItem>
</file>

<file path=customXml/itemProps16.xml><?xml version="1.0" encoding="utf-8"?>
<ds:datastoreItem xmlns:ds="http://schemas.openxmlformats.org/officeDocument/2006/customXml" ds:itemID="{F10AFA5F-8285-4C84-8AD7-40EEEDDA18D4}">
  <ds:schemaRefs/>
</ds:datastoreItem>
</file>

<file path=customXml/itemProps17.xml><?xml version="1.0" encoding="utf-8"?>
<ds:datastoreItem xmlns:ds="http://schemas.openxmlformats.org/officeDocument/2006/customXml" ds:itemID="{6AAC531E-5310-43E4-8F09-A6BF4FDB056F}">
  <ds:schemaRefs/>
</ds:datastoreItem>
</file>

<file path=customXml/itemProps18.xml><?xml version="1.0" encoding="utf-8"?>
<ds:datastoreItem xmlns:ds="http://schemas.openxmlformats.org/officeDocument/2006/customXml" ds:itemID="{C6EC87E6-5E97-42CF-B7A6-6227396A9F22}">
  <ds:schemaRefs/>
</ds:datastoreItem>
</file>

<file path=customXml/itemProps19.xml><?xml version="1.0" encoding="utf-8"?>
<ds:datastoreItem xmlns:ds="http://schemas.openxmlformats.org/officeDocument/2006/customXml" ds:itemID="{20FE05CD-3C79-4E7A-9AD2-5F5B52562D10}">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21089136-BA2F-4D54-89E4-0D9D0064AE77}">
  <ds:schemaRefs/>
</ds:datastoreItem>
</file>

<file path=customXml/itemProps21.xml><?xml version="1.0" encoding="utf-8"?>
<ds:datastoreItem xmlns:ds="http://schemas.openxmlformats.org/officeDocument/2006/customXml" ds:itemID="{BBE63375-195F-4526-8474-764936AD7129}">
  <ds:schemaRefs/>
</ds:datastoreItem>
</file>

<file path=customXml/itemProps22.xml><?xml version="1.0" encoding="utf-8"?>
<ds:datastoreItem xmlns:ds="http://schemas.openxmlformats.org/officeDocument/2006/customXml" ds:itemID="{8576DE6E-C1A6-442A-A85F-68C8D0DB18A9}">
  <ds:schemaRefs/>
</ds:datastoreItem>
</file>

<file path=customXml/itemProps3.xml><?xml version="1.0" encoding="utf-8"?>
<ds:datastoreItem xmlns:ds="http://schemas.openxmlformats.org/officeDocument/2006/customXml" ds:itemID="{D4774865-B743-4B10-8A81-6376B3C056D5}">
  <ds:schemaRefs/>
</ds:datastoreItem>
</file>

<file path=customXml/itemProps4.xml><?xml version="1.0" encoding="utf-8"?>
<ds:datastoreItem xmlns:ds="http://schemas.openxmlformats.org/officeDocument/2006/customXml" ds:itemID="{61205465-A135-41B9-9E3B-2CB107CB49D0}">
  <ds:schemaRefs/>
</ds:datastoreItem>
</file>

<file path=customXml/itemProps5.xml><?xml version="1.0" encoding="utf-8"?>
<ds:datastoreItem xmlns:ds="http://schemas.openxmlformats.org/officeDocument/2006/customXml" ds:itemID="{A71FD7F5-5F4B-4135-9681-FF39299F7340}">
  <ds:schemaRefs/>
</ds:datastoreItem>
</file>

<file path=customXml/itemProps6.xml><?xml version="1.0" encoding="utf-8"?>
<ds:datastoreItem xmlns:ds="http://schemas.openxmlformats.org/officeDocument/2006/customXml" ds:itemID="{F9FF386D-A4B0-47CD-B297-404825FA2112}">
  <ds:schemaRefs/>
</ds:datastoreItem>
</file>

<file path=customXml/itemProps7.xml><?xml version="1.0" encoding="utf-8"?>
<ds:datastoreItem xmlns:ds="http://schemas.openxmlformats.org/officeDocument/2006/customXml" ds:itemID="{A7A8A8C2-3ADD-439A-A4A3-9D4D936376F6}">
  <ds:schemaRefs/>
</ds:datastoreItem>
</file>

<file path=customXml/itemProps8.xml><?xml version="1.0" encoding="utf-8"?>
<ds:datastoreItem xmlns:ds="http://schemas.openxmlformats.org/officeDocument/2006/customXml" ds:itemID="{81DA4214-09F5-421A-A4A5-59DE7E3A667B}">
  <ds:schemaRefs/>
</ds:datastoreItem>
</file>

<file path=customXml/itemProps9.xml><?xml version="1.0" encoding="utf-8"?>
<ds:datastoreItem xmlns:ds="http://schemas.openxmlformats.org/officeDocument/2006/customXml" ds:itemID="{1D749E7D-BFD6-40F9-9DEC-CECC0DB514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873</Words>
  <Characters>4981</Characters>
  <Lines>41</Lines>
  <Paragraphs>11</Paragraphs>
  <TotalTime>0</TotalTime>
  <ScaleCrop>false</ScaleCrop>
  <LinksUpToDate>false</LinksUpToDate>
  <CharactersWithSpaces>5843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2024-11-19T07:09:36Z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BCDD9443FCD94EA9A3AE7702E4EB3DF7_12</vt:lpwstr>
  </property>
</Properties>
</file>