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bookmarkStart w:id="2" w:name="_GoBack"/>
      <w:bookmarkEnd w:id="2"/>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rPr>
          <w:rFonts w:hint="eastAsia" w:eastAsia="方正仿宋_GBK"/>
          <w:highlight w:val="yellow"/>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一、唐山市丰南区大新庄镇人民政府本级收支预算</w:t>
      </w:r>
      <w:r>
        <w:tab/>
      </w:r>
      <w:r>
        <w:fldChar w:fldCharType="end"/>
      </w:r>
      <w:r>
        <w:rPr>
          <w:rFonts w:hint="eastAsia"/>
          <w:highlight w:val="none"/>
          <w:lang w:val="en-US" w:eastAsia="zh-CN"/>
        </w:rPr>
        <w:t>3</w:t>
      </w:r>
    </w:p>
    <w:p>
      <w:pPr>
        <w:pStyle w:val="4"/>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rPr>
          <w:b w:val="0"/>
        </w:rPr>
        <w:t>二、唐山市丰南区公安局大新庄派出所收支预算</w:t>
      </w:r>
      <w:r>
        <w:tab/>
      </w:r>
      <w:r>
        <w:fldChar w:fldCharType="end"/>
      </w:r>
      <w:r>
        <w:rPr>
          <w:rFonts w:hint="eastAsia"/>
          <w:lang w:val="en-US" w:eastAsia="zh-CN"/>
        </w:rPr>
        <w:t>53</w:t>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一、唐山市丰南区大新庄镇人民政府本级收支预算</w:t>
      </w:r>
      <w:bookmarkEnd w:id="0"/>
    </w:p>
    <w:p/>
    <w:p>
      <w:pPr>
        <w:jc w:val="center"/>
        <w:outlineLvl w:val="4"/>
        <w:rPr>
          <w:rFonts w:hint="eastAsia" w:ascii="Times New Roman" w:hAnsi="宋体"/>
          <w:sz w:val="32"/>
        </w:rPr>
      </w:pPr>
      <w:r>
        <w:rPr>
          <w:rFonts w:hint="eastAsia" w:ascii="方正小标宋_GBK" w:eastAsia="方正小标宋_GBK"/>
          <w:sz w:val="32"/>
        </w:rPr>
        <w:t>收支预算总表</w:t>
      </w:r>
    </w:p>
    <w:tbl>
      <w:tblPr>
        <w:tblStyle w:val="7"/>
        <w:tblW w:w="88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551001唐山市丰南区大新庄镇人民政府本级</w:t>
            </w:r>
          </w:p>
        </w:tc>
        <w:tc>
          <w:tcPr>
            <w:tcW w:w="2874"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预算收支项目</w:t>
            </w:r>
          </w:p>
        </w:tc>
        <w:tc>
          <w:tcPr>
            <w:tcW w:w="2874" w:type="dxa"/>
            <w:noWrap w:val="0"/>
            <w:vAlign w:val="center"/>
          </w:tcPr>
          <w:p>
            <w:pPr>
              <w:spacing w:line="300" w:lineRule="exact"/>
              <w:jc w:val="center"/>
              <w:rPr>
                <w:rFonts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ascii="方正书宋_GBK" w:eastAsia="方正书宋_GBK"/>
                <w:b/>
              </w:rPr>
            </w:pPr>
            <w:r>
              <w:rPr>
                <w:rFonts w:hint="eastAsia" w:ascii="方正书宋_GBK" w:eastAsia="方正书宋_GBK"/>
                <w:b/>
              </w:rPr>
              <w:t>预算收入</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2998.43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本年收入</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2998.43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2998.43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2998.43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上年结转结余</w:t>
            </w:r>
          </w:p>
        </w:tc>
        <w:tc>
          <w:tcPr>
            <w:tcW w:w="28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一般公共预算</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政府性基金预算</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国有资本经营预算</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2998.43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本年收入安排</w:t>
            </w:r>
          </w:p>
        </w:tc>
        <w:tc>
          <w:tcPr>
            <w:tcW w:w="2874" w:type="dxa"/>
            <w:noWrap w:val="0"/>
            <w:vAlign w:val="center"/>
          </w:tcPr>
          <w:p>
            <w:pPr>
              <w:spacing w:line="300" w:lineRule="exact"/>
              <w:jc w:val="right"/>
              <w:rPr>
                <w:rFonts w:ascii="方正书宋_GBK" w:eastAsia="方正书宋_GBK"/>
                <w:b/>
              </w:rPr>
            </w:pPr>
            <w:r>
              <w:rPr>
                <w:rFonts w:ascii="方正书宋_GBK" w:eastAsia="方正书宋_GBK"/>
                <w:b/>
              </w:rPr>
              <w:t>2998.43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1927.78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1694.62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233.16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5114" w:type="dxa"/>
            <w:noWrap w:val="0"/>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noWrap w:val="0"/>
            <w:vAlign w:val="center"/>
          </w:tcPr>
          <w:p>
            <w:pPr>
              <w:spacing w:line="300" w:lineRule="exact"/>
              <w:jc w:val="right"/>
              <w:rPr>
                <w:rFonts w:ascii="方正书宋_GBK" w:eastAsia="方正书宋_GBK"/>
              </w:rPr>
            </w:pPr>
            <w:r>
              <w:rPr>
                <w:rFonts w:ascii="方正书宋_GBK" w:eastAsia="方正书宋_GBK"/>
              </w:rPr>
              <w:t>1070.65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spacing w:line="300" w:lineRule="exact"/>
              <w:jc w:val="center"/>
              <w:rPr>
                <w:rFonts w:ascii="方正书宋_GBK" w:eastAsia="方正书宋_GBK"/>
                <w:b/>
              </w:rPr>
            </w:pPr>
          </w:p>
        </w:tc>
        <w:tc>
          <w:tcPr>
            <w:tcW w:w="5114" w:type="dxa"/>
            <w:noWrap w:val="0"/>
            <w:vAlign w:val="center"/>
          </w:tcPr>
          <w:p>
            <w:pPr>
              <w:spacing w:line="300" w:lineRule="exact"/>
              <w:jc w:val="left"/>
              <w:rPr>
                <w:rFonts w:hint="eastAsia" w:ascii="方正书宋_GBK" w:eastAsia="方正书宋_GBK"/>
                <w:b/>
              </w:rPr>
            </w:pPr>
            <w:r>
              <w:rPr>
                <w:rFonts w:hint="eastAsia" w:ascii="方正书宋_GBK" w:eastAsia="方正书宋_GBK"/>
                <w:b/>
              </w:rPr>
              <w:t>　　上年结转安排</w:t>
            </w:r>
          </w:p>
        </w:tc>
        <w:tc>
          <w:tcPr>
            <w:tcW w:w="2874" w:type="dxa"/>
            <w:noWrap w:val="0"/>
            <w:vAlign w:val="center"/>
          </w:tcPr>
          <w:p>
            <w:pPr>
              <w:spacing w:line="300" w:lineRule="exact"/>
              <w:jc w:val="right"/>
              <w:rPr>
                <w:rFonts w:ascii="方正书宋_GBK" w:eastAsia="方正书宋_GBK"/>
                <w:b/>
              </w:rPr>
            </w:pPr>
          </w:p>
        </w:tc>
      </w:tr>
    </w:tbl>
    <w:p>
      <w:pPr>
        <w:spacing w:line="300" w:lineRule="exact"/>
        <w:jc w:val="left"/>
        <w:outlineLvl w:val="4"/>
        <w:sectPr>
          <w:pgSz w:w="16839" w:h="11907" w:orient="landscape"/>
          <w:pgMar w:top="1134" w:right="1134" w:bottom="1134" w:left="1134" w:header="851" w:footer="992" w:gutter="0"/>
          <w:cols w:space="720"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人员经费预算</w:t>
      </w:r>
    </w:p>
    <w:tbl>
      <w:tblPr>
        <w:tblStyle w:val="7"/>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1"/>
        <w:gridCol w:w="893"/>
        <w:gridCol w:w="893"/>
        <w:gridCol w:w="4525"/>
        <w:gridCol w:w="1288"/>
        <w:gridCol w:w="1288"/>
        <w:gridCol w:w="1288"/>
        <w:gridCol w:w="1289"/>
        <w:gridCol w:w="1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551001唐山市丰南区大新庄镇人民政府本级</w:t>
            </w:r>
          </w:p>
        </w:tc>
        <w:tc>
          <w:tcPr>
            <w:tcW w:w="2345" w:type="pct"/>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noWrap w:val="0"/>
            <w:vAlign w:val="center"/>
          </w:tcPr>
          <w:p>
            <w:pPr>
              <w:spacing w:line="300" w:lineRule="exact"/>
              <w:jc w:val="left"/>
              <w:outlineLvl w:val="4"/>
            </w:pPr>
          </w:p>
        </w:tc>
        <w:tc>
          <w:tcPr>
            <w:tcW w:w="327" w:type="pct"/>
            <w:vMerge w:val="continue"/>
            <w:noWrap w:val="0"/>
            <w:vAlign w:val="center"/>
          </w:tcPr>
          <w:p>
            <w:pPr>
              <w:spacing w:line="300" w:lineRule="exact"/>
              <w:jc w:val="left"/>
              <w:outlineLvl w:val="4"/>
            </w:pPr>
          </w:p>
        </w:tc>
        <w:tc>
          <w:tcPr>
            <w:tcW w:w="327" w:type="pct"/>
            <w:vMerge w:val="continue"/>
            <w:noWrap w:val="0"/>
            <w:vAlign w:val="center"/>
          </w:tcPr>
          <w:p>
            <w:pPr>
              <w:spacing w:line="300" w:lineRule="exact"/>
              <w:jc w:val="left"/>
              <w:outlineLvl w:val="4"/>
            </w:pPr>
          </w:p>
        </w:tc>
        <w:tc>
          <w:tcPr>
            <w:tcW w:w="1633" w:type="pct"/>
            <w:vMerge w:val="continue"/>
            <w:noWrap w:val="0"/>
            <w:vAlign w:val="center"/>
          </w:tcPr>
          <w:p>
            <w:pPr>
              <w:spacing w:line="300" w:lineRule="exact"/>
              <w:jc w:val="left"/>
              <w:outlineLvl w:val="4"/>
            </w:pP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b/>
              </w:rPr>
            </w:pPr>
          </w:p>
        </w:tc>
        <w:tc>
          <w:tcPr>
            <w:tcW w:w="327" w:type="pct"/>
            <w:noWrap w:val="0"/>
            <w:vAlign w:val="center"/>
          </w:tcPr>
          <w:p>
            <w:pPr>
              <w:spacing w:line="300" w:lineRule="exact"/>
              <w:jc w:val="center"/>
              <w:rPr>
                <w:rFonts w:ascii="方正书宋_GBK" w:eastAsia="方正书宋_GBK"/>
                <w:b/>
              </w:rPr>
            </w:pPr>
          </w:p>
        </w:tc>
        <w:tc>
          <w:tcPr>
            <w:tcW w:w="327" w:type="pct"/>
            <w:noWrap w:val="0"/>
            <w:vAlign w:val="center"/>
          </w:tcPr>
          <w:p>
            <w:pPr>
              <w:spacing w:line="300" w:lineRule="exact"/>
              <w:jc w:val="center"/>
              <w:rPr>
                <w:rFonts w:ascii="方正书宋_GBK" w:eastAsia="方正书宋_GBK"/>
                <w:b/>
              </w:rPr>
            </w:pPr>
          </w:p>
        </w:tc>
        <w:tc>
          <w:tcPr>
            <w:tcW w:w="1633"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noWrap w:val="0"/>
            <w:vAlign w:val="center"/>
          </w:tcPr>
          <w:p>
            <w:pPr>
              <w:spacing w:line="300" w:lineRule="exact"/>
              <w:jc w:val="right"/>
              <w:rPr>
                <w:rFonts w:ascii="方正书宋_GBK" w:eastAsia="方正书宋_GBK"/>
                <w:b/>
              </w:rPr>
            </w:pPr>
            <w:r>
              <w:rPr>
                <w:rFonts w:ascii="方正书宋_GBK" w:eastAsia="方正书宋_GBK"/>
                <w:b/>
              </w:rPr>
              <w:t>1694.62</w:t>
            </w:r>
          </w:p>
        </w:tc>
        <w:tc>
          <w:tcPr>
            <w:tcW w:w="469" w:type="pct"/>
            <w:noWrap w:val="0"/>
            <w:vAlign w:val="center"/>
          </w:tcPr>
          <w:p>
            <w:pPr>
              <w:spacing w:line="300" w:lineRule="exact"/>
              <w:jc w:val="right"/>
              <w:rPr>
                <w:rFonts w:ascii="方正书宋_GBK" w:eastAsia="方正书宋_GBK"/>
                <w:b/>
              </w:rPr>
            </w:pPr>
            <w:r>
              <w:rPr>
                <w:rFonts w:ascii="方正书宋_GBK" w:eastAsia="方正书宋_GBK"/>
                <w:b/>
              </w:rPr>
              <w:t>1694.62</w:t>
            </w:r>
          </w:p>
        </w:tc>
        <w:tc>
          <w:tcPr>
            <w:tcW w:w="469" w:type="pct"/>
            <w:noWrap w:val="0"/>
            <w:vAlign w:val="center"/>
          </w:tcPr>
          <w:p>
            <w:pPr>
              <w:spacing w:line="300" w:lineRule="exact"/>
              <w:jc w:val="right"/>
              <w:rPr>
                <w:rFonts w:ascii="方正书宋_GBK" w:eastAsia="方正书宋_GBK"/>
                <w:b/>
              </w:rPr>
            </w:pPr>
          </w:p>
        </w:tc>
        <w:tc>
          <w:tcPr>
            <w:tcW w:w="469" w:type="pct"/>
            <w:noWrap w:val="0"/>
            <w:vAlign w:val="center"/>
          </w:tcPr>
          <w:p>
            <w:pPr>
              <w:spacing w:line="300" w:lineRule="exact"/>
              <w:jc w:val="right"/>
              <w:rPr>
                <w:rFonts w:ascii="方正书宋_GBK" w:eastAsia="方正书宋_GBK"/>
                <w:b/>
              </w:rPr>
            </w:pPr>
          </w:p>
        </w:tc>
        <w:tc>
          <w:tcPr>
            <w:tcW w:w="469"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1616.08</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1616.08</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458.26</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458.26</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375.73</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375.73</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）地区附加津贴</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136.49</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136.49</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）（特殊）岗位津贴（补贴）</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0.55</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0.55</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）规范津贴补贴后仍继续保留的补贴</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）在职人员住宅取暖补贴</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70.07</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70.07</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）在职人员物业服务补贴</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25.04</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25.04</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）乡镇工作补贴</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47.54</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47.54</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）其他补充乡镇工作补贴</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95.68</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95.68</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）上述项目之外的津贴补贴</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0.36</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0.36</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12.17</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12.17</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50101</w:t>
            </w: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）年终一次性奖金</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12.17</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12.17</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30103</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）员额内法官、检察官的绩效考核奖金</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4</w:t>
            </w:r>
            <w:r>
              <w:rPr>
                <w:rFonts w:hint="eastAsia" w:ascii="方正书宋_GBK" w:eastAsia="方正书宋_GBK"/>
              </w:rPr>
              <w:t>、绩效工资</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306.51</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306.51</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198.41</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198.41</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30107</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50501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108.10</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108.10</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、在职人员社会保障缴费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338.30</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338.30</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2080505</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165.15</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165.15</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30109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2101101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30110</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73.06</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73.06</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2101103</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）公务员医疗补助</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85.08</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85.08</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50102</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）其他社保缴费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15.01</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15.01</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2210201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30113</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50103</w:t>
            </w: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、住房公积金</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125.11</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125.11</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）加班补贴</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）教师超工作量补贴</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30199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）其他</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78.54</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78.54</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50905</w:t>
            </w: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、离退休费非统筹费用</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38.56</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38.56</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2080501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30302</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50905</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、离退休人员社会保障缴费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20.20</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20.20</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30304</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、抚恤金</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30305</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50901</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、生活补助</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19.34</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19.34</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30307</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、医疗费补助</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、奖励金</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0.88</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0.88</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30309</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50901</w:t>
            </w: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）独生子女父母奖励</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0.44</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0.44</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30309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）独生子女父母退休一次性奖励（公用定额）</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30399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7</w:t>
            </w:r>
            <w:r>
              <w:rPr>
                <w:rFonts w:hint="eastAsia" w:ascii="方正书宋_GBK" w:eastAsia="方正书宋_GBK"/>
              </w:rPr>
              <w:t>、其他对个人和家庭的补助支出</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日常公用经费预算</w:t>
      </w:r>
    </w:p>
    <w:tbl>
      <w:tblPr>
        <w:tblStyle w:val="7"/>
        <w:tblW w:w="463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1"/>
        <w:gridCol w:w="1151"/>
        <w:gridCol w:w="884"/>
        <w:gridCol w:w="4460"/>
        <w:gridCol w:w="1251"/>
        <w:gridCol w:w="1251"/>
        <w:gridCol w:w="1252"/>
        <w:gridCol w:w="1252"/>
        <w:gridCol w:w="1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2655" w:type="pct"/>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551001唐山市丰南区大新庄镇人民政府本级</w:t>
            </w:r>
          </w:p>
        </w:tc>
        <w:tc>
          <w:tcPr>
            <w:tcW w:w="2345" w:type="pct"/>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327"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部门经济分类编码</w:t>
            </w:r>
          </w:p>
        </w:tc>
        <w:tc>
          <w:tcPr>
            <w:tcW w:w="327"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政府经济分类编码</w:t>
            </w:r>
          </w:p>
        </w:tc>
        <w:tc>
          <w:tcPr>
            <w:tcW w:w="1633"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预算支出项目</w:t>
            </w:r>
          </w:p>
        </w:tc>
        <w:tc>
          <w:tcPr>
            <w:tcW w:w="2345" w:type="pct"/>
            <w:gridSpan w:val="5"/>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368" w:type="pct"/>
            <w:vMerge w:val="continue"/>
            <w:noWrap w:val="0"/>
            <w:vAlign w:val="center"/>
          </w:tcPr>
          <w:p>
            <w:pPr>
              <w:spacing w:line="300" w:lineRule="exact"/>
              <w:jc w:val="left"/>
              <w:outlineLvl w:val="4"/>
            </w:pPr>
          </w:p>
        </w:tc>
        <w:tc>
          <w:tcPr>
            <w:tcW w:w="327" w:type="pct"/>
            <w:vMerge w:val="continue"/>
            <w:noWrap w:val="0"/>
            <w:vAlign w:val="center"/>
          </w:tcPr>
          <w:p>
            <w:pPr>
              <w:spacing w:line="300" w:lineRule="exact"/>
              <w:jc w:val="left"/>
              <w:outlineLvl w:val="4"/>
            </w:pPr>
          </w:p>
        </w:tc>
        <w:tc>
          <w:tcPr>
            <w:tcW w:w="327" w:type="pct"/>
            <w:vMerge w:val="continue"/>
            <w:noWrap w:val="0"/>
            <w:vAlign w:val="center"/>
          </w:tcPr>
          <w:p>
            <w:pPr>
              <w:spacing w:line="300" w:lineRule="exact"/>
              <w:jc w:val="left"/>
              <w:outlineLvl w:val="4"/>
            </w:pPr>
          </w:p>
        </w:tc>
        <w:tc>
          <w:tcPr>
            <w:tcW w:w="1633" w:type="pct"/>
            <w:vMerge w:val="continue"/>
            <w:noWrap w:val="0"/>
            <w:vAlign w:val="center"/>
          </w:tcPr>
          <w:p>
            <w:pPr>
              <w:spacing w:line="300" w:lineRule="exact"/>
              <w:jc w:val="left"/>
              <w:outlineLvl w:val="4"/>
            </w:pP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69"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b/>
              </w:rPr>
            </w:pPr>
          </w:p>
        </w:tc>
        <w:tc>
          <w:tcPr>
            <w:tcW w:w="327" w:type="pct"/>
            <w:noWrap w:val="0"/>
            <w:vAlign w:val="center"/>
          </w:tcPr>
          <w:p>
            <w:pPr>
              <w:spacing w:line="300" w:lineRule="exact"/>
              <w:jc w:val="center"/>
              <w:rPr>
                <w:rFonts w:ascii="方正书宋_GBK" w:eastAsia="方正书宋_GBK"/>
                <w:b/>
              </w:rPr>
            </w:pPr>
          </w:p>
        </w:tc>
        <w:tc>
          <w:tcPr>
            <w:tcW w:w="327" w:type="pct"/>
            <w:noWrap w:val="0"/>
            <w:vAlign w:val="center"/>
          </w:tcPr>
          <w:p>
            <w:pPr>
              <w:spacing w:line="300" w:lineRule="exact"/>
              <w:jc w:val="center"/>
              <w:rPr>
                <w:rFonts w:ascii="方正书宋_GBK" w:eastAsia="方正书宋_GBK"/>
                <w:b/>
              </w:rPr>
            </w:pPr>
          </w:p>
        </w:tc>
        <w:tc>
          <w:tcPr>
            <w:tcW w:w="1633"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469" w:type="pct"/>
            <w:noWrap w:val="0"/>
            <w:vAlign w:val="center"/>
          </w:tcPr>
          <w:p>
            <w:pPr>
              <w:spacing w:line="300" w:lineRule="exact"/>
              <w:jc w:val="right"/>
              <w:rPr>
                <w:rFonts w:ascii="方正书宋_GBK" w:eastAsia="方正书宋_GBK"/>
                <w:b/>
              </w:rPr>
            </w:pPr>
            <w:r>
              <w:rPr>
                <w:rFonts w:ascii="方正书宋_GBK" w:eastAsia="方正书宋_GBK"/>
                <w:b/>
              </w:rPr>
              <w:t>233.16</w:t>
            </w:r>
          </w:p>
        </w:tc>
        <w:tc>
          <w:tcPr>
            <w:tcW w:w="469" w:type="pct"/>
            <w:noWrap w:val="0"/>
            <w:vAlign w:val="center"/>
          </w:tcPr>
          <w:p>
            <w:pPr>
              <w:spacing w:line="300" w:lineRule="exact"/>
              <w:jc w:val="right"/>
              <w:rPr>
                <w:rFonts w:ascii="方正书宋_GBK" w:eastAsia="方正书宋_GBK"/>
                <w:b/>
              </w:rPr>
            </w:pPr>
            <w:r>
              <w:rPr>
                <w:rFonts w:ascii="方正书宋_GBK" w:eastAsia="方正书宋_GBK"/>
                <w:b/>
              </w:rPr>
              <w:t>233.16</w:t>
            </w:r>
          </w:p>
        </w:tc>
        <w:tc>
          <w:tcPr>
            <w:tcW w:w="469" w:type="pct"/>
            <w:noWrap w:val="0"/>
            <w:vAlign w:val="center"/>
          </w:tcPr>
          <w:p>
            <w:pPr>
              <w:spacing w:line="300" w:lineRule="exact"/>
              <w:jc w:val="right"/>
              <w:rPr>
                <w:rFonts w:ascii="方正书宋_GBK" w:eastAsia="方正书宋_GBK"/>
                <w:b/>
              </w:rPr>
            </w:pPr>
          </w:p>
        </w:tc>
        <w:tc>
          <w:tcPr>
            <w:tcW w:w="469" w:type="pct"/>
            <w:noWrap w:val="0"/>
            <w:vAlign w:val="center"/>
          </w:tcPr>
          <w:p>
            <w:pPr>
              <w:spacing w:line="300" w:lineRule="exact"/>
              <w:jc w:val="right"/>
              <w:rPr>
                <w:rFonts w:ascii="方正书宋_GBK" w:eastAsia="方正书宋_GBK"/>
                <w:b/>
              </w:rPr>
            </w:pPr>
          </w:p>
        </w:tc>
        <w:tc>
          <w:tcPr>
            <w:tcW w:w="469"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33.04</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33.04</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）办公费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33.04</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33.04</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30202</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）印刷费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30203</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）咨询费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30204</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）手续费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30205</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）水费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30206</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）电费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30207</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）邮电费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）物业管理费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30211</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）差旅费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）因公出国（境）费用</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3021201</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）教学科研人员因公出国（境）费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3021202</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）其他因公出国（境）费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30213</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）维修（护）费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30214</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）租赁费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30215</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w:t>
            </w:r>
            <w:r>
              <w:rPr>
                <w:rFonts w:hint="eastAsia" w:ascii="方正书宋_GBK" w:eastAsia="方正书宋_GBK"/>
              </w:rPr>
              <w:t>）会议费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30216</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14</w:t>
            </w:r>
            <w:r>
              <w:rPr>
                <w:rFonts w:hint="eastAsia" w:ascii="方正书宋_GBK" w:eastAsia="方正书宋_GBK"/>
              </w:rPr>
              <w:t>）培训费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30218</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）专用材料费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30224</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w:t>
            </w:r>
            <w:r>
              <w:rPr>
                <w:rFonts w:hint="eastAsia" w:ascii="方正书宋_GBK" w:eastAsia="方正书宋_GBK"/>
              </w:rPr>
              <w:t>）被装购置费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30225</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）专用燃料费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30226</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）劳务费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30227</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）委托业务费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）其他交通费用</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31002</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）办公设备购置费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31099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）其他资本性支出</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23</w:t>
            </w:r>
            <w:r>
              <w:rPr>
                <w:rFonts w:hint="eastAsia" w:ascii="方正书宋_GBK" w:eastAsia="方正书宋_GBK"/>
              </w:rPr>
              <w:t>）其他商品服务支出</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50208</w:t>
            </w: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、公务用车运行维护费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10.00</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10.00</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30217</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50206</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、公务接待费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1.46</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1.46</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、按规定比例计提项目</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32.37</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32.37</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18.54</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18.54</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 xml:space="preserve">    1</w:t>
            </w:r>
            <w:r>
              <w:rPr>
                <w:rFonts w:hint="eastAsia" w:ascii="方正书宋_GBK" w:eastAsia="方正书宋_GBK"/>
              </w:rPr>
              <w:t>）区工会</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7.42</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7.42</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noWrap w:val="0"/>
            <w:vAlign w:val="center"/>
          </w:tcPr>
          <w:p>
            <w:pPr>
              <w:spacing w:line="300" w:lineRule="exact"/>
              <w:jc w:val="left"/>
              <w:rPr>
                <w:rFonts w:ascii="方正书宋_GBK" w:eastAsia="方正书宋_GBK"/>
              </w:rPr>
            </w:pPr>
            <w:r>
              <w:rPr>
                <w:rFonts w:ascii="方正书宋_GBK" w:eastAsia="方正书宋_GBK"/>
              </w:rPr>
              <w:t xml:space="preserve">    2</w:t>
            </w:r>
            <w:r>
              <w:rPr>
                <w:rFonts w:hint="eastAsia" w:ascii="方正书宋_GBK" w:eastAsia="方正书宋_GBK"/>
              </w:rPr>
              <w:t>）单位工会</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11.12</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11.12</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30229</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）在职职工福利费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10.65</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10.65</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50299</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）离退休福利费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3.18</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3.18</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30216</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）职教费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、改革性补贴项目</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74.73</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74.73</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30207</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）公务移动通讯费用补贴</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18.03</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18.03</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30239</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）公务交通补贴</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56.70</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56.70</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、非定额安排公用经费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81.56</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81.56</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30205</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）水费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30206</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）电费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30208</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）办公取暖费</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30.00</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30.00</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30213</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）中央空调及电梯运行费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30213</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）网络运行维护费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30214</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）租赁费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）离退休干部特需费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）离退休干部报刊费</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r>
              <w:rPr>
                <w:rFonts w:ascii="方正书宋_GBK" w:eastAsia="方正书宋_GBK"/>
              </w:rPr>
              <w:t>2010301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30201</w:t>
            </w:r>
          </w:p>
        </w:tc>
        <w:tc>
          <w:tcPr>
            <w:tcW w:w="327" w:type="pct"/>
            <w:noWrap w:val="0"/>
            <w:vAlign w:val="center"/>
          </w:tcPr>
          <w:p>
            <w:pPr>
              <w:spacing w:line="300" w:lineRule="exact"/>
              <w:jc w:val="center"/>
              <w:rPr>
                <w:rFonts w:ascii="方正书宋_GBK" w:eastAsia="方正书宋_GBK"/>
              </w:rPr>
            </w:pPr>
            <w:r>
              <w:rPr>
                <w:rFonts w:ascii="方正书宋_GBK" w:eastAsia="方正书宋_GBK"/>
              </w:rPr>
              <w:t>50201</w:t>
            </w: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）办公费（乡镇发展基数）</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51.56</w:t>
            </w:r>
          </w:p>
        </w:tc>
        <w:tc>
          <w:tcPr>
            <w:tcW w:w="469" w:type="pct"/>
            <w:noWrap w:val="0"/>
            <w:vAlign w:val="center"/>
          </w:tcPr>
          <w:p>
            <w:pPr>
              <w:spacing w:line="300" w:lineRule="exact"/>
              <w:jc w:val="right"/>
              <w:rPr>
                <w:rFonts w:ascii="方正书宋_GBK" w:eastAsia="方正书宋_GBK"/>
              </w:rPr>
            </w:pPr>
            <w:r>
              <w:rPr>
                <w:rFonts w:ascii="方正书宋_GBK" w:eastAsia="方正书宋_GBK"/>
              </w:rPr>
              <w:t>51.56</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30231</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）公务用车运行维护费（乡镇发展基数）</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368" w:type="pct"/>
            <w:noWrap w:val="0"/>
            <w:vAlign w:val="center"/>
          </w:tcPr>
          <w:p>
            <w:pPr>
              <w:spacing w:line="300" w:lineRule="exact"/>
              <w:jc w:val="center"/>
              <w:rPr>
                <w:rFonts w:ascii="方正书宋_GBK" w:eastAsia="方正书宋_GBK"/>
              </w:rPr>
            </w:pPr>
          </w:p>
        </w:tc>
        <w:tc>
          <w:tcPr>
            <w:tcW w:w="327" w:type="pct"/>
            <w:noWrap w:val="0"/>
            <w:vAlign w:val="center"/>
          </w:tcPr>
          <w:p>
            <w:pPr>
              <w:spacing w:line="300" w:lineRule="exact"/>
              <w:jc w:val="center"/>
              <w:rPr>
                <w:rFonts w:ascii="方正书宋_GBK" w:eastAsia="方正书宋_GBK"/>
              </w:rPr>
            </w:pPr>
            <w:r>
              <w:rPr>
                <w:rFonts w:ascii="方正书宋_GBK" w:eastAsia="方正书宋_GBK"/>
              </w:rPr>
              <w:t>30299</w:t>
            </w:r>
          </w:p>
        </w:tc>
        <w:tc>
          <w:tcPr>
            <w:tcW w:w="327" w:type="pct"/>
            <w:noWrap w:val="0"/>
            <w:vAlign w:val="center"/>
          </w:tcPr>
          <w:p>
            <w:pPr>
              <w:spacing w:line="300" w:lineRule="exact"/>
              <w:jc w:val="center"/>
              <w:rPr>
                <w:rFonts w:ascii="方正书宋_GBK" w:eastAsia="方正书宋_GBK"/>
              </w:rPr>
            </w:pPr>
          </w:p>
        </w:tc>
        <w:tc>
          <w:tcPr>
            <w:tcW w:w="1633" w:type="pct"/>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）其他商品服务支出</w:t>
            </w: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c>
          <w:tcPr>
            <w:tcW w:w="469" w:type="pct"/>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项目支出预算</w:t>
      </w:r>
    </w:p>
    <w:tbl>
      <w:tblPr>
        <w:tblStyle w:val="7"/>
        <w:tblW w:w="488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43"/>
        <w:gridCol w:w="1151"/>
        <w:gridCol w:w="1201"/>
        <w:gridCol w:w="1198"/>
        <w:gridCol w:w="1413"/>
        <w:gridCol w:w="1414"/>
        <w:gridCol w:w="1414"/>
        <w:gridCol w:w="1411"/>
        <w:gridCol w:w="1411"/>
        <w:gridCol w:w="1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01" w:type="pct"/>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551001唐山市丰南区大新庄镇人民政府本级</w:t>
            </w:r>
          </w:p>
        </w:tc>
        <w:tc>
          <w:tcPr>
            <w:tcW w:w="2899" w:type="pct"/>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2"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9"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21" w:type="pct"/>
            <w:gridSpan w:val="2"/>
            <w:noWrap w:val="0"/>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899" w:type="pct"/>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2" w:type="pct"/>
            <w:vMerge w:val="continue"/>
            <w:noWrap w:val="0"/>
            <w:vAlign w:val="center"/>
          </w:tcPr>
          <w:p>
            <w:pPr>
              <w:spacing w:line="300" w:lineRule="exact"/>
              <w:jc w:val="left"/>
              <w:outlineLvl w:val="4"/>
            </w:pPr>
          </w:p>
        </w:tc>
        <w:tc>
          <w:tcPr>
            <w:tcW w:w="379" w:type="pct"/>
            <w:vMerge w:val="continue"/>
            <w:noWrap w:val="0"/>
            <w:vAlign w:val="center"/>
          </w:tcPr>
          <w:p>
            <w:pPr>
              <w:spacing w:line="300" w:lineRule="exact"/>
              <w:jc w:val="left"/>
              <w:outlineLvl w:val="4"/>
            </w:pPr>
          </w:p>
        </w:tc>
        <w:tc>
          <w:tcPr>
            <w:tcW w:w="411" w:type="pct"/>
            <w:noWrap w:val="0"/>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0" w:type="pct"/>
            <w:noWrap w:val="0"/>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83" w:type="pct"/>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83"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483"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82" w:type="pct"/>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82"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85"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center"/>
              <w:rPr>
                <w:rFonts w:ascii="方正书宋_GBK" w:eastAsia="方正书宋_GBK"/>
                <w:b/>
              </w:rPr>
            </w:pPr>
            <w:r>
              <w:rPr>
                <w:rFonts w:hint="eastAsia" w:ascii="方正书宋_GBK" w:eastAsia="方正书宋_GBK"/>
                <w:b/>
              </w:rPr>
              <w:t>合计</w:t>
            </w:r>
          </w:p>
        </w:tc>
        <w:tc>
          <w:tcPr>
            <w:tcW w:w="379" w:type="pct"/>
            <w:noWrap w:val="0"/>
            <w:vAlign w:val="center"/>
          </w:tcPr>
          <w:p>
            <w:pPr>
              <w:spacing w:line="300" w:lineRule="exact"/>
              <w:jc w:val="right"/>
              <w:rPr>
                <w:rFonts w:ascii="方正书宋_GBK" w:eastAsia="方正书宋_GBK"/>
                <w:b/>
              </w:rPr>
            </w:pPr>
          </w:p>
        </w:tc>
        <w:tc>
          <w:tcPr>
            <w:tcW w:w="411" w:type="pct"/>
            <w:noWrap w:val="0"/>
            <w:vAlign w:val="center"/>
          </w:tcPr>
          <w:p>
            <w:pPr>
              <w:spacing w:line="300" w:lineRule="exact"/>
              <w:jc w:val="right"/>
              <w:rPr>
                <w:rFonts w:ascii="方正书宋_GBK" w:eastAsia="方正书宋_GBK"/>
                <w:b/>
              </w:rPr>
            </w:pPr>
          </w:p>
        </w:tc>
        <w:tc>
          <w:tcPr>
            <w:tcW w:w="410" w:type="pct"/>
            <w:noWrap w:val="0"/>
            <w:vAlign w:val="center"/>
          </w:tcPr>
          <w:p>
            <w:pPr>
              <w:spacing w:line="300" w:lineRule="exact"/>
              <w:jc w:val="right"/>
              <w:rPr>
                <w:rFonts w:ascii="方正书宋_GBK" w:eastAsia="方正书宋_GBK"/>
                <w:b/>
              </w:rPr>
            </w:pPr>
          </w:p>
        </w:tc>
        <w:tc>
          <w:tcPr>
            <w:tcW w:w="483" w:type="pct"/>
            <w:noWrap w:val="0"/>
            <w:vAlign w:val="center"/>
          </w:tcPr>
          <w:p>
            <w:pPr>
              <w:spacing w:line="300" w:lineRule="exact"/>
              <w:jc w:val="right"/>
              <w:rPr>
                <w:rFonts w:ascii="方正书宋_GBK" w:eastAsia="方正书宋_GBK"/>
                <w:b/>
              </w:rPr>
            </w:pPr>
            <w:r>
              <w:rPr>
                <w:rFonts w:ascii="方正书宋_GBK" w:eastAsia="方正书宋_GBK"/>
                <w:b/>
              </w:rPr>
              <w:t>1070.65</w:t>
            </w:r>
          </w:p>
        </w:tc>
        <w:tc>
          <w:tcPr>
            <w:tcW w:w="483" w:type="pct"/>
            <w:noWrap w:val="0"/>
            <w:vAlign w:val="center"/>
          </w:tcPr>
          <w:p>
            <w:pPr>
              <w:spacing w:line="300" w:lineRule="exact"/>
              <w:jc w:val="right"/>
              <w:rPr>
                <w:rFonts w:ascii="方正书宋_GBK" w:eastAsia="方正书宋_GBK"/>
                <w:b/>
              </w:rPr>
            </w:pPr>
            <w:r>
              <w:rPr>
                <w:rFonts w:ascii="方正书宋_GBK" w:eastAsia="方正书宋_GBK"/>
                <w:b/>
              </w:rPr>
              <w:t>1070.65</w:t>
            </w:r>
          </w:p>
        </w:tc>
        <w:tc>
          <w:tcPr>
            <w:tcW w:w="483" w:type="pct"/>
            <w:noWrap w:val="0"/>
            <w:vAlign w:val="center"/>
          </w:tcPr>
          <w:p>
            <w:pPr>
              <w:spacing w:line="300" w:lineRule="exact"/>
              <w:jc w:val="right"/>
              <w:rPr>
                <w:rFonts w:ascii="方正书宋_GBK" w:eastAsia="方正书宋_GBK"/>
                <w:b/>
              </w:rPr>
            </w:pPr>
          </w:p>
        </w:tc>
        <w:tc>
          <w:tcPr>
            <w:tcW w:w="482" w:type="pct"/>
            <w:noWrap w:val="0"/>
            <w:vAlign w:val="center"/>
          </w:tcPr>
          <w:p>
            <w:pPr>
              <w:spacing w:line="300" w:lineRule="exact"/>
              <w:jc w:val="right"/>
              <w:rPr>
                <w:rFonts w:ascii="方正书宋_GBK" w:eastAsia="方正书宋_GBK"/>
                <w:b/>
              </w:rPr>
            </w:pPr>
          </w:p>
        </w:tc>
        <w:tc>
          <w:tcPr>
            <w:tcW w:w="482" w:type="pct"/>
            <w:noWrap w:val="0"/>
            <w:vAlign w:val="center"/>
          </w:tcPr>
          <w:p>
            <w:pPr>
              <w:spacing w:line="300" w:lineRule="exact"/>
              <w:jc w:val="right"/>
              <w:rPr>
                <w:rFonts w:ascii="方正书宋_GBK" w:eastAsia="方正书宋_GBK"/>
                <w:b/>
              </w:rPr>
            </w:pPr>
          </w:p>
        </w:tc>
        <w:tc>
          <w:tcPr>
            <w:tcW w:w="485"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服务群众专项经费</w:t>
            </w:r>
            <w:r>
              <w:rPr>
                <w:rFonts w:hint="cs" w:ascii="方正书宋_GBK" w:eastAsia="方正书宋_GBK"/>
                <w:cs/>
              </w:rPr>
              <w:t>—</w:t>
            </w:r>
            <w:r>
              <w:rPr>
                <w:rFonts w:hint="eastAsia" w:ascii="方正书宋_GBK" w:eastAsia="方正书宋_GBK"/>
              </w:rPr>
              <w:t>非两委报账员补助</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2130705</w:t>
            </w:r>
          </w:p>
        </w:tc>
        <w:tc>
          <w:tcPr>
            <w:tcW w:w="411" w:type="pct"/>
            <w:noWrap w:val="0"/>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410" w:type="pct"/>
            <w:noWrap w:val="0"/>
            <w:vAlign w:val="center"/>
          </w:tcPr>
          <w:p>
            <w:pPr>
              <w:spacing w:line="300" w:lineRule="exact"/>
              <w:jc w:val="left"/>
              <w:rPr>
                <w:rFonts w:ascii="方正书宋_GBK" w:eastAsia="方正书宋_GBK"/>
              </w:rPr>
            </w:pPr>
            <w:r>
              <w:rPr>
                <w:rFonts w:hint="eastAsia" w:ascii="方正书宋_GBK" w:eastAsia="方正书宋_GBK"/>
              </w:rPr>
              <w:t>个人家庭补助项目</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69.05</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69.05</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就业见习基本生活费补贴</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2080711</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9.40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9.40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年终一次性优待金（区级）</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2080805</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7.78</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7.78</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农村籍退役士兵老年生活补助（区级）</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2080806</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82.00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82.00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死亡抚恤（区级）</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2080801</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12.00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12.00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义务工役制人员及遗属补助</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2010302</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15.60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15.60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优抚对象医疗补助（区级）</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2101401</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1.10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1.10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财政所劳务派遣人员费用（劳务费）</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2010699</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29.80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29.80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村级组织运转经费（办公费）</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2130705</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67.40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67.40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服务群众专项经费</w:t>
            </w:r>
            <w:r>
              <w:rPr>
                <w:rFonts w:ascii="方正书宋_GBK" w:eastAsia="方正书宋_GBK"/>
              </w:rPr>
              <w:t>-</w:t>
            </w:r>
            <w:r>
              <w:rPr>
                <w:rFonts w:hint="eastAsia" w:ascii="方正书宋_GBK" w:eastAsia="方正书宋_GBK"/>
              </w:rPr>
              <w:t>村级环境卫生治理资金</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2130705</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284.10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284.10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环境治理（发展基数）</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2110399</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15.27</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15.27</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计生专干补助</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2100716</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106.95</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106.95</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纪检专项经费</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2011199</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7.00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7.00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精简退职职工救济金</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2082502</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0.57</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0.57</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敬老院劳务派遣人员费用（劳务费）</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2081005</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54.00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54.00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空气热源泵节能项目（发展基数）</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2111001</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19.17</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19.17</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劳务派遣人员费用（劳务费）</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2010399</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28.66</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28.66</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六级以上伤残军人医疗补助（区级）</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2101401</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9.00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9.00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企业补助经费（发展基数）</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2129999</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退役军人公益性岗位安置费用</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2080999</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73.80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73.80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维稳经费（发展基数）</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2129999</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12.00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12.00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卫生清理（发展基数）</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2120501</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乡镇财政办公经费</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2010699</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8.00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8.00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扬水站维修、防汛（发展基数）</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2130314</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13.00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13.00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招商经费（发展基数）</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2129999</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12.00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12.00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镇政府劳务派遣人员经费（发展基数）</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2010399</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71.00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71.00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2" w:type="pct"/>
            <w:noWrap w:val="0"/>
            <w:vAlign w:val="center"/>
          </w:tcPr>
          <w:p>
            <w:pPr>
              <w:wordWrap w:val="0"/>
              <w:spacing w:line="300" w:lineRule="exact"/>
              <w:jc w:val="left"/>
              <w:rPr>
                <w:rFonts w:hint="eastAsia" w:ascii="方正书宋_GBK" w:eastAsia="方正书宋_GBK"/>
              </w:rPr>
            </w:pPr>
            <w:r>
              <w:rPr>
                <w:rFonts w:hint="eastAsia" w:ascii="方正书宋_GBK" w:eastAsia="方正书宋_GBK"/>
              </w:rPr>
              <w:t>支持村级党建（发展基数）</w:t>
            </w:r>
          </w:p>
        </w:tc>
        <w:tc>
          <w:tcPr>
            <w:tcW w:w="379" w:type="pct"/>
            <w:noWrap w:val="0"/>
            <w:vAlign w:val="center"/>
          </w:tcPr>
          <w:p>
            <w:pPr>
              <w:spacing w:line="300" w:lineRule="exact"/>
              <w:jc w:val="left"/>
              <w:rPr>
                <w:rFonts w:ascii="方正书宋_GBK" w:eastAsia="方正书宋_GBK"/>
              </w:rPr>
            </w:pPr>
            <w:r>
              <w:rPr>
                <w:rFonts w:ascii="方正书宋_GBK" w:eastAsia="方正书宋_GBK"/>
              </w:rPr>
              <w:t>2130705</w:t>
            </w:r>
          </w:p>
        </w:tc>
        <w:tc>
          <w:tcPr>
            <w:tcW w:w="411"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410" w:type="pct"/>
            <w:noWrap w:val="0"/>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12.00</w:t>
            </w:r>
          </w:p>
        </w:tc>
        <w:tc>
          <w:tcPr>
            <w:tcW w:w="483" w:type="pct"/>
            <w:noWrap w:val="0"/>
            <w:vAlign w:val="center"/>
          </w:tcPr>
          <w:p>
            <w:pPr>
              <w:spacing w:line="300" w:lineRule="exact"/>
              <w:jc w:val="right"/>
              <w:rPr>
                <w:rFonts w:ascii="方正书宋_GBK" w:eastAsia="方正书宋_GBK"/>
              </w:rPr>
            </w:pPr>
            <w:r>
              <w:rPr>
                <w:rFonts w:ascii="方正书宋_GBK" w:eastAsia="方正书宋_GBK"/>
              </w:rPr>
              <w:t>12.00</w:t>
            </w:r>
          </w:p>
        </w:tc>
        <w:tc>
          <w:tcPr>
            <w:tcW w:w="483"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2" w:type="pct"/>
            <w:noWrap w:val="0"/>
            <w:vAlign w:val="center"/>
          </w:tcPr>
          <w:p>
            <w:pPr>
              <w:spacing w:line="300" w:lineRule="exact"/>
              <w:jc w:val="right"/>
              <w:rPr>
                <w:rFonts w:ascii="方正书宋_GBK" w:eastAsia="方正书宋_GBK"/>
              </w:rPr>
            </w:pPr>
          </w:p>
        </w:tc>
        <w:tc>
          <w:tcPr>
            <w:tcW w:w="485" w:type="pct"/>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单位预算政府经济分类表</w:t>
      </w:r>
    </w:p>
    <w:tbl>
      <w:tblPr>
        <w:tblStyle w:val="7"/>
        <w:tblW w:w="474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8"/>
        <w:gridCol w:w="1791"/>
        <w:gridCol w:w="1783"/>
        <w:gridCol w:w="1785"/>
        <w:gridCol w:w="1783"/>
        <w:gridCol w:w="1785"/>
        <w:gridCol w:w="1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3123" w:type="pct"/>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551001唐山市丰南区大新庄镇人民政府本级</w:t>
            </w:r>
          </w:p>
        </w:tc>
        <w:tc>
          <w:tcPr>
            <w:tcW w:w="1877" w:type="pct"/>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政府经济分类</w:t>
            </w:r>
          </w:p>
        </w:tc>
        <w:tc>
          <w:tcPr>
            <w:tcW w:w="3756" w:type="pct"/>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1244" w:type="pct"/>
            <w:vMerge w:val="continue"/>
            <w:noWrap w:val="0"/>
            <w:vAlign w:val="center"/>
          </w:tcPr>
          <w:p>
            <w:pPr>
              <w:spacing w:line="300" w:lineRule="exact"/>
              <w:jc w:val="left"/>
              <w:outlineLvl w:val="4"/>
            </w:pPr>
          </w:p>
        </w:tc>
        <w:tc>
          <w:tcPr>
            <w:tcW w:w="628"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25"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26"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25" w:type="pct"/>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26"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26"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628" w:type="pct"/>
            <w:noWrap w:val="0"/>
            <w:vAlign w:val="center"/>
          </w:tcPr>
          <w:p>
            <w:pPr>
              <w:spacing w:line="300" w:lineRule="exact"/>
              <w:jc w:val="right"/>
              <w:rPr>
                <w:rFonts w:ascii="方正书宋_GBK" w:eastAsia="方正书宋_GBK"/>
                <w:b/>
              </w:rPr>
            </w:pPr>
            <w:r>
              <w:rPr>
                <w:rFonts w:ascii="方正书宋_GBK" w:eastAsia="方正书宋_GBK"/>
                <w:b/>
              </w:rPr>
              <w:t>2998.43</w:t>
            </w:r>
          </w:p>
        </w:tc>
        <w:tc>
          <w:tcPr>
            <w:tcW w:w="625" w:type="pct"/>
            <w:noWrap w:val="0"/>
            <w:vAlign w:val="center"/>
          </w:tcPr>
          <w:p>
            <w:pPr>
              <w:spacing w:line="300" w:lineRule="exact"/>
              <w:jc w:val="right"/>
              <w:rPr>
                <w:rFonts w:ascii="方正书宋_GBK" w:eastAsia="方正书宋_GBK"/>
                <w:b/>
              </w:rPr>
            </w:pPr>
            <w:r>
              <w:rPr>
                <w:rFonts w:ascii="方正书宋_GBK" w:eastAsia="方正书宋_GBK"/>
                <w:b/>
              </w:rPr>
              <w:t>2998.43</w:t>
            </w:r>
          </w:p>
        </w:tc>
        <w:tc>
          <w:tcPr>
            <w:tcW w:w="626" w:type="pct"/>
            <w:noWrap w:val="0"/>
            <w:vAlign w:val="center"/>
          </w:tcPr>
          <w:p>
            <w:pPr>
              <w:spacing w:line="300" w:lineRule="exact"/>
              <w:jc w:val="right"/>
              <w:rPr>
                <w:rFonts w:ascii="方正书宋_GBK" w:eastAsia="方正书宋_GBK"/>
                <w:b/>
              </w:rPr>
            </w:pPr>
          </w:p>
        </w:tc>
        <w:tc>
          <w:tcPr>
            <w:tcW w:w="625" w:type="pct"/>
            <w:noWrap w:val="0"/>
            <w:vAlign w:val="center"/>
          </w:tcPr>
          <w:p>
            <w:pPr>
              <w:spacing w:line="300" w:lineRule="exact"/>
              <w:jc w:val="right"/>
              <w:rPr>
                <w:rFonts w:ascii="方正书宋_GBK" w:eastAsia="方正书宋_GBK"/>
                <w:b/>
              </w:rPr>
            </w:pPr>
          </w:p>
        </w:tc>
        <w:tc>
          <w:tcPr>
            <w:tcW w:w="626" w:type="pct"/>
            <w:noWrap w:val="0"/>
            <w:vAlign w:val="center"/>
          </w:tcPr>
          <w:p>
            <w:pPr>
              <w:spacing w:line="300" w:lineRule="exact"/>
              <w:jc w:val="right"/>
              <w:rPr>
                <w:rFonts w:ascii="方正书宋_GBK" w:eastAsia="方正书宋_GBK"/>
                <w:b/>
              </w:rPr>
            </w:pPr>
          </w:p>
        </w:tc>
        <w:tc>
          <w:tcPr>
            <w:tcW w:w="626"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hint="eastAsia" w:ascii="方正书宋_GBK" w:eastAsia="方正书宋_GBK"/>
              </w:rPr>
            </w:pPr>
            <w:r>
              <w:rPr>
                <w:rFonts w:ascii="方正书宋_GBK" w:eastAsia="方正书宋_GBK"/>
              </w:rPr>
              <w:t>501</w:t>
            </w:r>
            <w:r>
              <w:rPr>
                <w:rFonts w:hint="eastAsia" w:ascii="方正书宋_GBK" w:eastAsia="方正书宋_GBK"/>
              </w:rPr>
              <w:t>机关工资福利支出</w:t>
            </w:r>
          </w:p>
        </w:tc>
        <w:tc>
          <w:tcPr>
            <w:tcW w:w="628" w:type="pct"/>
            <w:noWrap w:val="0"/>
            <w:vAlign w:val="center"/>
          </w:tcPr>
          <w:p>
            <w:pPr>
              <w:spacing w:line="300" w:lineRule="exact"/>
              <w:jc w:val="right"/>
              <w:rPr>
                <w:rFonts w:ascii="方正书宋_GBK" w:eastAsia="方正书宋_GBK"/>
              </w:rPr>
            </w:pPr>
            <w:r>
              <w:rPr>
                <w:rFonts w:ascii="方正书宋_GBK" w:eastAsia="方正书宋_GBK"/>
              </w:rPr>
              <w:t>1309.57</w:t>
            </w:r>
          </w:p>
        </w:tc>
        <w:tc>
          <w:tcPr>
            <w:tcW w:w="625" w:type="pct"/>
            <w:noWrap w:val="0"/>
            <w:vAlign w:val="center"/>
          </w:tcPr>
          <w:p>
            <w:pPr>
              <w:spacing w:line="300" w:lineRule="exact"/>
              <w:jc w:val="right"/>
              <w:rPr>
                <w:rFonts w:ascii="方正书宋_GBK" w:eastAsia="方正书宋_GBK"/>
              </w:rPr>
            </w:pPr>
            <w:r>
              <w:rPr>
                <w:rFonts w:ascii="方正书宋_GBK" w:eastAsia="方正书宋_GBK"/>
              </w:rPr>
              <w:t>1309.57</w:t>
            </w: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502</w:t>
            </w:r>
            <w:r>
              <w:rPr>
                <w:rFonts w:hint="eastAsia" w:ascii="方正书宋_GBK" w:eastAsia="方正书宋_GBK"/>
              </w:rPr>
              <w:t>机关商品和服务支出</w:t>
            </w:r>
          </w:p>
        </w:tc>
        <w:tc>
          <w:tcPr>
            <w:tcW w:w="628" w:type="pct"/>
            <w:noWrap w:val="0"/>
            <w:vAlign w:val="center"/>
          </w:tcPr>
          <w:p>
            <w:pPr>
              <w:spacing w:line="300" w:lineRule="exact"/>
              <w:jc w:val="right"/>
              <w:rPr>
                <w:rFonts w:ascii="方正书宋_GBK" w:eastAsia="方正书宋_GBK"/>
              </w:rPr>
            </w:pPr>
            <w:r>
              <w:rPr>
                <w:rFonts w:ascii="方正书宋_GBK" w:eastAsia="方正书宋_GBK"/>
              </w:rPr>
              <w:t>946.19</w:t>
            </w:r>
          </w:p>
        </w:tc>
        <w:tc>
          <w:tcPr>
            <w:tcW w:w="625" w:type="pct"/>
            <w:noWrap w:val="0"/>
            <w:vAlign w:val="center"/>
          </w:tcPr>
          <w:p>
            <w:pPr>
              <w:spacing w:line="300" w:lineRule="exact"/>
              <w:jc w:val="right"/>
              <w:rPr>
                <w:rFonts w:ascii="方正书宋_GBK" w:eastAsia="方正书宋_GBK"/>
              </w:rPr>
            </w:pPr>
            <w:r>
              <w:rPr>
                <w:rFonts w:ascii="方正书宋_GBK" w:eastAsia="方正书宋_GBK"/>
              </w:rPr>
              <w:t>946.19</w:t>
            </w: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503</w:t>
            </w:r>
            <w:r>
              <w:rPr>
                <w:rFonts w:hint="eastAsia" w:ascii="方正书宋_GBK" w:eastAsia="方正书宋_GBK"/>
              </w:rPr>
              <w:t>机关资本性支出（一）</w:t>
            </w:r>
          </w:p>
        </w:tc>
        <w:tc>
          <w:tcPr>
            <w:tcW w:w="628" w:type="pct"/>
            <w:noWrap w:val="0"/>
            <w:vAlign w:val="center"/>
          </w:tcPr>
          <w:p>
            <w:pPr>
              <w:spacing w:line="300" w:lineRule="exact"/>
              <w:jc w:val="right"/>
              <w:rPr>
                <w:rFonts w:ascii="方正书宋_GBK" w:eastAsia="方正书宋_GBK"/>
              </w:rPr>
            </w:pPr>
            <w:r>
              <w:rPr>
                <w:rFonts w:ascii="方正书宋_GBK" w:eastAsia="方正书宋_GBK"/>
              </w:rPr>
              <w:t>19.17</w:t>
            </w:r>
          </w:p>
        </w:tc>
        <w:tc>
          <w:tcPr>
            <w:tcW w:w="625" w:type="pct"/>
            <w:noWrap w:val="0"/>
            <w:vAlign w:val="center"/>
          </w:tcPr>
          <w:p>
            <w:pPr>
              <w:spacing w:line="300" w:lineRule="exact"/>
              <w:jc w:val="right"/>
              <w:rPr>
                <w:rFonts w:ascii="方正书宋_GBK" w:eastAsia="方正书宋_GBK"/>
              </w:rPr>
            </w:pPr>
            <w:r>
              <w:rPr>
                <w:rFonts w:ascii="方正书宋_GBK" w:eastAsia="方正书宋_GBK"/>
              </w:rPr>
              <w:t>19.17</w:t>
            </w: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504</w:t>
            </w:r>
            <w:r>
              <w:rPr>
                <w:rFonts w:hint="eastAsia" w:ascii="方正书宋_GBK" w:eastAsia="方正书宋_GBK"/>
              </w:rPr>
              <w:t>机关资本性支出（二）</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505</w:t>
            </w:r>
            <w:r>
              <w:rPr>
                <w:rFonts w:hint="eastAsia" w:ascii="方正书宋_GBK" w:eastAsia="方正书宋_GBK"/>
              </w:rPr>
              <w:t>对事业单位经常性补助</w:t>
            </w:r>
          </w:p>
        </w:tc>
        <w:tc>
          <w:tcPr>
            <w:tcW w:w="628" w:type="pct"/>
            <w:noWrap w:val="0"/>
            <w:vAlign w:val="center"/>
          </w:tcPr>
          <w:p>
            <w:pPr>
              <w:spacing w:line="300" w:lineRule="exact"/>
              <w:jc w:val="right"/>
              <w:rPr>
                <w:rFonts w:ascii="方正书宋_GBK" w:eastAsia="方正书宋_GBK"/>
              </w:rPr>
            </w:pPr>
            <w:r>
              <w:rPr>
                <w:rFonts w:ascii="方正书宋_GBK" w:eastAsia="方正书宋_GBK"/>
              </w:rPr>
              <w:t>306.51</w:t>
            </w:r>
          </w:p>
        </w:tc>
        <w:tc>
          <w:tcPr>
            <w:tcW w:w="625" w:type="pct"/>
            <w:noWrap w:val="0"/>
            <w:vAlign w:val="center"/>
          </w:tcPr>
          <w:p>
            <w:pPr>
              <w:spacing w:line="300" w:lineRule="exact"/>
              <w:jc w:val="right"/>
              <w:rPr>
                <w:rFonts w:ascii="方正书宋_GBK" w:eastAsia="方正书宋_GBK"/>
              </w:rPr>
            </w:pPr>
            <w:r>
              <w:rPr>
                <w:rFonts w:ascii="方正书宋_GBK" w:eastAsia="方正书宋_GBK"/>
              </w:rPr>
              <w:t>306.51</w:t>
            </w: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506</w:t>
            </w:r>
            <w:r>
              <w:rPr>
                <w:rFonts w:hint="eastAsia" w:ascii="方正书宋_GBK" w:eastAsia="方正书宋_GBK"/>
              </w:rPr>
              <w:t>对事业单位资本性补助</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507</w:t>
            </w:r>
            <w:r>
              <w:rPr>
                <w:rFonts w:hint="eastAsia" w:ascii="方正书宋_GBK" w:eastAsia="方正书宋_GBK"/>
              </w:rPr>
              <w:t>对企业补助</w:t>
            </w:r>
          </w:p>
        </w:tc>
        <w:tc>
          <w:tcPr>
            <w:tcW w:w="628"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625" w:type="pct"/>
            <w:noWrap w:val="0"/>
            <w:vAlign w:val="center"/>
          </w:tcPr>
          <w:p>
            <w:pPr>
              <w:spacing w:line="300" w:lineRule="exact"/>
              <w:jc w:val="right"/>
              <w:rPr>
                <w:rFonts w:ascii="方正书宋_GBK" w:eastAsia="方正书宋_GBK"/>
              </w:rPr>
            </w:pPr>
            <w:r>
              <w:rPr>
                <w:rFonts w:ascii="方正书宋_GBK" w:eastAsia="方正书宋_GBK"/>
              </w:rPr>
              <w:t>25.00</w:t>
            </w: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508</w:t>
            </w:r>
            <w:r>
              <w:rPr>
                <w:rFonts w:hint="eastAsia" w:ascii="方正书宋_GBK" w:eastAsia="方正书宋_GBK"/>
              </w:rPr>
              <w:t>对企业资本性支出</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509</w:t>
            </w:r>
            <w:r>
              <w:rPr>
                <w:rFonts w:hint="eastAsia" w:ascii="方正书宋_GBK" w:eastAsia="方正书宋_GBK"/>
              </w:rPr>
              <w:t>对个人和家庭的补助</w:t>
            </w:r>
          </w:p>
        </w:tc>
        <w:tc>
          <w:tcPr>
            <w:tcW w:w="628" w:type="pct"/>
            <w:noWrap w:val="0"/>
            <w:vAlign w:val="center"/>
          </w:tcPr>
          <w:p>
            <w:pPr>
              <w:spacing w:line="300" w:lineRule="exact"/>
              <w:jc w:val="right"/>
              <w:rPr>
                <w:rFonts w:ascii="方正书宋_GBK" w:eastAsia="方正书宋_GBK"/>
              </w:rPr>
            </w:pPr>
            <w:r>
              <w:rPr>
                <w:rFonts w:ascii="方正书宋_GBK" w:eastAsia="方正书宋_GBK"/>
              </w:rPr>
              <w:t>391.99</w:t>
            </w:r>
          </w:p>
        </w:tc>
        <w:tc>
          <w:tcPr>
            <w:tcW w:w="625" w:type="pct"/>
            <w:noWrap w:val="0"/>
            <w:vAlign w:val="center"/>
          </w:tcPr>
          <w:p>
            <w:pPr>
              <w:spacing w:line="300" w:lineRule="exact"/>
              <w:jc w:val="right"/>
              <w:rPr>
                <w:rFonts w:ascii="方正书宋_GBK" w:eastAsia="方正书宋_GBK"/>
              </w:rPr>
            </w:pPr>
            <w:r>
              <w:rPr>
                <w:rFonts w:ascii="方正书宋_GBK" w:eastAsia="方正书宋_GBK"/>
              </w:rPr>
              <w:t>391.99</w:t>
            </w: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511</w:t>
            </w:r>
            <w:r>
              <w:rPr>
                <w:rFonts w:hint="eastAsia" w:ascii="方正书宋_GBK" w:eastAsia="方正书宋_GBK"/>
              </w:rPr>
              <w:t>债务利息及费用支出</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513</w:t>
            </w:r>
            <w:r>
              <w:rPr>
                <w:rFonts w:hint="eastAsia" w:ascii="方正书宋_GBK" w:eastAsia="方正书宋_GBK"/>
              </w:rPr>
              <w:t>转移性支出</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1244" w:type="pct"/>
            <w:noWrap w:val="0"/>
            <w:vAlign w:val="center"/>
          </w:tcPr>
          <w:p>
            <w:pPr>
              <w:spacing w:line="300" w:lineRule="exact"/>
              <w:jc w:val="left"/>
              <w:rPr>
                <w:rFonts w:ascii="方正书宋_GBK" w:eastAsia="方正书宋_GBK"/>
              </w:rPr>
            </w:pPr>
            <w:r>
              <w:rPr>
                <w:rFonts w:ascii="方正书宋_GBK" w:eastAsia="方正书宋_GBK"/>
              </w:rPr>
              <w:t>599</w:t>
            </w:r>
            <w:r>
              <w:rPr>
                <w:rFonts w:hint="eastAsia" w:ascii="方正书宋_GBK" w:eastAsia="方正书宋_GBK"/>
              </w:rPr>
              <w:t>其他支出</w:t>
            </w:r>
          </w:p>
        </w:tc>
        <w:tc>
          <w:tcPr>
            <w:tcW w:w="628"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5"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c>
          <w:tcPr>
            <w:tcW w:w="626" w:type="pct"/>
            <w:noWrap w:val="0"/>
            <w:vAlign w:val="center"/>
          </w:tcPr>
          <w:p>
            <w:pPr>
              <w:spacing w:line="300" w:lineRule="exact"/>
              <w:jc w:val="right"/>
              <w:rPr>
                <w:rFonts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宋体"/>
          <w:sz w:val="32"/>
        </w:rPr>
      </w:pPr>
      <w:r>
        <w:rPr>
          <w:rFonts w:hint="eastAsia" w:ascii="方正小标宋_GBK" w:eastAsia="方正小标宋_GBK"/>
          <w:sz w:val="32"/>
        </w:rPr>
        <w:t>“三公”及会议培训经费预算</w:t>
      </w:r>
    </w:p>
    <w:tbl>
      <w:tblPr>
        <w:tblStyle w:val="7"/>
        <w:tblW w:w="476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06"/>
        <w:gridCol w:w="1842"/>
        <w:gridCol w:w="1816"/>
        <w:gridCol w:w="1816"/>
        <w:gridCol w:w="1816"/>
        <w:gridCol w:w="1816"/>
        <w:gridCol w:w="1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3100" w:type="pct"/>
            <w:gridSpan w:val="4"/>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551001唐山市丰南区大新庄镇人民政府本级</w:t>
            </w:r>
          </w:p>
        </w:tc>
        <w:tc>
          <w:tcPr>
            <w:tcW w:w="1900" w:type="pct"/>
            <w:gridSpan w:val="3"/>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189" w:type="pct"/>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11" w:type="pct"/>
            <w:gridSpan w:val="6"/>
            <w:noWrap w:val="0"/>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1189" w:type="pct"/>
            <w:vMerge w:val="continue"/>
            <w:noWrap w:val="0"/>
            <w:vAlign w:val="center"/>
          </w:tcPr>
          <w:p>
            <w:pPr>
              <w:spacing w:line="300" w:lineRule="exact"/>
              <w:jc w:val="left"/>
              <w:outlineLvl w:val="4"/>
            </w:pPr>
          </w:p>
        </w:tc>
        <w:tc>
          <w:tcPr>
            <w:tcW w:w="643"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34" w:type="pct"/>
            <w:noWrap w:val="0"/>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拨款</w:t>
            </w:r>
          </w:p>
        </w:tc>
        <w:tc>
          <w:tcPr>
            <w:tcW w:w="634" w:type="pct"/>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34" w:type="pct"/>
            <w:noWrap w:val="0"/>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预算拨款</w:t>
            </w:r>
          </w:p>
        </w:tc>
        <w:tc>
          <w:tcPr>
            <w:tcW w:w="634" w:type="pct"/>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32" w:type="pct"/>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43" w:type="pct"/>
            <w:noWrap w:val="0"/>
            <w:vAlign w:val="center"/>
          </w:tcPr>
          <w:p>
            <w:pPr>
              <w:spacing w:line="300" w:lineRule="exact"/>
              <w:jc w:val="right"/>
              <w:rPr>
                <w:rFonts w:ascii="方正书宋_GBK" w:eastAsia="方正书宋_GBK"/>
                <w:b/>
              </w:rPr>
            </w:pPr>
            <w:r>
              <w:rPr>
                <w:rFonts w:ascii="方正书宋_GBK" w:eastAsia="方正书宋_GBK"/>
                <w:b/>
              </w:rPr>
              <w:t>15.46</w:t>
            </w:r>
          </w:p>
        </w:tc>
        <w:tc>
          <w:tcPr>
            <w:tcW w:w="634" w:type="pct"/>
            <w:noWrap w:val="0"/>
            <w:vAlign w:val="center"/>
          </w:tcPr>
          <w:p>
            <w:pPr>
              <w:spacing w:line="300" w:lineRule="exact"/>
              <w:jc w:val="right"/>
              <w:rPr>
                <w:rFonts w:ascii="方正书宋_GBK" w:eastAsia="方正书宋_GBK"/>
                <w:b/>
              </w:rPr>
            </w:pPr>
            <w:r>
              <w:rPr>
                <w:rFonts w:ascii="方正书宋_GBK" w:eastAsia="方正书宋_GBK"/>
                <w:b/>
              </w:rPr>
              <w:t>15.46</w:t>
            </w:r>
          </w:p>
        </w:tc>
        <w:tc>
          <w:tcPr>
            <w:tcW w:w="634" w:type="pct"/>
            <w:noWrap w:val="0"/>
            <w:vAlign w:val="center"/>
          </w:tcPr>
          <w:p>
            <w:pPr>
              <w:spacing w:line="300" w:lineRule="exact"/>
              <w:jc w:val="right"/>
              <w:rPr>
                <w:rFonts w:ascii="方正书宋_GBK" w:eastAsia="方正书宋_GBK"/>
                <w:b/>
              </w:rPr>
            </w:pPr>
          </w:p>
        </w:tc>
        <w:tc>
          <w:tcPr>
            <w:tcW w:w="634" w:type="pct"/>
            <w:noWrap w:val="0"/>
            <w:vAlign w:val="center"/>
          </w:tcPr>
          <w:p>
            <w:pPr>
              <w:spacing w:line="300" w:lineRule="exact"/>
              <w:jc w:val="right"/>
              <w:rPr>
                <w:rFonts w:ascii="方正书宋_GBK" w:eastAsia="方正书宋_GBK"/>
                <w:b/>
              </w:rPr>
            </w:pPr>
          </w:p>
        </w:tc>
        <w:tc>
          <w:tcPr>
            <w:tcW w:w="634" w:type="pct"/>
            <w:noWrap w:val="0"/>
            <w:vAlign w:val="center"/>
          </w:tcPr>
          <w:p>
            <w:pPr>
              <w:spacing w:line="300" w:lineRule="exact"/>
              <w:jc w:val="right"/>
              <w:rPr>
                <w:rFonts w:ascii="方正书宋_GBK" w:eastAsia="方正书宋_GBK"/>
                <w:b/>
              </w:rPr>
            </w:pPr>
          </w:p>
        </w:tc>
        <w:tc>
          <w:tcPr>
            <w:tcW w:w="632"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center"/>
              <w:rPr>
                <w:rFonts w:hint="eastAsia" w:ascii="方正书宋_GBK" w:eastAsia="方正书宋_GBK"/>
                <w:b/>
              </w:rPr>
            </w:pPr>
            <w:r>
              <w:rPr>
                <w:rFonts w:hint="cs" w:ascii="方正书宋_GBK" w:eastAsia="方正书宋_GBK"/>
                <w:b/>
                <w:cs/>
              </w:rPr>
              <w:t>“</w:t>
            </w:r>
            <w:r>
              <w:rPr>
                <w:rFonts w:hint="eastAsia" w:ascii="方正书宋_GBK" w:eastAsia="方正书宋_GBK"/>
                <w:b/>
              </w:rPr>
              <w:t>三公</w:t>
            </w:r>
            <w:r>
              <w:rPr>
                <w:rFonts w:hint="cs" w:ascii="方正书宋_GBK" w:eastAsia="方正书宋_GBK"/>
                <w:b/>
                <w:cs/>
              </w:rPr>
              <w:t>”</w:t>
            </w:r>
            <w:r>
              <w:rPr>
                <w:rFonts w:hint="eastAsia" w:ascii="方正书宋_GBK" w:eastAsia="方正书宋_GBK"/>
                <w:b/>
              </w:rPr>
              <w:t>经费小计</w:t>
            </w:r>
          </w:p>
        </w:tc>
        <w:tc>
          <w:tcPr>
            <w:tcW w:w="643" w:type="pct"/>
            <w:noWrap w:val="0"/>
            <w:vAlign w:val="center"/>
          </w:tcPr>
          <w:p>
            <w:pPr>
              <w:spacing w:line="300" w:lineRule="exact"/>
              <w:jc w:val="right"/>
              <w:rPr>
                <w:rFonts w:ascii="方正书宋_GBK" w:eastAsia="方正书宋_GBK"/>
                <w:b/>
              </w:rPr>
            </w:pPr>
            <w:r>
              <w:rPr>
                <w:rFonts w:ascii="方正书宋_GBK" w:eastAsia="方正书宋_GBK"/>
                <w:b/>
              </w:rPr>
              <w:t>15.46</w:t>
            </w:r>
          </w:p>
        </w:tc>
        <w:tc>
          <w:tcPr>
            <w:tcW w:w="634" w:type="pct"/>
            <w:noWrap w:val="0"/>
            <w:vAlign w:val="center"/>
          </w:tcPr>
          <w:p>
            <w:pPr>
              <w:spacing w:line="300" w:lineRule="exact"/>
              <w:jc w:val="right"/>
              <w:rPr>
                <w:rFonts w:ascii="方正书宋_GBK" w:eastAsia="方正书宋_GBK"/>
                <w:b/>
              </w:rPr>
            </w:pPr>
            <w:r>
              <w:rPr>
                <w:rFonts w:ascii="方正书宋_GBK" w:eastAsia="方正书宋_GBK"/>
                <w:b/>
              </w:rPr>
              <w:t>15.46</w:t>
            </w:r>
          </w:p>
        </w:tc>
        <w:tc>
          <w:tcPr>
            <w:tcW w:w="634" w:type="pct"/>
            <w:noWrap w:val="0"/>
            <w:vAlign w:val="center"/>
          </w:tcPr>
          <w:p>
            <w:pPr>
              <w:spacing w:line="300" w:lineRule="exact"/>
              <w:jc w:val="right"/>
              <w:rPr>
                <w:rFonts w:ascii="方正书宋_GBK" w:eastAsia="方正书宋_GBK"/>
                <w:b/>
              </w:rPr>
            </w:pPr>
          </w:p>
        </w:tc>
        <w:tc>
          <w:tcPr>
            <w:tcW w:w="634" w:type="pct"/>
            <w:noWrap w:val="0"/>
            <w:vAlign w:val="center"/>
          </w:tcPr>
          <w:p>
            <w:pPr>
              <w:spacing w:line="300" w:lineRule="exact"/>
              <w:jc w:val="right"/>
              <w:rPr>
                <w:rFonts w:ascii="方正书宋_GBK" w:eastAsia="方正书宋_GBK"/>
                <w:b/>
              </w:rPr>
            </w:pPr>
          </w:p>
        </w:tc>
        <w:tc>
          <w:tcPr>
            <w:tcW w:w="634" w:type="pct"/>
            <w:noWrap w:val="0"/>
            <w:vAlign w:val="center"/>
          </w:tcPr>
          <w:p>
            <w:pPr>
              <w:spacing w:line="300" w:lineRule="exact"/>
              <w:jc w:val="right"/>
              <w:rPr>
                <w:rFonts w:ascii="方正书宋_GBK" w:eastAsia="方正书宋_GBK"/>
                <w:b/>
              </w:rPr>
            </w:pPr>
          </w:p>
        </w:tc>
        <w:tc>
          <w:tcPr>
            <w:tcW w:w="632" w:type="pct"/>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hint="cs" w:ascii="方正书宋_GBK" w:eastAsia="方正书宋_GBK"/>
                <w:cs/>
              </w:rPr>
            </w:pPr>
            <w:r>
              <w:rPr>
                <w:rFonts w:hint="eastAsia" w:ascii="方正书宋_GBK" w:eastAsia="方正书宋_GBK"/>
              </w:rPr>
              <w:t>一、因公出国（境）费</w:t>
            </w:r>
          </w:p>
        </w:tc>
        <w:tc>
          <w:tcPr>
            <w:tcW w:w="643"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643" w:type="pct"/>
            <w:noWrap w:val="0"/>
            <w:vAlign w:val="center"/>
          </w:tcPr>
          <w:p>
            <w:pPr>
              <w:spacing w:line="300" w:lineRule="exact"/>
              <w:jc w:val="right"/>
              <w:rPr>
                <w:rFonts w:ascii="方正书宋_GBK" w:eastAsia="方正书宋_GBK"/>
              </w:rPr>
            </w:pPr>
            <w:r>
              <w:rPr>
                <w:rFonts w:ascii="方正书宋_GBK" w:eastAsia="方正书宋_GBK"/>
              </w:rPr>
              <w:t>10.00</w:t>
            </w:r>
          </w:p>
        </w:tc>
        <w:tc>
          <w:tcPr>
            <w:tcW w:w="634" w:type="pct"/>
            <w:noWrap w:val="0"/>
            <w:vAlign w:val="center"/>
          </w:tcPr>
          <w:p>
            <w:pPr>
              <w:spacing w:line="300" w:lineRule="exact"/>
              <w:jc w:val="right"/>
              <w:rPr>
                <w:rFonts w:ascii="方正书宋_GBK" w:eastAsia="方正书宋_GBK"/>
              </w:rPr>
            </w:pPr>
            <w:r>
              <w:rPr>
                <w:rFonts w:ascii="方正书宋_GBK" w:eastAsia="方正书宋_GBK"/>
              </w:rPr>
              <w:t>10.00</w:t>
            </w: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643"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643" w:type="pct"/>
            <w:noWrap w:val="0"/>
            <w:vAlign w:val="center"/>
          </w:tcPr>
          <w:p>
            <w:pPr>
              <w:spacing w:line="300" w:lineRule="exact"/>
              <w:jc w:val="right"/>
              <w:rPr>
                <w:rFonts w:ascii="方正书宋_GBK" w:eastAsia="方正书宋_GBK"/>
              </w:rPr>
            </w:pPr>
            <w:r>
              <w:rPr>
                <w:rFonts w:ascii="方正书宋_GBK" w:eastAsia="方正书宋_GBK"/>
              </w:rPr>
              <w:t>10.00</w:t>
            </w:r>
          </w:p>
        </w:tc>
        <w:tc>
          <w:tcPr>
            <w:tcW w:w="634" w:type="pct"/>
            <w:noWrap w:val="0"/>
            <w:vAlign w:val="center"/>
          </w:tcPr>
          <w:p>
            <w:pPr>
              <w:spacing w:line="300" w:lineRule="exact"/>
              <w:jc w:val="right"/>
              <w:rPr>
                <w:rFonts w:ascii="方正书宋_GBK" w:eastAsia="方正书宋_GBK"/>
              </w:rPr>
            </w:pPr>
            <w:r>
              <w:rPr>
                <w:rFonts w:ascii="方正书宋_GBK" w:eastAsia="方正书宋_GBK"/>
              </w:rPr>
              <w:t>10.00</w:t>
            </w: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643" w:type="pct"/>
            <w:noWrap w:val="0"/>
            <w:vAlign w:val="center"/>
          </w:tcPr>
          <w:p>
            <w:pPr>
              <w:spacing w:line="300" w:lineRule="exact"/>
              <w:jc w:val="right"/>
              <w:rPr>
                <w:rFonts w:ascii="方正书宋_GBK" w:eastAsia="方正书宋_GBK"/>
              </w:rPr>
            </w:pPr>
            <w:r>
              <w:rPr>
                <w:rFonts w:ascii="方正书宋_GBK" w:eastAsia="方正书宋_GBK"/>
              </w:rPr>
              <w:t>5.46</w:t>
            </w:r>
          </w:p>
        </w:tc>
        <w:tc>
          <w:tcPr>
            <w:tcW w:w="634" w:type="pct"/>
            <w:noWrap w:val="0"/>
            <w:vAlign w:val="center"/>
          </w:tcPr>
          <w:p>
            <w:pPr>
              <w:spacing w:line="300" w:lineRule="exact"/>
              <w:jc w:val="right"/>
              <w:rPr>
                <w:rFonts w:ascii="方正书宋_GBK" w:eastAsia="方正书宋_GBK"/>
              </w:rPr>
            </w:pPr>
            <w:r>
              <w:rPr>
                <w:rFonts w:ascii="方正书宋_GBK" w:eastAsia="方正书宋_GBK"/>
              </w:rPr>
              <w:t>5.46</w:t>
            </w: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643"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189" w:type="pct"/>
            <w:noWrap w:val="0"/>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643"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4" w:type="pct"/>
            <w:noWrap w:val="0"/>
            <w:vAlign w:val="center"/>
          </w:tcPr>
          <w:p>
            <w:pPr>
              <w:spacing w:line="300" w:lineRule="exact"/>
              <w:jc w:val="right"/>
              <w:rPr>
                <w:rFonts w:ascii="方正书宋_GBK" w:eastAsia="方正书宋_GBK"/>
              </w:rPr>
            </w:pPr>
          </w:p>
        </w:tc>
        <w:tc>
          <w:tcPr>
            <w:tcW w:w="632" w:type="pct"/>
            <w:noWrap w:val="0"/>
            <w:vAlign w:val="center"/>
          </w:tcPr>
          <w:p>
            <w:pPr>
              <w:spacing w:line="300" w:lineRule="exact"/>
              <w:jc w:val="right"/>
              <w:rPr>
                <w:rFonts w:ascii="方正书宋_GBK" w:eastAsia="方正书宋_GBK"/>
              </w:rPr>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唐山市丰南区大新庄镇人民政府本级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按照《预算法》、《地方预决算公开操作规程》和《关于进一步推进预算公开工作的实施意见》规定，现将唐山市丰南区大新庄镇人民政府本级202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1"/>
      </w:pPr>
      <w:r>
        <w:t>（一）党政综合办公室（财政所）。负责机关文电运转、综合协调、政务值班、会务组织、信息反馈、档案管理、保密机要、后勤保障等日常工作；负责监督检查和指导所属单位和行政村的档案工作；负责政务公开、村务公开工作。</w:t>
      </w:r>
    </w:p>
    <w:p>
      <w:pPr>
        <w:pStyle w:val="21"/>
      </w:pPr>
      <w:r>
        <w:t>负责镇政府年度预、决算管理并组织预算执行；协助税务机关和非税收入执收执罚部门征缴财政收入；负责乡镇财政管理的涉农补贴类和项目类资金管理、监督，组织开展绩效评价；管理镇行政事业单位国有资产、政府采购及政府性债权债务；负责镇行政事业单位财务管理。</w:t>
      </w:r>
    </w:p>
    <w:p>
      <w:pPr>
        <w:pStyle w:val="21"/>
      </w:pPr>
      <w:r>
        <w:t>（二）党建工作办公室（人大主席团办公室）。负责辖区党的建设；负责非公有制企业和社会组织党建工作；负责党员队伍建设；负责人才工作；负责意识形态、统一战线、民族宗教、人民武装有关工作；负责机构编制管理、人事和工资福利管理；负责承担人大、政协、纪检监察、工会、共青团、妇联、老干部等工作；按权限负责辖区政权和业务指导工作；按权限负责社区工作者的日常管理工作。</w:t>
      </w:r>
    </w:p>
    <w:p>
      <w:pPr>
        <w:pStyle w:val="21"/>
      </w:pPr>
      <w:r>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w:t>
      </w:r>
    </w:p>
    <w:p>
      <w:pPr>
        <w:pStyle w:val="21"/>
      </w:pPr>
      <w:r>
        <w:t>负责加强党对农村经济建设的领导，巩固和加强农业基础地位，保障重要农产品有效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w:t>
      </w:r>
    </w:p>
    <w:p>
      <w:pPr>
        <w:pStyle w:val="21"/>
      </w:pPr>
      <w:r>
        <w:t>（四）自然资源和生态环境办公室。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任，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利用工作。</w:t>
      </w:r>
    </w:p>
    <w:p>
      <w:pPr>
        <w:pStyle w:val="21"/>
      </w:pPr>
      <w:r>
        <w:t>（五）综合行政执法队。为公益一类事业单位，负责根据法律法规和省政府授权、承担综合行政执法工作；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根据委托授权负责本辖区内的宗教事务管理工作。</w:t>
      </w:r>
    </w:p>
    <w:p>
      <w:pPr>
        <w:pStyle w:val="21"/>
      </w:pPr>
      <w:r>
        <w:t>（六）行政综合服务中心（综合文化服务站）。为公益一类事业单位，根据法律法规和省政府授权，承担行政审批和综合服务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p>
    <w:p>
      <w:pPr>
        <w:pStyle w:val="21"/>
      </w:pPr>
      <w:r>
        <w:t>组织开展镇村两级文体活动；加强镇村两级文体队伍建设，并发现培养文体人才；协助党委、政府搞好镇村两级文体设施建设；管理保护本镇内文物，挖掘保护本镇内非物质文化遗产。</w:t>
      </w:r>
    </w:p>
    <w:p>
      <w:pPr>
        <w:pStyle w:val="21"/>
      </w:pPr>
      <w:r>
        <w:t>（七）农业综合服务中心。为公益一类事业单位，负责辖区基本农田保护管理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w:t>
      </w:r>
    </w:p>
    <w:p>
      <w:pPr>
        <w:pStyle w:val="21"/>
      </w:pPr>
      <w:r>
        <w:t>（八）退役军人服务站。为公益一类事业单位，负责辖区拥军优属、退役军人服务等工作；负责宣传和落实退役士兵相关政策，培树就业创业先进典型；收集退役士兵基本情况，组织开展职业教育培训，提供就业创业指导、咨询和服务；建立精准帮扶责任制，开展常态化走访慰问、帮扶解困、化解矛盾和思想政治工作；配合有关部门做好军队退役人员来信、来访工作。</w:t>
      </w:r>
    </w:p>
    <w:p>
      <w:pPr>
        <w:pStyle w:val="21"/>
      </w:pPr>
      <w:r>
        <w:t>（九）综合指挥和信息化网络中心（社会治理办公室）。为公益一类事业单位，负责信息化网络建设与管理工作。</w:t>
      </w:r>
    </w:p>
    <w:p>
      <w:pPr>
        <w:pStyle w:val="21"/>
      </w:pPr>
      <w:r>
        <w:t>负责制定本辖区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做好信访工作，畅通信访渠道，处理来信、接待来访；协调有关部门做好未成年人的保护、社区戒毒和社区康复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唐山市丰南区大新庄镇人民政府本级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预算收入</w:t>
      </w:r>
      <w:r>
        <w:rPr>
          <w:rFonts w:hint="eastAsia" w:eastAsia="方正仿宋_GBK" w:cs="Times New Roman"/>
          <w:color w:val="000000"/>
          <w:sz w:val="28"/>
          <w:lang w:val="en-US" w:eastAsia="zh-CN"/>
        </w:rPr>
        <w:t>2998.43</w:t>
      </w:r>
      <w:r>
        <w:rPr>
          <w:rFonts w:hint="eastAsia" w:ascii="Times New Roman" w:hAnsi="Times New Roman" w:eastAsia="方正仿宋_GBK" w:cs="Times New Roman"/>
          <w:color w:val="000000"/>
          <w:sz w:val="28"/>
        </w:rPr>
        <w:t>万元，其中：一般公共预算拨款</w:t>
      </w:r>
      <w:r>
        <w:rPr>
          <w:rFonts w:hint="eastAsia" w:eastAsia="方正仿宋_GBK" w:cs="Times New Roman"/>
          <w:color w:val="000000"/>
          <w:sz w:val="28"/>
          <w:lang w:val="en-US" w:eastAsia="zh-CN"/>
        </w:rPr>
        <w:t>2998.43</w:t>
      </w:r>
      <w:r>
        <w:rPr>
          <w:rFonts w:hint="eastAsia" w:ascii="Times New Roman" w:hAnsi="Times New Roman" w:eastAsia="方正仿宋_GBK" w:cs="Times New Roman"/>
          <w:color w:val="000000"/>
          <w:sz w:val="28"/>
        </w:rPr>
        <w:t>万元，政府性基金预算拨款</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万元，国有资本经营预算拨款</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万元，财政专户核拨</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万元，单位资金</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预算支出</w:t>
      </w:r>
      <w:r>
        <w:rPr>
          <w:rFonts w:hint="eastAsia" w:eastAsia="方正仿宋_GBK" w:cs="Times New Roman"/>
          <w:color w:val="000000"/>
          <w:sz w:val="28"/>
          <w:lang w:val="en-US" w:eastAsia="zh-CN"/>
        </w:rPr>
        <w:t>2998.43</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val="en-US" w:eastAsia="zh-CN"/>
        </w:rPr>
        <w:t>1694.62</w:t>
      </w:r>
      <w:r>
        <w:rPr>
          <w:rFonts w:hint="eastAsia" w:ascii="Times New Roman" w:hAnsi="Times New Roman" w:eastAsia="方正仿宋_GBK" w:cs="Times New Roman"/>
          <w:color w:val="000000"/>
          <w:sz w:val="28"/>
        </w:rPr>
        <w:t>万元，日常公用经费</w:t>
      </w:r>
      <w:r>
        <w:rPr>
          <w:rFonts w:hint="eastAsia" w:eastAsia="方正仿宋_GBK" w:cs="Times New Roman"/>
          <w:color w:val="000000"/>
          <w:sz w:val="28"/>
          <w:lang w:val="en-US" w:eastAsia="zh-CN"/>
        </w:rPr>
        <w:t>233.16</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1070.65</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预算较202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增加71.24</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val="en-US" w:eastAsia="zh-CN"/>
        </w:rPr>
        <w:t>增加44.91</w:t>
      </w:r>
      <w:r>
        <w:rPr>
          <w:rFonts w:hint="eastAsia" w:ascii="Times New Roman" w:hAnsi="Times New Roman" w:eastAsia="方正仿宋_GBK" w:cs="Times New Roman"/>
          <w:color w:val="000000"/>
          <w:sz w:val="28"/>
        </w:rPr>
        <w:t>万元，日常公用经费</w:t>
      </w:r>
      <w:r>
        <w:rPr>
          <w:rFonts w:hint="eastAsia" w:eastAsia="方正仿宋_GBK" w:cs="Times New Roman"/>
          <w:color w:val="000000"/>
          <w:sz w:val="28"/>
          <w:lang w:val="en-US" w:eastAsia="zh-CN"/>
        </w:rPr>
        <w:t>减少1.25</w:t>
      </w:r>
      <w:r>
        <w:rPr>
          <w:rFonts w:hint="eastAsia" w:ascii="Times New Roman" w:hAnsi="Times New Roman" w:eastAsia="方正仿宋_GBK" w:cs="Times New Roman"/>
          <w:color w:val="000000"/>
          <w:sz w:val="28"/>
        </w:rPr>
        <w:t>万元，项目经费</w:t>
      </w:r>
      <w:r>
        <w:rPr>
          <w:rFonts w:hint="eastAsia" w:eastAsia="方正仿宋_GBK" w:cs="Times New Roman"/>
          <w:color w:val="000000"/>
          <w:sz w:val="28"/>
          <w:lang w:val="en-US" w:eastAsia="zh-CN"/>
        </w:rPr>
        <w:t>增加27.58</w:t>
      </w:r>
      <w:r>
        <w:rPr>
          <w:rFonts w:hint="eastAsia" w:ascii="Times New Roman" w:hAnsi="Times New Roman" w:eastAsia="方正仿宋_GBK" w:cs="Times New Roman"/>
          <w:color w:val="000000"/>
          <w:sz w:val="28"/>
        </w:rP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年机关运行经费共计安排</w:t>
      </w:r>
      <w:r>
        <w:rPr>
          <w:rFonts w:hint="eastAsia" w:eastAsia="方正仿宋_GBK" w:cs="Times New Roman"/>
          <w:color w:val="000000"/>
          <w:sz w:val="28"/>
          <w:lang w:val="en-US" w:eastAsia="zh-CN"/>
        </w:rPr>
        <w:t>233.16</w:t>
      </w:r>
      <w:r>
        <w:rPr>
          <w:rFonts w:hint="eastAsia" w:ascii="Times New Roman" w:hAnsi="Times New Roman" w:eastAsia="方正仿宋_GBK" w:cs="Times New Roman"/>
          <w:color w:val="000000"/>
          <w:sz w:val="28"/>
        </w:rPr>
        <w:t>万元，主要包括用于保证机关正常运转的办公费</w:t>
      </w:r>
      <w:r>
        <w:rPr>
          <w:rFonts w:hint="eastAsia" w:eastAsia="方正仿宋_GBK" w:cs="Times New Roman"/>
          <w:color w:val="000000"/>
          <w:sz w:val="28"/>
          <w:lang w:val="en-US" w:eastAsia="zh-CN"/>
        </w:rPr>
        <w:t>84.6</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、办公用房取暖费</w:t>
      </w:r>
      <w:r>
        <w:rPr>
          <w:rFonts w:hint="eastAsia" w:ascii="Times New Roman" w:hAnsi="Times New Roman" w:eastAsia="方正仿宋_GBK" w:cs="Times New Roman"/>
          <w:color w:val="000000"/>
          <w:sz w:val="28"/>
          <w:lang w:val="en-US" w:eastAsia="zh-CN"/>
        </w:rPr>
        <w:t>30万元</w:t>
      </w:r>
      <w:r>
        <w:rPr>
          <w:rFonts w:hint="eastAsia" w:ascii="Times New Roman" w:hAnsi="Times New Roman" w:eastAsia="方正仿宋_GBK" w:cs="Times New Roman"/>
          <w:color w:val="000000"/>
          <w:sz w:val="28"/>
        </w:rPr>
        <w:t>、公务用车运行维护费</w:t>
      </w:r>
      <w:r>
        <w:rPr>
          <w:rFonts w:hint="eastAsia" w:ascii="Times New Roman" w:hAnsi="Times New Roman" w:eastAsia="方正仿宋_GBK" w:cs="Times New Roman"/>
          <w:color w:val="000000"/>
          <w:sz w:val="28"/>
          <w:lang w:val="en-US" w:eastAsia="zh-CN"/>
        </w:rPr>
        <w:t>10万元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公务接待费</w:t>
      </w:r>
      <w:r>
        <w:rPr>
          <w:rFonts w:hint="eastAsia" w:eastAsia="方正仿宋_GBK" w:cs="Times New Roman"/>
          <w:color w:val="000000"/>
          <w:sz w:val="28"/>
          <w:lang w:val="en-US" w:eastAsia="zh-CN"/>
        </w:rPr>
        <w:t>1.46</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工会费</w:t>
      </w:r>
      <w:r>
        <w:rPr>
          <w:rFonts w:hint="eastAsia" w:eastAsia="方正仿宋_GBK" w:cs="Times New Roman"/>
          <w:color w:val="000000"/>
          <w:sz w:val="28"/>
          <w:lang w:val="en-US" w:eastAsia="zh-CN"/>
        </w:rPr>
        <w:t>18.54</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在职职工</w:t>
      </w:r>
      <w:r>
        <w:rPr>
          <w:rFonts w:hint="eastAsia" w:ascii="Times New Roman" w:hAnsi="Times New Roman" w:eastAsia="方正仿宋_GBK" w:cs="Times New Roman"/>
          <w:color w:val="000000"/>
          <w:sz w:val="28"/>
        </w:rPr>
        <w:t>福利费</w:t>
      </w:r>
      <w:r>
        <w:rPr>
          <w:rFonts w:hint="eastAsia" w:eastAsia="方正仿宋_GBK" w:cs="Times New Roman"/>
          <w:color w:val="000000"/>
          <w:sz w:val="28"/>
          <w:lang w:val="en-US" w:eastAsia="zh-CN"/>
        </w:rPr>
        <w:t>10.65</w:t>
      </w:r>
      <w:r>
        <w:rPr>
          <w:rFonts w:hint="eastAsia" w:ascii="Times New Roman" w:hAnsi="Times New Roman" w:eastAsia="方正仿宋_GBK" w:cs="Times New Roman"/>
          <w:color w:val="000000"/>
          <w:sz w:val="28"/>
          <w:lang w:val="en-US" w:eastAsia="zh-CN"/>
        </w:rPr>
        <w:t>万元、退休福利费</w:t>
      </w:r>
      <w:r>
        <w:rPr>
          <w:rFonts w:hint="eastAsia" w:eastAsia="方正仿宋_GBK" w:cs="Times New Roman"/>
          <w:color w:val="000000"/>
          <w:sz w:val="28"/>
          <w:lang w:val="en-US" w:eastAsia="zh-CN"/>
        </w:rPr>
        <w:t>3.18</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、移动通讯补贴</w:t>
      </w:r>
      <w:r>
        <w:rPr>
          <w:rFonts w:hint="eastAsia" w:eastAsia="方正仿宋_GBK" w:cs="Times New Roman"/>
          <w:color w:val="000000"/>
          <w:sz w:val="28"/>
          <w:lang w:val="en-US" w:eastAsia="zh-CN"/>
        </w:rPr>
        <w:t>18.03</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、交通补贴</w:t>
      </w:r>
      <w:r>
        <w:rPr>
          <w:rFonts w:hint="eastAsia" w:eastAsia="方正仿宋_GBK" w:cs="Times New Roman"/>
          <w:color w:val="000000"/>
          <w:sz w:val="28"/>
          <w:lang w:val="en-US" w:eastAsia="zh-CN"/>
        </w:rPr>
        <w:t>56.7</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“三公”经费预算安排</w:t>
      </w:r>
      <w:r>
        <w:rPr>
          <w:rFonts w:hint="eastAsia" w:ascii="Times New Roman" w:hAnsi="Times New Roman" w:eastAsia="方正仿宋_GBK" w:cs="Times New Roman"/>
          <w:color w:val="000000"/>
          <w:sz w:val="28"/>
          <w:lang w:val="en-US" w:eastAsia="zh-CN"/>
        </w:rPr>
        <w:t>15.4</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万元，比202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减少0.02</w:t>
      </w:r>
      <w:r>
        <w:rPr>
          <w:rFonts w:hint="eastAsia" w:ascii="Times New Roman" w:hAnsi="Times New Roman" w:eastAsia="方正仿宋_GBK" w:cs="Times New Roman"/>
          <w:color w:val="000000"/>
          <w:sz w:val="28"/>
        </w:rPr>
        <w:t>万元。具体增减情况为：</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（一）公务用车购置及运行费</w:t>
      </w:r>
      <w:r>
        <w:rPr>
          <w:rFonts w:hint="eastAsia" w:ascii="Times New Roman" w:hAnsi="Times New Roman" w:eastAsia="方正仿宋_GBK" w:cs="Times New Roman"/>
          <w:color w:val="000000"/>
          <w:sz w:val="28"/>
          <w:lang w:val="en-US" w:eastAsia="zh-CN"/>
        </w:rPr>
        <w:t>10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w:t>
      </w:r>
      <w:r>
        <w:rPr>
          <w:rFonts w:hint="eastAsia" w:ascii="Times New Roman" w:hAnsi="Times New Roman" w:eastAsia="方正仿宋_GBK" w:cs="Times New Roman"/>
          <w:color w:val="000000"/>
          <w:sz w:val="28"/>
          <w:lang w:val="en-US" w:eastAsia="zh-CN"/>
        </w:rPr>
        <w:t>5.4</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rPr>
        <w:t>万元，比202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减少0.02</w:t>
      </w:r>
      <w:r>
        <w:rPr>
          <w:rFonts w:hint="eastAsia" w:ascii="Times New Roman" w:hAnsi="Times New Roman" w:eastAsia="方正仿宋_GBK" w:cs="Times New Roman"/>
          <w:color w:val="000000"/>
          <w:sz w:val="28"/>
        </w:rPr>
        <w:t>万元，原因是</w:t>
      </w:r>
      <w:r>
        <w:rPr>
          <w:rFonts w:hint="eastAsia" w:ascii="Times New Roman" w:hAnsi="Times New Roman" w:eastAsia="方正仿宋_GBK" w:cs="Times New Roman"/>
          <w:color w:val="000000"/>
          <w:sz w:val="28"/>
          <w:lang w:val="en-US" w:eastAsia="zh-CN"/>
        </w:rPr>
        <w:t>公务接待费是按照定额公用经费、公务用车运行维护费及取暖费总和的2%来计算，因202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lang w:val="en-US" w:eastAsia="zh-CN"/>
        </w:rPr>
        <w:t>年公用经费较202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年</w:t>
      </w:r>
      <w:r>
        <w:rPr>
          <w:rFonts w:hint="eastAsia" w:eastAsia="方正仿宋_GBK" w:cs="Times New Roman"/>
          <w:color w:val="000000"/>
          <w:sz w:val="28"/>
          <w:lang w:val="en-US" w:eastAsia="zh-CN"/>
        </w:rPr>
        <w:t>减少1.12</w:t>
      </w:r>
      <w:r>
        <w:rPr>
          <w:rFonts w:hint="eastAsia" w:ascii="Times New Roman" w:hAnsi="Times New Roman" w:eastAsia="方正仿宋_GBK" w:cs="Times New Roman"/>
          <w:color w:val="000000"/>
          <w:sz w:val="28"/>
          <w:lang w:val="en-US" w:eastAsia="zh-CN"/>
        </w:rPr>
        <w:t>万元，最终导致公务接待费</w:t>
      </w:r>
      <w:r>
        <w:rPr>
          <w:rFonts w:hint="eastAsia" w:eastAsia="方正仿宋_GBK" w:cs="Times New Roman"/>
          <w:color w:val="000000"/>
          <w:sz w:val="28"/>
          <w:lang w:val="en-US" w:eastAsia="zh-CN"/>
        </w:rPr>
        <w:t>减少0.02</w:t>
      </w:r>
      <w:r>
        <w:rPr>
          <w:rFonts w:hint="eastAsia" w:ascii="Times New Roman" w:hAnsi="Times New Roman" w:eastAsia="方正仿宋_GBK" w:cs="Times New Roman"/>
          <w:color w:val="000000"/>
          <w:sz w:val="28"/>
          <w:lang w:val="en-US" w:eastAsia="zh-CN"/>
        </w:rPr>
        <w:t>万元。</w:t>
      </w:r>
    </w:p>
    <w:p>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0" w:after="0" w:line="240" w:lineRule="auto"/>
        <w:ind w:firstLine="640"/>
        <w:jc w:val="left"/>
        <w:outlineLvl w:val="9"/>
        <w:rPr>
          <w:b w:val="0"/>
          <w:bCs/>
        </w:rPr>
      </w:pPr>
      <w:r>
        <w:rPr>
          <w:rFonts w:ascii="方正楷体_GBK" w:hAnsi="方正楷体_GBK" w:eastAsia="方正楷体_GBK" w:cs="方正楷体_GBK"/>
          <w:b w:val="0"/>
          <w:bCs/>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根据区委、区政府202</w:t>
      </w:r>
      <w:r>
        <w:rPr>
          <w:rFonts w:hint="eastAsia"/>
          <w:lang w:val="en-US" w:eastAsia="zh-CN"/>
        </w:rPr>
        <w:t>1</w:t>
      </w:r>
      <w:r>
        <w:t>年度计划目标，结合实际情况，特制定我乡镇政府202</w:t>
      </w:r>
      <w:r>
        <w:rPr>
          <w:rFonts w:hint="eastAsia"/>
          <w:lang w:val="en-US" w:eastAsia="zh-CN"/>
        </w:rPr>
        <w:t>1</w:t>
      </w:r>
      <w:r>
        <w:t>年度发展规划目标，具体如下：</w:t>
      </w:r>
    </w:p>
    <w:p>
      <w:pPr>
        <w:pStyle w:val="25"/>
      </w:pPr>
      <w:r>
        <w:t>202</w:t>
      </w:r>
      <w:r>
        <w:rPr>
          <w:rFonts w:hint="eastAsia"/>
          <w:lang w:val="en-US" w:eastAsia="zh-CN"/>
        </w:rPr>
        <w:t>1</w:t>
      </w:r>
      <w:r>
        <w:t>年，我镇将在区委、区政府的坚强领导下，努力践行</w:t>
      </w:r>
      <w:r>
        <w:rPr>
          <w:rFonts w:hint="eastAsia"/>
          <w:lang w:val="en-US" w:eastAsia="zh-CN"/>
        </w:rPr>
        <w:t>习近平新时代</w:t>
      </w:r>
      <w:r>
        <w:t>中国特色社会主义</w:t>
      </w:r>
      <w:r>
        <w:rPr>
          <w:rFonts w:hint="eastAsia"/>
          <w:lang w:val="en-US" w:eastAsia="zh-CN"/>
        </w:rPr>
        <w:t>思想</w:t>
      </w:r>
      <w:r>
        <w:t>，以党的十九大精神指导工作全局，深入和落实科学发展观，提高自主创新能力，全面加强党的建设，紧紧围绕实施“强农稳镇、兴工富镇、城建旺镇、环境立镇、和谐合镇”的战略。把加快中心镇发展作为促进工业化、城镇化、农业化产业，系统解决“三农”问题的重大举措来抓。坚持“以德立镇、产业兴镇、依法治镇”总基调，以发展产业为核心，精心谋划、发挥优势、埋头苦干、砥砺奋进，推进“富裕、美丽、和谐乡村”建设再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一、负责机关文电运转、综合协调、政务值班、会务组织、信息反馈、档案管理、保密机要、后勤保障等日常工作；负责镇行政事业单位财务管理。</w:t>
      </w:r>
    </w:p>
    <w:p>
      <w:pPr>
        <w:pStyle w:val="26"/>
      </w:pPr>
      <w:r>
        <w:t>绩效目标：确保镇内各项工作顺利开展，大力发展民营经济，提升乡镇经济综合实力</w:t>
      </w:r>
    </w:p>
    <w:p>
      <w:pPr>
        <w:pStyle w:val="26"/>
      </w:pPr>
      <w:r>
        <w:t>绩效指标：资金使用率、群体满意度达到90%以上，资金于7日内发放。</w:t>
      </w:r>
    </w:p>
    <w:p>
      <w:pPr>
        <w:pStyle w:val="26"/>
      </w:pPr>
      <w:r>
        <w:t>二、承担人大、政协、纪检监察、工会、共青团、妇联、老干部等工作</w:t>
      </w:r>
    </w:p>
    <w:p>
      <w:pPr>
        <w:pStyle w:val="26"/>
      </w:pPr>
      <w:r>
        <w:t>绩效目标：加强党的建设，提高党员素质，完成上级和党委交办的各项工作</w:t>
      </w:r>
    </w:p>
    <w:p>
      <w:pPr>
        <w:pStyle w:val="26"/>
      </w:pPr>
      <w:r>
        <w:t>绩效指标：资金使用率、群体满意度达到90%以上，资金于7日内发放。</w:t>
      </w:r>
    </w:p>
    <w:p>
      <w:pPr>
        <w:pStyle w:val="26"/>
      </w:pPr>
      <w:r>
        <w:t>三、负责本辖区内应急管理日常工作</w:t>
      </w:r>
    </w:p>
    <w:p>
      <w:pPr>
        <w:pStyle w:val="26"/>
      </w:pPr>
      <w:r>
        <w:t>绩效目标：全面掌握突发事件基本情况，及时上级和有关部门领导汇报，确定应急对策</w:t>
      </w:r>
    </w:p>
    <w:p>
      <w:pPr>
        <w:pStyle w:val="26"/>
      </w:pPr>
      <w:r>
        <w:t>绩效指标：资金发放及时率、群体满意度达到90%以上，规定如期内办结。</w:t>
      </w:r>
    </w:p>
    <w:p>
      <w:pPr>
        <w:pStyle w:val="26"/>
      </w:pPr>
      <w:r>
        <w:t>四、负责生态环境建设、保护监管</w:t>
      </w:r>
    </w:p>
    <w:p>
      <w:pPr>
        <w:pStyle w:val="26"/>
      </w:pPr>
      <w:r>
        <w:t>绩效目标：负责辖区自然资源保护和监管工作</w:t>
      </w:r>
    </w:p>
    <w:p>
      <w:pPr>
        <w:pStyle w:val="26"/>
      </w:pPr>
      <w:r>
        <w:t>绩效指标：资金7日内发放，验收通过率、群众知晓率达到90%以上。</w:t>
      </w:r>
    </w:p>
    <w:p>
      <w:pPr>
        <w:pStyle w:val="26"/>
      </w:pPr>
      <w:r>
        <w:t>五、负责镇综合行政执法工作</w:t>
      </w:r>
    </w:p>
    <w:p>
      <w:pPr>
        <w:pStyle w:val="26"/>
      </w:pPr>
      <w:r>
        <w:t>绩效目标：保障辖区内日常工作的稳定</w:t>
      </w:r>
    </w:p>
    <w:p>
      <w:pPr>
        <w:pStyle w:val="26"/>
      </w:pPr>
      <w:r>
        <w:t>绩效指标：案件完成率、限时结案率达到90%以上，目标群体满意度达到非常满意。</w:t>
      </w:r>
    </w:p>
    <w:p>
      <w:pPr>
        <w:pStyle w:val="26"/>
      </w:pPr>
      <w:r>
        <w:t>六、行政审批和综合服务工作</w:t>
      </w:r>
    </w:p>
    <w:p>
      <w:pPr>
        <w:pStyle w:val="26"/>
      </w:pPr>
      <w:r>
        <w:t>绩效目标：有效推进辖区内民生工作</w:t>
      </w:r>
    </w:p>
    <w:p>
      <w:pPr>
        <w:pStyle w:val="26"/>
      </w:pPr>
      <w:r>
        <w:t>绩效指标：资金7日内发放，目标群体满意度达到非常满意，开展文体活动的村3个。</w:t>
      </w:r>
    </w:p>
    <w:p>
      <w:pPr>
        <w:pStyle w:val="26"/>
      </w:pPr>
      <w:r>
        <w:t>七、负责辖区基本农田保护管理工作</w:t>
      </w:r>
    </w:p>
    <w:p>
      <w:pPr>
        <w:pStyle w:val="26"/>
      </w:pPr>
      <w:r>
        <w:t>绩效目标：农业事业协调发展</w:t>
      </w:r>
    </w:p>
    <w:p>
      <w:pPr>
        <w:pStyle w:val="26"/>
      </w:pPr>
      <w:r>
        <w:t>绩效指标：提升改造提升重点村3个，资金7日内发放，目标群体满意度达到90%。</w:t>
      </w:r>
    </w:p>
    <w:p>
      <w:pPr>
        <w:pStyle w:val="26"/>
      </w:pPr>
      <w:r>
        <w:t>八、负责辖区拥军优属、退役军人服务等工作</w:t>
      </w:r>
    </w:p>
    <w:p>
      <w:pPr>
        <w:pStyle w:val="26"/>
      </w:pPr>
      <w:r>
        <w:t>绩效目标：提供就业创业指导，化解矛盾和思想政治</w:t>
      </w:r>
    </w:p>
    <w:p>
      <w:pPr>
        <w:pStyle w:val="26"/>
      </w:pPr>
      <w:r>
        <w:t>绩效指标：优抚对象医疗补助到位率、优抚对象抚恤和生活补助足额兑现率、目标群体满意度达到90%以上。</w:t>
      </w:r>
    </w:p>
    <w:p>
      <w:pPr>
        <w:pStyle w:val="26"/>
      </w:pPr>
      <w:r>
        <w:t>九、负责信息化网络建设与管理工作</w:t>
      </w:r>
    </w:p>
    <w:p>
      <w:pPr>
        <w:pStyle w:val="26"/>
      </w:pPr>
      <w:r>
        <w:t>绩效目标：确保案件按时了结；积极调解民事纠纷</w:t>
      </w:r>
    </w:p>
    <w:p>
      <w:pPr>
        <w:pStyle w:val="26"/>
      </w:pPr>
      <w:r>
        <w:t>绩效指标：重大安保任务完成率、矛盾纠纷调处率、限时结案率达到90%以上。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一、完善制度建设</w:t>
      </w:r>
    </w:p>
    <w:p>
      <w:pPr>
        <w:pStyle w:val="27"/>
      </w:pPr>
      <w:r>
        <w:t>制定完善预算绩效管理制度、资金管理办法、工作保障制度，为全年预算绩效目标的实现奠定基础制度。</w:t>
      </w:r>
    </w:p>
    <w:p>
      <w:pPr>
        <w:pStyle w:val="27"/>
      </w:pPr>
      <w:r>
        <w:t>二、加强支出管理</w:t>
      </w:r>
    </w:p>
    <w:p>
      <w:pPr>
        <w:pStyle w:val="27"/>
      </w:pPr>
      <w:r>
        <w:t>通过优化支出结构、编细编实预算、加快履行政府采购手续、尽快启动项目、及时支付资金、6月底前细化代编预算、按规定及时下达资金等多种措施，确保支出进度达标。</w:t>
      </w:r>
    </w:p>
    <w:p>
      <w:pPr>
        <w:pStyle w:val="27"/>
      </w:pPr>
      <w:r>
        <w:t>三、加强绩效运行监控</w:t>
      </w:r>
    </w:p>
    <w:p>
      <w:pPr>
        <w:pStyle w:val="27"/>
      </w:pPr>
      <w:r>
        <w:t>按要求开展绩效运行监控，发现问题及时采取措施，确保绩效目标如期保质实现。</w:t>
      </w:r>
    </w:p>
    <w:p>
      <w:pPr>
        <w:pStyle w:val="27"/>
      </w:pPr>
      <w:r>
        <w:t>四、做好绩效自评</w:t>
      </w:r>
    </w:p>
    <w:p>
      <w:pPr>
        <w:pStyle w:val="27"/>
      </w:pPr>
      <w:r>
        <w:t>按要求开展上年度部门预算绩效自评和重点评价工作，对评价中发现的问题及时整改，调整优化支出结构，提高财政资金使用效益。</w:t>
      </w:r>
    </w:p>
    <w:p>
      <w:pPr>
        <w:pStyle w:val="27"/>
      </w:pPr>
      <w:r>
        <w:t>五、规范财务资产管理</w:t>
      </w:r>
    </w:p>
    <w:p>
      <w:pPr>
        <w:pStyle w:val="27"/>
      </w:pPr>
      <w:r>
        <w:t>完善财务管理制度，严格审批程序，加强固定资产登记、使用和报废处置管理，做到支出合理，物尽其用。</w:t>
      </w:r>
    </w:p>
    <w:p>
      <w:pPr>
        <w:pStyle w:val="27"/>
      </w:pPr>
      <w:r>
        <w:t>六、加强内部监督</w:t>
      </w:r>
    </w:p>
    <w:p>
      <w:pPr>
        <w:pStyle w:val="27"/>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t>七、加强宣传培训调研</w:t>
      </w:r>
    </w:p>
    <w:p>
      <w:pPr>
        <w:pStyle w:val="27"/>
      </w:pPr>
      <w:r>
        <w:t>加强人员培训，提高本部门职工业务素质；加强调研，提出优化财政资金配置、提高资金使用效益的意见意见；加大宣传力度，强化预算绩效管理意识，促进预算绩效管理水平进一步提升。</w:t>
      </w:r>
    </w:p>
    <w:p>
      <w:pPr>
        <w:pStyle w:val="27"/>
      </w:pPr>
      <w:r>
        <w:t>八、突出特色、发展产业</w:t>
      </w:r>
    </w:p>
    <w:p>
      <w:pPr>
        <w:pStyle w:val="27"/>
      </w:pPr>
      <w:r>
        <w:t>大力发展现代农业。加强土地整理、河渠清淤、排灌设施、生产桥建设等基础建设，推进农村集体产权股份制改革，积极培育新型农业经营主体。大力招商引资，发展二三产业。切实把工作重心落在招商引资上面，以项目建设的实际成果推进大新庄镇经济社会全面快速发展。一是调整充实招商队伍，二是发挥能人优势，三是推进在谈项目落地。</w:t>
      </w:r>
    </w:p>
    <w:p>
      <w:pPr>
        <w:pStyle w:val="27"/>
      </w:pPr>
      <w:r>
        <w:t>九、提升环境面貌，发展民生事业</w:t>
      </w:r>
    </w:p>
    <w:p>
      <w:pPr>
        <w:pStyle w:val="27"/>
      </w:pPr>
      <w:r>
        <w:t>建设美丽乡村。加大投入进一步提高卫生清理垃圾处理水平；建设民生工程。提高村级硬件水平和文化氛围。落实惠民政策。全面落实人口计生政策，提高生殖健康、妇幼保健、托幼等公共服务水平；高标准落实养老、医疗保险和低保等保障政策，突出狠抓建档立卡贫困户扶贫、脱贫。</w:t>
      </w:r>
    </w:p>
    <w:p>
      <w:pPr>
        <w:pStyle w:val="27"/>
      </w:pPr>
      <w:r>
        <w:t>十、建设平安乡镇，维护社会和谐稳定</w:t>
      </w:r>
    </w:p>
    <w:p>
      <w:pPr>
        <w:pStyle w:val="27"/>
      </w:pPr>
      <w:r>
        <w:t>加强基层党建和干部作风建设。强化意识形态领域工作，加强党员干部队伍教育和管理。加强信访稳定工作。加强法律法规常识教育，积极营造依法治镇氛围，提高群众明辨是非的能力，规范日常言行。加强安全管理。全年至少组织2次安全生产大检查，不出现群死群伤的安全生产事故；人防技防相结合预防和打击各类治安案件、刑事案件，深入开展“扫黑除恶”专项斗争，保证社会秩序良好，群众安居乐业。</w:t>
      </w:r>
    </w:p>
    <w:p>
      <w:pPr>
        <w:numPr>
          <w:ilvl w:val="0"/>
          <w:numId w:val="1"/>
        </w:numPr>
        <w:spacing w:before="0" w:after="0" w:line="240" w:lineRule="auto"/>
        <w:ind w:firstLine="640"/>
        <w:jc w:val="left"/>
        <w:outlineLvl w:val="9"/>
        <w:rPr>
          <w:rFonts w:ascii="方正楷体_GBK" w:hAnsi="方正楷体_GBK" w:eastAsia="方正楷体_GBK" w:cs="方正楷体_GBK"/>
          <w:b w:val="0"/>
          <w:bCs/>
          <w:color w:val="000000"/>
          <w:sz w:val="32"/>
        </w:rPr>
      </w:pPr>
      <w:r>
        <w:rPr>
          <w:rFonts w:ascii="方正楷体_GBK" w:hAnsi="方正楷体_GBK" w:eastAsia="方正楷体_GBK" w:cs="方正楷体_GBK"/>
          <w:b w:val="0"/>
          <w:bCs/>
          <w:color w:val="000000"/>
          <w:sz w:val="32"/>
        </w:rPr>
        <w:t xml:space="preserve"> 专项资金绩效目标</w:t>
      </w:r>
    </w:p>
    <w:p>
      <w:pPr>
        <w:numPr>
          <w:ilvl w:val="0"/>
          <w:numId w:val="0"/>
        </w:numPr>
        <w:adjustRightInd w:val="0"/>
        <w:snapToGrid w:val="0"/>
        <w:spacing w:line="560" w:lineRule="exact"/>
        <w:ind w:firstLine="560" w:firstLineChars="200"/>
        <w:jc w:val="left"/>
        <w:outlineLvl w:val="0"/>
        <w:rPr>
          <w:rFonts w:ascii="方正楷体_GBK" w:hAnsi="方正楷体_GBK" w:eastAsia="方正楷体_GBK" w:cs="方正楷体_GBK"/>
          <w:b/>
          <w:color w:val="000000"/>
          <w:sz w:val="32"/>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年此项目无数据。</w:t>
      </w:r>
    </w:p>
    <w:p>
      <w:pPr>
        <w:pStyle w:val="28"/>
        <w:numPr>
          <w:ilvl w:val="0"/>
          <w:numId w:val="1"/>
        </w:numPr>
        <w:spacing w:before="0" w:after="0" w:line="240" w:lineRule="auto"/>
        <w:ind w:left="0" w:leftChars="0" w:firstLine="640" w:firstLineChars="0"/>
        <w:jc w:val="left"/>
        <w:outlineLvl w:val="9"/>
        <w:rPr>
          <w:rFonts w:ascii="方正楷体_GBK" w:hAnsi="方正楷体_GBK" w:eastAsia="方正楷体_GBK" w:cs="方正楷体_GBK"/>
          <w:b w:val="0"/>
          <w:bCs/>
          <w:color w:val="000000"/>
          <w:sz w:val="32"/>
        </w:rPr>
      </w:pPr>
      <w:r>
        <w:rPr>
          <w:rFonts w:ascii="方正楷体_GBK" w:hAnsi="方正楷体_GBK" w:eastAsia="方正楷体_GBK" w:cs="方正楷体_GBK"/>
          <w:b w:val="0"/>
          <w:bCs/>
          <w:color w:val="000000"/>
          <w:sz w:val="32"/>
        </w:rPr>
        <w:t xml:space="preserve"> 预算项目绩效目标</w:t>
      </w:r>
    </w:p>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2880" w:firstLineChars="900"/>
        <w:jc w:val="both"/>
        <w:outlineLvl w:val="0"/>
        <w:rPr>
          <w:rFonts w:hint="eastAsia" w:ascii="仿宋_GB2312" w:eastAsia="仿宋_GB2312"/>
          <w:sz w:val="32"/>
          <w:szCs w:val="32"/>
        </w:rPr>
      </w:pPr>
      <w:r>
        <w:rPr>
          <w:rFonts w:hint="eastAsia" w:ascii="仿宋_GB2312" w:eastAsia="仿宋_GB2312"/>
          <w:sz w:val="32"/>
          <w:szCs w:val="32"/>
        </w:rPr>
        <w:t>1、纪检专项经费绩效目标表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确保纪检工作按时有序完成</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经费金额</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下发纪检经费金额</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7</w:t>
            </w:r>
            <w:r>
              <w:rPr>
                <w:rFonts w:hint="eastAsia" w:ascii="方正书宋_GBK" w:eastAsia="方正书宋_GBK"/>
              </w:rPr>
              <w:t>万元</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经费支出率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实际支出占总金额的百分比</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实际到位资金占应到位资金的比例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社会稳定水平</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长期性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纪检工作长期稳定开展</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保障事业发展</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保障各项工作正常运转</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保障了机关正常运转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服务对象满意度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spacing w:line="14" w:lineRule="exact"/>
        <w:ind w:firstLine="480" w:firstLineChars="200"/>
        <w:jc w:val="center"/>
        <w:rPr>
          <w:rFonts w:hAnsi="宋体"/>
        </w:rPr>
      </w:pPr>
      <w:r>
        <w:rPr>
          <w:rFonts w:ascii="方正书宋_GBK" w:eastAsia="方正书宋_GBK"/>
        </w:rPr>
        <w:t xml:space="preserve"> </w:t>
      </w:r>
    </w:p>
    <w:p>
      <w:pPr>
        <w:adjustRightInd w:val="0"/>
        <w:snapToGrid w:val="0"/>
        <w:spacing w:line="560" w:lineRule="exact"/>
        <w:ind w:firstLine="640" w:firstLineChars="200"/>
        <w:jc w:val="center"/>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、环境治理（发展基数）绩效目标表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全力做好环境保护工作，打赢蓝天保卫战</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租车数量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实际租车数量</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w:t>
            </w:r>
            <w:r>
              <w:rPr>
                <w:rFonts w:hint="eastAsia" w:ascii="方正书宋_GBK" w:eastAsia="方正书宋_GBK"/>
              </w:rPr>
              <w:t>辆</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租车登记表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资金发放按规定执行率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镇会议纪要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实际到位资金占应到位资金的比例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资金发放完成率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有效维护社会稳定</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长期性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能够长期较好地打赢蓝天保卫战</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社会公众或服务对象满意度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center"/>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、财政所劳务派遣人员费用（劳务费）绩效目标表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确保每月财政所人员工资保险及时拨付</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劳务派遣人员数量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聘用的劳务派遣人数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6</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工资发放及时率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工资发放的及时程度</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成本指标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劳务派遣人员月最低工资标准</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执行的劳务派遣人员月工资标准</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2800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工资消费贡献率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工资收入的消费能力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安排就业人数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解决就业人数，缓解就业压力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ascii="方正书宋_GBK" w:eastAsia="方正书宋_GBK"/>
              </w:rPr>
              <w:t>6</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保障事业发展</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保障各项工作正常运转</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保障了机关正常运转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劳务派遣人员满意度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劳务派遣人员对工资待遇的满意度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center"/>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、服务群众专项经费—非两委报账员补助绩效目标表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保障报账员补助的按时发放，调动工作积极性，促进工作有效开展</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报账员数量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村级非两委报账员人数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≤58人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补助资金金额到位率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实际到位资金占年计划到位资金的比例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到位资金表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补助资金及时发放</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补助资金到位及时发放</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7</w:t>
            </w:r>
            <w:r>
              <w:rPr>
                <w:rFonts w:hint="eastAsia" w:ascii="方正书宋_GBK" w:eastAsia="方正书宋_GBK"/>
              </w:rPr>
              <w:t>天</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工资消费贡献率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工资收入的消费能力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提供就业岗位</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提供就业岗位，缓解就业压力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保障工作需要情况</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报账员的安排保障工作需要提升情况</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日常工作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村非两委报账员对补助的满意程度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bl>
    <w:p>
      <w:pPr>
        <w:adjustRightInd w:val="0"/>
        <w:snapToGrid w:val="0"/>
        <w:spacing w:line="560" w:lineRule="exact"/>
        <w:ind w:firstLine="640" w:firstLineChars="200"/>
        <w:jc w:val="center"/>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、计生专干补助绩效目标表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保障计生专干补助的按时发放，做好计生政策宣传，家庭发展工作。</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计生专干人数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48人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年龄条件</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计生专干年龄限制</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55</w:t>
            </w:r>
            <w:r>
              <w:rPr>
                <w:rFonts w:hint="eastAsia" w:ascii="方正书宋_GBK" w:eastAsia="方正书宋_GBK"/>
              </w:rPr>
              <w:t>岁</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新文件规定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工作纪律</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按照排班表坐班</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12</w:t>
            </w:r>
            <w:r>
              <w:rPr>
                <w:rFonts w:hint="eastAsia" w:ascii="方正书宋_GBK" w:eastAsia="方正书宋_GBK"/>
              </w:rPr>
              <w:t>次</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村坐班记录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追踪随访</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开展追踪上户走访</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工作日志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生态效益指标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工资消费贡献率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工资收入的消费能力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保障事业发展</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保障各项工作正常运转</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保障工作正常运转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工作日志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群众满意数量占总数的比例。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、招商经费（发展基数）绩效目标表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全力做好项目引进落地服务工作，实现招商引资工作实现新提升、新突破、新发展</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签约数量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项目落地签约数量</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签约意向书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签约意向书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招商任务完成情况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洽谈成功时效性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项目签约时间</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w:t>
            </w:r>
            <w:r>
              <w:rPr>
                <w:rFonts w:hint="eastAsia" w:ascii="方正书宋_GBK" w:eastAsia="方正书宋_GBK"/>
              </w:rPr>
              <w:t>天</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引进资金计划数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引进资金计划数</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1000</w:t>
            </w:r>
            <w:r>
              <w:rPr>
                <w:rFonts w:hint="eastAsia" w:ascii="方正书宋_GBK" w:eastAsia="方正书宋_GBK"/>
              </w:rPr>
              <w:t>万</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拜访企业或企业来我区考察</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拜访知名企业或知名企业</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3</w:t>
            </w:r>
            <w:r>
              <w:rPr>
                <w:rFonts w:hint="eastAsia" w:ascii="方正书宋_GBK" w:eastAsia="方正书宋_GBK"/>
              </w:rPr>
              <w:t>家</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招待企业数或者拜访企业数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客商来我区或拜访客商</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客商来我区或拜访客商人数</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ascii="方正书宋_GBK" w:eastAsia="方正书宋_GBK"/>
              </w:rPr>
              <w:t>&gt;5</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招待人数或拜访人数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社会公众或服务对象满意度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、村级组织运转经费（办公费）绩效目标表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保障村级事务按时有效的开展，提高村干部投入工作的积极性，加强村级治理</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发放村办公费数量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实际发放村办公费村数量</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62</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办公费标准</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按村人口数测算</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8000元/村-12000元/村</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国家政策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实际到位资金占应到位资金的比例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乡村振兴</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改善村办公条件</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村级治理能力</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村级治理规范有序，基层治理能力不断提高</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长期性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村干部队伍稳定，乡村振兴战略持续发展</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保障了机关正常运转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群众的整体满意度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、乡镇财政办公经费绩效目标表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确保财政工作按时有序完成</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经费金额</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下发财政经费金额</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8</w:t>
            </w:r>
            <w:r>
              <w:rPr>
                <w:rFonts w:hint="eastAsia" w:ascii="方正书宋_GBK" w:eastAsia="方正书宋_GBK"/>
              </w:rPr>
              <w:t>万元</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经费支出率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实际支出占总金额的百分比</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明细账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实际到位资金占应到位资金的比例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社会稳定水平</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长期性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财政工作长期稳定开展</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保障事业发展</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保障各项工作正常运转</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保障了机关正常运转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服务对象满意度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、年终一次性优待金（区级）绩效目标表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年终一次性优待金按时足额发放</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年终一次性优待金发放人数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40</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年终一次性优待金标准按规定执行率</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拨付率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年终一次性优待金资金及时拨付率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生活情况</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优抚对象生活情况</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有效改善</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促进社会稳定水平逐步提高</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补贴发放率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年终一次性优待金发放完成率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优抚对象对抚恤金满意度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、敬老院劳务派遣人员费用（劳务费）绩效目标表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确保每月敬老院人员工资保险及时拨付</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劳务派遣人员数量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聘用的劳务派遣人数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14</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工资发放及时率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工资发放的及时程度</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成本指标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劳务派遣人员月最低工资标准</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执行的劳务派遣人员月工资标准</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1900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工资消费贡献率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工资收入的消费能力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安排就业人数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解决就业人数，缓解就业压力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ascii="方正书宋_GBK" w:eastAsia="方正书宋_GBK"/>
              </w:rPr>
              <w:t>14</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保障事业发展</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保障各项工作正常运转</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保障了机关正常运转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劳务派遣人员满意度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劳务派遣人员对工资待遇的满意度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center"/>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1、六级以上伤残军人医疗补助（区级）绩效目标表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对伤残军人住院河药费进行补助</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符合报销药费人数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9</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优抚药费按规定执行率</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拨付率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优抚药费资金拨付率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生活情况</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优抚对象生活情况</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有效改善</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社会稳定水平提高</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补贴发放率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优抚药费发放率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优抚对象对抚恤金满意度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、卫生清理（发展基数）绩效目标表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全力做好卫生环境清理工作</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卫生清理完成率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实际清理卫生完成量占全年任务的比例</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资金发放按规定执行率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镇会议纪要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实际到位资金占应到位资金的比例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资金发放完成率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有效维护社会稳定</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长期性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能够长期较好地保障公共场所干净、整洁，带到民众期望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社会公众或服务对象满意度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、就业见习基本生活费补贴绩效目标表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确保就业见习生工资保险及时拨付</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见习生人员数量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聘用的见习生人数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18</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工资发放及时率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工资发放的及时程度</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成本指标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最低工资标准</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执行的见习生人员月工资标准</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ascii="方正书宋_GBK" w:eastAsia="方正书宋_GBK"/>
              </w:rPr>
              <w:t>1900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见习生合同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工资消费贡献率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工资收入的消费能力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安排就业人数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解决就业人数，缓解就业压力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ascii="方正书宋_GBK" w:eastAsia="方正书宋_GBK"/>
              </w:rPr>
              <w:t>18</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保障事业发展</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保障各项工作正常运转</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保障了机关正常运转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见习生人员满意度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见习生人员对工资待遇的满意度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、退役军人公益性岗位安置费用绩效目标表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公益性岗位人员完成本职工作后，按合同规定，每月及时为其支付工资和缴纳各种保险</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公益岗人员数量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安置的公益岗人数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22</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工资发放准确率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工资发放准确程度</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1900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工资发放及时率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工资发放的及时程度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工资消费贡献率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工资收入的消费能力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安排就业人数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解决就业人数，缓解就业压力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ascii="方正书宋_GBK" w:eastAsia="方正书宋_GBK"/>
              </w:rPr>
              <w:t>22</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基本生活保障情况</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为退役军人提供基本生活保障的情况</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保障了机关正常运转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安置的公益岗人员满意度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公益岗人员对工资待遇的满意度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、扬水站维修、防汛（发展基数）绩效目标表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进一步加强水利设施建设，提高防洪抗灾能力，确保人民群众财产安全</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维修完成率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实际维修排扬水站数量占全部扬水站数量的比例</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年计划表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资金发放按规定执行率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镇会议纪要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实际到位资金占应到位资金的比例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提升汛期防护功能</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有效提升汛期防汛功能</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有效改善</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有效维护社会稳定</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长期性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能够长期较好地满足人民的需求</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社会公众或服务对象满意度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、企业补助经费（发展基数）绩效目标表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全力做好企业补助事项，维护社会稳定</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补助企业数量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补助企业数量</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1</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镇会议纪要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发放按规定执行率</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镇会议纪要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实际到位资金占应到位资金的比例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补助资金发放完成率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有效维护社会稳定</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生活情况</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支领人生活情况</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有效改善</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社会公众或服务对象满意度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、农村籍退役士兵老年生活补助（区级）绩效目标表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农村籍退役士兵老年生活补助按时足额发放</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农村籍退役士兵老年生活补助发放人数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480</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农村籍退役士兵老年生活补助标准按规定执行率</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拨付率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农村籍退役士兵老年生活补助资金及时拨付率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生活情况</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优抚对象生活情况</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有效改善</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促进社会稳定水平逐步提高</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补贴发放率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农村籍退役士兵老年生活补助发放完成率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优抚对象对抚恤金满意度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、服务群众专项经费-村级环境卫生治理资金绩效目标表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全力做好卫生环境清理工作</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卫生保洁的村数量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卫生保洁的村数量</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62</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资金发放按规定执行率</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镇会议纪要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实际到位资金占应到位资金的比例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资金发放完成率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有效维护社会稳定</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长期性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能够长期较好地保障公共场所干净、整洁，带到民众期望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社会公众或服务对象满意度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9</w:t>
      </w:r>
      <w:r>
        <w:rPr>
          <w:rFonts w:hint="eastAsia" w:ascii="仿宋_GB2312" w:eastAsia="仿宋_GB2312"/>
          <w:sz w:val="32"/>
          <w:szCs w:val="32"/>
        </w:rPr>
        <w:t>、义务工役制人员及遗属补助绩效目标表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确保每月义务工役制人员及遗属补助及时拨付</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实际发放补助人数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23</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补助发放表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扶助资金到位率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实际到位扶助资金占应到位资金的比例</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补助发放及时率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补助发放的及时程度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补助发放情况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工资消费贡献率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工资收入的消费能力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通过对义务公益制人员及遗属生活补助的发放促进社会稳定水平逐步提高</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生活水平提高</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通过补助的发放使义务工役制人员及遗属生活水平有所提高</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义务工役制人员及遗属人员对补助发放的满意程度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、支持村级党建（发展基数）绩效目标表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全力做好村党支部标准化建设</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基层建设村数量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基层建设村数量</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资金发放按规定执行率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镇会议纪要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实际到位资金占应到位资金的比例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资金发放完成率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有效维护社会稳定</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长期性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能够长期较好地满足人民对生活的需求</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社会公众或服务对象满意度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1、优抚对象医疗补助（区级）绩效目标表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优抚对象医疗补助按时足额发放</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优抚对象医疗补助发放人数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162</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优抚对象医疗补助标准按规定执行率</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拨付率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优抚对象医疗补助资金及时拨付率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生活情况</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优抚对象生活情况</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有效改善</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促进社会稳定水平逐步提高</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补贴发放率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优抚对象医疗补助发放完成率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优抚对象对抚恤金满意度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560" w:firstLineChars="800"/>
        <w:jc w:val="left"/>
        <w:outlineLvl w:val="0"/>
        <w:rPr>
          <w:rFonts w:hint="eastAsia" w:ascii="仿宋_GB2312" w:eastAsia="仿宋_GB2312"/>
          <w:sz w:val="32"/>
          <w:szCs w:val="32"/>
        </w:rPr>
      </w:pPr>
      <w:r>
        <w:rPr>
          <w:rFonts w:hint="eastAsia" w:ascii="仿宋_GB2312" w:eastAsia="仿宋_GB2312"/>
          <w:sz w:val="32"/>
          <w:szCs w:val="32"/>
          <w:lang w:val="en-US" w:eastAsia="zh-CN"/>
        </w:rPr>
        <w:t>22</w:t>
      </w:r>
      <w:r>
        <w:rPr>
          <w:rFonts w:hint="eastAsia" w:ascii="仿宋_GB2312" w:eastAsia="仿宋_GB2312"/>
          <w:sz w:val="32"/>
          <w:szCs w:val="32"/>
        </w:rPr>
        <w:t>、死亡抚恤（区级）绩效目标表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死亡抚恤按时足额发放</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死亡抚恤发放人数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43</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执行率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死亡抚恤标准按规定执行率</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拨付率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死亡抚恤资金及时拨付率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生活情况</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优抚对象生活情况</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有效改善</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社会稳定水平</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促进社会稳定水平逐步提高</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补贴发放率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死亡抚恤发放完成率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发放进度台账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优抚对象对抚恤金满意度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23</w:t>
      </w:r>
      <w:r>
        <w:rPr>
          <w:rFonts w:hint="eastAsia" w:ascii="仿宋_GB2312" w:eastAsia="仿宋_GB2312"/>
          <w:sz w:val="32"/>
          <w:szCs w:val="32"/>
        </w:rPr>
        <w:t>、维稳经费（发展基数）绩效目标表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积极宣传党的政策及相关法律，切实做好涉访人员稳控工作，把问题解决在基层，做到群众满意。避免出现群体访、越级访、进京非访事件的发生。</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宣传次数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开展依法信访宣传次数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信访问题解决时限</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解决上访人反映问题的时限</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w:t>
            </w:r>
            <w:r>
              <w:rPr>
                <w:rFonts w:hint="eastAsia" w:ascii="方正书宋_GBK" w:eastAsia="方正书宋_GBK"/>
              </w:rPr>
              <w:t>天</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成本指标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解决问题的成本</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信访费用总支出</w:t>
            </w:r>
            <w:r>
              <w:rPr>
                <w:rFonts w:ascii="方正书宋_GBK" w:eastAsia="方正书宋_GBK"/>
              </w:rPr>
              <w:t>/</w:t>
            </w:r>
            <w:r>
              <w:rPr>
                <w:rFonts w:hint="eastAsia" w:ascii="方正书宋_GBK" w:eastAsia="方正书宋_GBK"/>
              </w:rPr>
              <w:t>信访总人数</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基层化解矛盾比率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将矛盾化解在基层的比率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80%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社会稳定天数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通过维稳工作，社会稳定天数增加</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260</w:t>
            </w:r>
            <w:r>
              <w:rPr>
                <w:rFonts w:hint="eastAsia" w:ascii="方正书宋_GBK" w:eastAsia="方正书宋_GBK"/>
              </w:rPr>
              <w:t>天</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信访案件减少率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（今年信访案件数</w:t>
            </w:r>
            <w:r>
              <w:rPr>
                <w:rFonts w:ascii="方正书宋_GBK" w:eastAsia="方正书宋_GBK"/>
              </w:rPr>
              <w:t>-</w:t>
            </w:r>
            <w:r>
              <w:rPr>
                <w:rFonts w:hint="eastAsia" w:ascii="方正书宋_GBK" w:eastAsia="方正书宋_GBK"/>
              </w:rPr>
              <w:t>上年信访件数）</w:t>
            </w:r>
            <w:r>
              <w:rPr>
                <w:rFonts w:ascii="方正书宋_GBK" w:eastAsia="方正书宋_GBK"/>
              </w:rPr>
              <w:t>/</w:t>
            </w:r>
            <w:r>
              <w:rPr>
                <w:rFonts w:hint="eastAsia" w:ascii="方正书宋_GBK" w:eastAsia="方正书宋_GBK"/>
              </w:rPr>
              <w:t>上年信访件数</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社会公众或服务对象满意度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24</w:t>
      </w:r>
      <w:r>
        <w:rPr>
          <w:rFonts w:hint="eastAsia" w:ascii="仿宋_GB2312" w:eastAsia="仿宋_GB2312"/>
          <w:sz w:val="32"/>
          <w:szCs w:val="32"/>
        </w:rPr>
        <w:t>、镇政府劳务派遣人员经费（发展基数）绩效目标表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确保每月劳务派遣人员工资保险及时拨付</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劳务派遣人员数量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聘用的劳务派遣人数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19</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工资发放及时率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工资发放的及时程度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成本指标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劳务派遣人员月最低工资标准</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执行的劳务派遣人员月工资标准</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1900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工资消费贡献率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工资收入的消费能力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安排就业人数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解决就业人数，缓解就业压力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ascii="方正书宋_GBK" w:eastAsia="方正书宋_GBK"/>
              </w:rPr>
              <w:t>19</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保障事业发展</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保障各项工作正常运转</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保障了机关正常运转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劳务派遣人员满意度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劳务派遣人员对工资待遇的满意度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25</w:t>
      </w:r>
      <w:r>
        <w:rPr>
          <w:rFonts w:hint="eastAsia" w:ascii="仿宋_GB2312" w:eastAsia="仿宋_GB2312"/>
          <w:sz w:val="32"/>
          <w:szCs w:val="32"/>
        </w:rPr>
        <w:t>、精简退职职工救济金绩效目标表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救济金足额保障，及时拨付，救济对象生活得到保障</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救济人数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7</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救济费足额兑现率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救济费占应对付额的比率</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资金到位率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实际到位资金占应到位资金的比例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银行进账单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社会稳定</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通过</w:t>
            </w:r>
            <w:r>
              <w:rPr>
                <w:rFonts w:ascii="方正书宋_GBK" w:eastAsia="方正书宋_GBK"/>
              </w:rPr>
              <w:t>40%</w:t>
            </w:r>
            <w:r>
              <w:rPr>
                <w:rFonts w:hint="eastAsia" w:ascii="方正书宋_GBK" w:eastAsia="方正书宋_GBK"/>
              </w:rPr>
              <w:t>救济的发放有效维护社会稳定</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显著提高</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生活情况</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提高</w:t>
            </w:r>
            <w:r>
              <w:rPr>
                <w:rFonts w:ascii="方正书宋_GBK" w:eastAsia="方正书宋_GBK"/>
              </w:rPr>
              <w:t>40%</w:t>
            </w:r>
            <w:r>
              <w:rPr>
                <w:rFonts w:hint="eastAsia" w:ascii="方正书宋_GBK" w:eastAsia="方正书宋_GBK"/>
              </w:rPr>
              <w:t>人员的生活水平</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满足基本生活</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长期性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能够长期有效的保障</w:t>
            </w:r>
            <w:r>
              <w:rPr>
                <w:rFonts w:ascii="方正书宋_GBK" w:eastAsia="方正书宋_GBK"/>
              </w:rPr>
              <w:t>40%</w:t>
            </w:r>
            <w:r>
              <w:rPr>
                <w:rFonts w:hint="eastAsia" w:ascii="方正书宋_GBK" w:eastAsia="方正书宋_GBK"/>
              </w:rPr>
              <w:t>救济人员补助的发放</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按月足额发放</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国家政策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接受救济对象满意度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接受救济对象满意度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26</w:t>
      </w:r>
      <w:r>
        <w:rPr>
          <w:rFonts w:hint="eastAsia" w:ascii="仿宋_GB2312" w:eastAsia="仿宋_GB2312"/>
          <w:sz w:val="32"/>
          <w:szCs w:val="32"/>
        </w:rPr>
        <w:t>、劳务派遣人员费用（劳务费）绩效目标表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确保每月劳动保障协理员、禁毒员、经联社人员工资保险及时拨付</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劳务派遣人员数量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聘用的劳务派遣人数</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6</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工资发放及时率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工资发放的及时程度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成本指标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劳务派遣人员月最低工资标准</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执行的劳务派遣人员月工资标准</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1900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经济效益指标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工资消费贡献率</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工资收入的消费能力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安排就业人数</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解决就业人数，缓解就业压力</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ascii="方正书宋_GBK" w:eastAsia="方正书宋_GBK"/>
              </w:rPr>
              <w:t>6</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保障事业发展</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保障各项工作正常运转</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保障了机关正常运转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劳务派遣人员满意度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劳务派遣人员对工资待遇的满意度</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调查问卷</w:t>
            </w:r>
          </w:p>
        </w:tc>
      </w:tr>
    </w:tbl>
    <w:p>
      <w:pPr>
        <w:adjustRightInd w:val="0"/>
        <w:snapToGrid w:val="0"/>
        <w:spacing w:line="560" w:lineRule="exact"/>
        <w:ind w:firstLine="640" w:firstLineChars="200"/>
        <w:jc w:val="left"/>
        <w:outlineLvl w:val="0"/>
        <w:rPr>
          <w:rFonts w:hint="eastAsia" w:ascii="仿宋_GB2312" w:eastAsia="仿宋_GB2312"/>
          <w:sz w:val="32"/>
          <w:szCs w:val="32"/>
          <w:lang w:val="en-US" w:eastAsia="zh-CN"/>
        </w:rPr>
      </w:pPr>
    </w:p>
    <w:p>
      <w:pPr>
        <w:adjustRightInd w:val="0"/>
        <w:snapToGrid w:val="0"/>
        <w:spacing w:line="560" w:lineRule="exact"/>
        <w:ind w:firstLine="2880" w:firstLineChars="900"/>
        <w:jc w:val="left"/>
        <w:outlineLvl w:val="0"/>
        <w:rPr>
          <w:rFonts w:hint="eastAsia" w:ascii="仿宋_GB2312" w:eastAsia="仿宋_GB2312"/>
          <w:sz w:val="32"/>
          <w:szCs w:val="32"/>
        </w:rPr>
      </w:pPr>
      <w:r>
        <w:rPr>
          <w:rFonts w:hint="eastAsia" w:ascii="仿宋_GB2312" w:eastAsia="仿宋_GB2312"/>
          <w:sz w:val="32"/>
          <w:szCs w:val="32"/>
          <w:lang w:val="en-US" w:eastAsia="zh-CN"/>
        </w:rPr>
        <w:t>27</w:t>
      </w:r>
      <w:r>
        <w:rPr>
          <w:rFonts w:hint="eastAsia" w:ascii="仿宋_GB2312" w:eastAsia="仿宋_GB2312"/>
          <w:sz w:val="32"/>
          <w:szCs w:val="32"/>
        </w:rPr>
        <w:t>、空气热源泵节能项目（发展基数）绩效目标表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8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335"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077"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空气热源泵能有效达到高效节能，绿色环保，保障机关取暖的正常运行</w:t>
            </w:r>
          </w:p>
        </w:tc>
      </w:tr>
    </w:tbl>
    <w:p>
      <w:pPr>
        <w:spacing w:line="14" w:lineRule="exact"/>
        <w:ind w:firstLine="48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107"/>
        <w:gridCol w:w="1102"/>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4" w:hRule="atLeast"/>
          <w:tblHeader/>
          <w:jc w:val="center"/>
        </w:trPr>
        <w:tc>
          <w:tcPr>
            <w:tcW w:w="1335"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07"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102"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07"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数量指标</w:t>
            </w:r>
          </w:p>
        </w:tc>
        <w:tc>
          <w:tcPr>
            <w:tcW w:w="1102"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安装数量</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空气热源泵购置数量</w:t>
            </w:r>
          </w:p>
        </w:tc>
        <w:tc>
          <w:tcPr>
            <w:tcW w:w="1276" w:type="dxa"/>
            <w:noWrap w:val="0"/>
            <w:vAlign w:val="center"/>
          </w:tcPr>
          <w:p>
            <w:pPr>
              <w:spacing w:line="300" w:lineRule="exact"/>
              <w:jc w:val="left"/>
              <w:rPr>
                <w:rFonts w:ascii="方正书宋_GBK" w:eastAsia="方正书宋_GBK"/>
                <w:kern w:val="2"/>
                <w:sz w:val="21"/>
                <w:lang w:val="en-US" w:eastAsia="zh-CN" w:bidi="ar-SA"/>
              </w:rPr>
            </w:pPr>
            <w:r>
              <w:rPr>
                <w:rFonts w:ascii="方正书宋_GBK" w:eastAsia="方正书宋_GBK"/>
              </w:rPr>
              <w:t>5</w:t>
            </w:r>
            <w:r>
              <w:rPr>
                <w:rFonts w:hint="eastAsia" w:ascii="方正书宋_GBK" w:eastAsia="方正书宋_GBK"/>
              </w:rPr>
              <w:t>组</w:t>
            </w:r>
          </w:p>
        </w:tc>
        <w:tc>
          <w:tcPr>
            <w:tcW w:w="170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质量指标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完成时间</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按照合同规定，完成时间</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ascii="方正书宋_GBK" w:eastAsia="方正书宋_GBK"/>
              </w:rPr>
              <w:t>2019</w:t>
            </w:r>
            <w:r>
              <w:rPr>
                <w:rFonts w:hint="eastAsia" w:ascii="方正书宋_GBK" w:eastAsia="方正书宋_GBK"/>
              </w:rPr>
              <w:t>年</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时效指标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资金拨付</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分三年付清工程款</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ascii="方正书宋_GBK" w:eastAsia="方正书宋_GBK"/>
              </w:rPr>
              <w:t>3</w:t>
            </w:r>
            <w:r>
              <w:rPr>
                <w:rFonts w:hint="eastAsia" w:ascii="方正书宋_GBK" w:eastAsia="方正书宋_GBK"/>
              </w:rPr>
              <w:t>年</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社会效益指标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达到绿色产业标准</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不烧煤，不对生态环境产生坏的影响，属于绿色生态产业。</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环保</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说明书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生态效益指标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节能高效</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吸收免费低温热源，耗电量低</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保障了机关正常运转</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说明书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vMerge w:val="continue"/>
            <w:noWrap w:val="0"/>
            <w:vAlign w:val="center"/>
          </w:tcPr>
          <w:p>
            <w:pPr>
              <w:spacing w:line="300" w:lineRule="exact"/>
              <w:jc w:val="center"/>
              <w:rPr>
                <w:rFonts w:hint="eastAsia" w:ascii="方正书宋_GBK" w:eastAsia="方正书宋_GBK"/>
              </w:rPr>
            </w:pP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可持续影响指标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长期使用性</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能够长久耐用，较好地满足镇机关供暖的需求。</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20</w:t>
            </w:r>
            <w:r>
              <w:rPr>
                <w:rFonts w:hint="eastAsia" w:ascii="方正书宋_GBK" w:eastAsia="方正书宋_GBK"/>
              </w:rPr>
              <w:t>年</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说明书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335"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07"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服务对象满意度指标</w:t>
            </w:r>
          </w:p>
        </w:tc>
        <w:tc>
          <w:tcPr>
            <w:tcW w:w="1102"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满意度</w:t>
            </w:r>
          </w:p>
        </w:tc>
        <w:tc>
          <w:tcPr>
            <w:tcW w:w="2891" w:type="dxa"/>
            <w:noWrap w:val="0"/>
            <w:vAlign w:val="center"/>
          </w:tcPr>
          <w:p>
            <w:pPr>
              <w:spacing w:line="300" w:lineRule="exact"/>
              <w:jc w:val="left"/>
              <w:rPr>
                <w:rFonts w:ascii="方正书宋_GBK" w:eastAsia="方正书宋_GBK"/>
                <w:kern w:val="2"/>
                <w:sz w:val="21"/>
                <w:lang w:val="en-US" w:eastAsia="zh-CN" w:bidi="ar-SA"/>
              </w:rPr>
            </w:pPr>
            <w:r>
              <w:rPr>
                <w:rFonts w:hint="eastAsia" w:ascii="方正书宋_GBK" w:eastAsia="方正书宋_GBK"/>
              </w:rPr>
              <w:t>机关干部满意数量占总数的比例。</w:t>
            </w:r>
          </w:p>
        </w:tc>
        <w:tc>
          <w:tcPr>
            <w:tcW w:w="1276"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kern w:val="2"/>
                <w:sz w:val="21"/>
                <w:lang w:val="en-US" w:eastAsia="zh-CN" w:bidi="ar-SA"/>
              </w:rPr>
            </w:pPr>
            <w:r>
              <w:rPr>
                <w:rFonts w:hint="eastAsia" w:ascii="方正书宋_GBK" w:eastAsia="方正书宋_GBK"/>
              </w:rPr>
              <w:t>问卷调查</w:t>
            </w:r>
          </w:p>
        </w:tc>
      </w:tr>
    </w:tbl>
    <w:p>
      <w:pPr>
        <w:numPr>
          <w:ilvl w:val="0"/>
          <w:numId w:val="0"/>
        </w:numPr>
        <w:spacing w:before="10" w:after="10" w:line="240" w:lineRule="auto"/>
        <w:jc w:val="left"/>
        <w:outlineLvl w:val="5"/>
        <w:rPr>
          <w:rFonts w:hint="eastAsia" w:ascii="黑体" w:hAnsi="黑体" w:eastAsia="黑体" w:cs="黑体"/>
          <w:color w:val="000000"/>
          <w:sz w:val="32"/>
          <w:lang w:val="en-US" w:eastAsia="zh-CN"/>
        </w:rPr>
        <w:sectPr>
          <w:pgSz w:w="16840" w:h="11900" w:orient="landscape"/>
          <w:pgMar w:top="1361" w:right="1020" w:bottom="1134" w:left="1020" w:header="720" w:footer="720" w:gutter="0"/>
        </w:sectPr>
      </w:pPr>
    </w:p>
    <w:p>
      <w:pPr>
        <w:numPr>
          <w:ilvl w:val="0"/>
          <w:numId w:val="0"/>
        </w:numPr>
        <w:spacing w:before="10" w:after="10" w:line="240" w:lineRule="auto"/>
        <w:jc w:val="left"/>
        <w:outlineLvl w:val="5"/>
        <w:rPr>
          <w:rFonts w:hint="eastAsia" w:ascii="黑体" w:hAnsi="黑体" w:eastAsia="黑体" w:cs="黑体"/>
          <w:color w:val="000000"/>
          <w:sz w:val="32"/>
          <w:lang w:val="en-US" w:eastAsia="zh-CN"/>
        </w:rPr>
        <w:sectPr>
          <w:type w:val="continuous"/>
          <w:pgSz w:w="16840" w:h="11900" w:orient="landscape"/>
          <w:pgMar w:top="1361" w:right="1020" w:bottom="1134" w:left="1020" w:header="720" w:footer="720" w:gutter="0"/>
        </w:sect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val="en-US" w:eastAsia="zh-CN"/>
        </w:r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val="en-US" w:eastAsia="zh-CN"/>
        </w:r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val="en-US" w:eastAsia="zh-CN"/>
        </w:rPr>
      </w:pP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val="en-US" w:eastAsia="zh-CN"/>
        </w:rPr>
      </w:pPr>
    </w:p>
    <w:p>
      <w:pPr>
        <w:numPr>
          <w:ilvl w:val="0"/>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六、</w:t>
      </w:r>
      <w:r>
        <w:rPr>
          <w:rFonts w:ascii="黑体" w:hAnsi="黑体" w:eastAsia="黑体" w:cs="黑体"/>
          <w:color w:val="000000"/>
          <w:sz w:val="32"/>
        </w:rPr>
        <w:t>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年，唐山市丰南区大新庄镇人民政府</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551</w:t>
            </w:r>
            <w:r>
              <w:rPr>
                <w:rFonts w:hint="eastAsia"/>
                <w:lang w:val="en-US" w:eastAsia="zh-CN"/>
              </w:rPr>
              <w:t>001</w:t>
            </w:r>
            <w:r>
              <w:t>唐山市丰南区大新庄镇人民政府</w:t>
            </w:r>
            <w:r>
              <w:rPr>
                <w:rFonts w:hint="eastAsia"/>
                <w:lang w:val="en-US" w:eastAsia="zh-CN"/>
              </w:rPr>
              <w:t>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唐山市丰南区大新庄镇人民政府</w:t>
      </w:r>
      <w:r>
        <w:rPr>
          <w:rFonts w:hint="eastAsia" w:eastAsia="方正仿宋_GBK" w:cs="Times New Roman"/>
          <w:b w:val="0"/>
          <w:color w:val="auto"/>
          <w:sz w:val="28"/>
          <w:highlight w:val="none"/>
          <w:lang w:val="en-US" w:eastAsia="zh-CN"/>
        </w:rPr>
        <w:t>本级</w:t>
      </w:r>
      <w:r>
        <w:rPr>
          <w:rFonts w:ascii="Times New Roman" w:hAnsi="Times New Roman" w:eastAsia="方正仿宋_GBK" w:cs="Times New Roman"/>
          <w:b w:val="0"/>
          <w:color w:val="auto"/>
          <w:sz w:val="28"/>
          <w:highlight w:val="none"/>
        </w:rPr>
        <w:t>上年末固定资产金额为</w:t>
      </w:r>
      <w:r>
        <w:rPr>
          <w:rFonts w:hint="eastAsia" w:eastAsia="方正仿宋_GBK" w:cs="Times New Roman"/>
          <w:b w:val="0"/>
          <w:color w:val="auto"/>
          <w:sz w:val="28"/>
          <w:highlight w:val="none"/>
          <w:lang w:val="en-US" w:eastAsia="zh-CN"/>
        </w:rPr>
        <w:t>1952.75</w:t>
      </w:r>
      <w:r>
        <w:rPr>
          <w:rFonts w:ascii="Times New Roman" w:hAnsi="Times New Roman" w:eastAsia="方正仿宋_GBK" w:cs="Times New Roman"/>
          <w:b w:val="0"/>
          <w:color w:val="auto"/>
          <w:sz w:val="28"/>
          <w:highlight w:val="none"/>
        </w:rPr>
        <w:t>万元（详见下表）。本年度拟购置固定资产总额为0.00万元，已按要求列入政府采购预算，详见政府采购预算表。</w:t>
      </w:r>
    </w:p>
    <w:p>
      <w:pPr>
        <w:spacing w:before="0" w:after="0" w:line="240" w:lineRule="auto"/>
        <w:ind w:firstLine="0"/>
        <w:jc w:val="center"/>
        <w:outlineLvl w:val="9"/>
        <w:rPr>
          <w:color w:val="auto"/>
          <w:highlight w:val="none"/>
        </w:rPr>
      </w:pPr>
      <w:r>
        <w:rPr>
          <w:rFonts w:hint="eastAsia" w:ascii="方正小标宋_GBK" w:hAnsi="方正小标宋_GBK" w:eastAsia="方正小标宋_GBK" w:cs="方正小标宋_GBK"/>
          <w:color w:val="auto"/>
          <w:sz w:val="36"/>
          <w:highlight w:val="none"/>
          <w:lang w:val="en-US" w:eastAsia="zh-CN"/>
        </w:rPr>
        <w:t>单位</w:t>
      </w:r>
      <w:r>
        <w:rPr>
          <w:rFonts w:ascii="方正小标宋_GBK" w:hAnsi="方正小标宋_GBK" w:eastAsia="方正小标宋_GBK" w:cs="方正小标宋_GBK"/>
          <w:color w:val="auto"/>
          <w:sz w:val="36"/>
          <w:highlight w:val="none"/>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color w:val="auto"/>
                <w:highlight w:val="none"/>
              </w:rPr>
            </w:pPr>
            <w:r>
              <w:rPr>
                <w:color w:val="auto"/>
                <w:highlight w:val="none"/>
              </w:rPr>
              <w:t>551</w:t>
            </w:r>
            <w:r>
              <w:rPr>
                <w:rFonts w:hint="eastAsia"/>
                <w:color w:val="auto"/>
                <w:highlight w:val="none"/>
                <w:lang w:val="en-US" w:eastAsia="zh-CN"/>
              </w:rPr>
              <w:t>001</w:t>
            </w:r>
            <w:r>
              <w:rPr>
                <w:color w:val="auto"/>
                <w:highlight w:val="none"/>
              </w:rPr>
              <w:t>唐山市丰南区大新庄镇人民政府</w:t>
            </w:r>
          </w:p>
        </w:tc>
        <w:tc>
          <w:tcPr>
            <w:tcW w:w="5669" w:type="dxa"/>
            <w:gridSpan w:val="2"/>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截止时间：202</w:t>
            </w:r>
            <w:r>
              <w:rPr>
                <w:rFonts w:hint="eastAsia"/>
                <w:color w:val="auto"/>
                <w:highlight w:val="none"/>
                <w:lang w:val="en-US" w:eastAsia="zh-CN"/>
              </w:rPr>
              <w:t>0</w:t>
            </w:r>
            <w:r>
              <w:rPr>
                <w:color w:val="auto"/>
                <w:highlight w:val="none"/>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color w:val="auto"/>
                <w:highlight w:val="none"/>
              </w:rPr>
            </w:pPr>
            <w:r>
              <w:rPr>
                <w:color w:val="auto"/>
                <w:highlight w:val="none"/>
              </w:rPr>
              <w:t>项   目</w:t>
            </w:r>
          </w:p>
        </w:tc>
        <w:tc>
          <w:tcPr>
            <w:tcW w:w="2835" w:type="dxa"/>
            <w:vAlign w:val="center"/>
          </w:tcPr>
          <w:p>
            <w:pPr>
              <w:pStyle w:val="14"/>
              <w:rPr>
                <w:color w:val="auto"/>
                <w:highlight w:val="none"/>
              </w:rPr>
            </w:pPr>
            <w:r>
              <w:rPr>
                <w:color w:val="auto"/>
                <w:highlight w:val="none"/>
              </w:rPr>
              <w:t>数量</w:t>
            </w:r>
          </w:p>
        </w:tc>
        <w:tc>
          <w:tcPr>
            <w:tcW w:w="2835" w:type="dxa"/>
            <w:vAlign w:val="center"/>
          </w:tcPr>
          <w:p>
            <w:pPr>
              <w:pStyle w:val="14"/>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color w:val="auto"/>
                <w:highlight w:val="none"/>
                <w:lang w:val="en-US" w:eastAsia="zh-CN"/>
              </w:rPr>
            </w:pPr>
            <w:r>
              <w:rPr>
                <w:rFonts w:hint="eastAsia"/>
                <w:color w:val="auto"/>
                <w:highlight w:val="none"/>
                <w:lang w:val="en-US" w:eastAsia="zh-CN"/>
              </w:rPr>
              <w:t>房屋（平方米）</w:t>
            </w:r>
          </w:p>
        </w:tc>
        <w:tc>
          <w:tcPr>
            <w:tcW w:w="2835" w:type="dxa"/>
            <w:vAlign w:val="center"/>
          </w:tcPr>
          <w:p>
            <w:pPr>
              <w:pStyle w:val="17"/>
              <w:rPr>
                <w:rFonts w:hint="default" w:eastAsia="方正书宋_GBK"/>
                <w:color w:val="auto"/>
                <w:highlight w:val="none"/>
                <w:lang w:val="en-US" w:eastAsia="zh-CN"/>
              </w:rPr>
            </w:pPr>
            <w:r>
              <w:rPr>
                <w:rFonts w:hint="eastAsia"/>
                <w:color w:val="auto"/>
                <w:highlight w:val="none"/>
                <w:lang w:val="en-US" w:eastAsia="zh-CN"/>
              </w:rPr>
              <w:t>1952.75</w:t>
            </w:r>
          </w:p>
        </w:tc>
        <w:tc>
          <w:tcPr>
            <w:tcW w:w="2835"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1055.25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方正书宋_GBK"/>
                <w:color w:val="auto"/>
                <w:highlight w:val="none"/>
                <w:lang w:val="en-US" w:eastAsia="zh-CN"/>
              </w:rPr>
            </w:pPr>
            <w:r>
              <w:rPr>
                <w:rFonts w:hint="eastAsia"/>
                <w:color w:val="auto"/>
                <w:highlight w:val="none"/>
                <w:lang w:val="en-US" w:eastAsia="zh-CN"/>
              </w:rPr>
              <w:t>车辆</w:t>
            </w:r>
          </w:p>
        </w:tc>
        <w:tc>
          <w:tcPr>
            <w:tcW w:w="2835" w:type="dxa"/>
            <w:vAlign w:val="center"/>
          </w:tcPr>
          <w:p>
            <w:pPr>
              <w:pStyle w:val="17"/>
              <w:rPr>
                <w:rFonts w:hint="default" w:eastAsia="方正书宋_GBK"/>
                <w:color w:val="auto"/>
                <w:highlight w:val="none"/>
                <w:lang w:val="en-US" w:eastAsia="zh-CN"/>
              </w:rPr>
            </w:pPr>
            <w:r>
              <w:rPr>
                <w:rFonts w:hint="eastAsia"/>
                <w:color w:val="auto"/>
                <w:highlight w:val="none"/>
                <w:lang w:val="en-US" w:eastAsia="zh-CN"/>
              </w:rPr>
              <w:t>9</w:t>
            </w:r>
          </w:p>
        </w:tc>
        <w:tc>
          <w:tcPr>
            <w:tcW w:w="2835"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180.82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color w:val="auto"/>
                <w:highlight w:val="none"/>
                <w:lang w:val="en-US" w:eastAsia="zh-CN"/>
              </w:rPr>
            </w:pPr>
            <w:r>
              <w:rPr>
                <w:rFonts w:hint="eastAsia"/>
                <w:color w:val="auto"/>
                <w:highlight w:val="none"/>
                <w:lang w:val="en-US" w:eastAsia="zh-CN"/>
              </w:rPr>
              <w:t>其他固定资产</w:t>
            </w:r>
          </w:p>
        </w:tc>
        <w:tc>
          <w:tcPr>
            <w:tcW w:w="2835" w:type="dxa"/>
            <w:vAlign w:val="center"/>
          </w:tcPr>
          <w:p>
            <w:pPr>
              <w:pStyle w:val="17"/>
              <w:rPr>
                <w:rFonts w:hint="eastAsia" w:eastAsia="方正书宋_GBK"/>
                <w:color w:val="auto"/>
                <w:highlight w:val="none"/>
                <w:lang w:eastAsia="zh-CN"/>
              </w:rPr>
            </w:pPr>
            <w:r>
              <w:rPr>
                <w:rFonts w:hint="eastAsia"/>
                <w:color w:val="auto"/>
                <w:highlight w:val="none"/>
                <w:lang w:eastAsia="zh-CN"/>
              </w:rPr>
              <w:t>——</w:t>
            </w:r>
          </w:p>
        </w:tc>
        <w:tc>
          <w:tcPr>
            <w:tcW w:w="2835" w:type="dxa"/>
            <w:vAlign w:val="center"/>
          </w:tcPr>
          <w:p>
            <w:pPr>
              <w:pStyle w:val="15"/>
              <w:rPr>
                <w:rFonts w:hint="default" w:eastAsia="方正书宋_GBK"/>
                <w:color w:val="auto"/>
                <w:highlight w:val="none"/>
                <w:lang w:val="en-US" w:eastAsia="zh-CN"/>
              </w:rPr>
            </w:pPr>
            <w:r>
              <w:rPr>
                <w:rFonts w:hint="eastAsia"/>
                <w:color w:val="auto"/>
                <w:highlight w:val="none"/>
                <w:lang w:val="en-US" w:eastAsia="zh-CN"/>
              </w:rPr>
              <w:t>716.68</w:t>
            </w:r>
          </w:p>
        </w:tc>
      </w:tr>
    </w:tbl>
    <w:p>
      <w:pPr>
        <w:spacing w:before="0" w:after="0" w:line="240" w:lineRule="auto"/>
        <w:ind w:firstLine="560" w:firstLineChars="200"/>
        <w:jc w:val="left"/>
        <w:outlineLvl w:val="9"/>
        <w:rPr>
          <w:rFonts w:hint="eastAsia" w:ascii="Times New Roman" w:eastAsia="方正仿宋_GBK"/>
          <w:color w:val="auto"/>
          <w:sz w:val="28"/>
          <w:highlight w:val="none"/>
        </w:rPr>
      </w:pPr>
    </w:p>
    <w:p>
      <w:pPr>
        <w:spacing w:before="0" w:after="0"/>
        <w:ind w:firstLine="640"/>
        <w:jc w:val="left"/>
        <w:outlineLvl w:val="9"/>
        <w:rPr>
          <w:rFonts w:hint="eastAsia" w:eastAsia="方正仿宋_GBK"/>
          <w:color w:val="auto"/>
          <w:highlight w:val="none"/>
          <w:lang w:eastAsia="zh-CN"/>
        </w:rPr>
      </w:pPr>
      <w:r>
        <w:rPr>
          <w:rFonts w:hint="eastAsia" w:ascii="Times New Roman" w:eastAsia="方正仿宋_GBK"/>
          <w:color w:val="auto"/>
          <w:sz w:val="28"/>
          <w:highlight w:val="none"/>
        </w:rPr>
        <w:t>202</w:t>
      </w:r>
      <w:r>
        <w:rPr>
          <w:rFonts w:hint="eastAsia" w:eastAsia="方正仿宋_GBK"/>
          <w:color w:val="auto"/>
          <w:sz w:val="28"/>
          <w:highlight w:val="none"/>
          <w:lang w:val="en-US" w:eastAsia="zh-CN"/>
        </w:rPr>
        <w:t>1</w:t>
      </w:r>
      <w:r>
        <w:rPr>
          <w:rFonts w:hint="eastAsia" w:ascii="Times New Roman" w:eastAsia="方正仿宋_GBK"/>
          <w:color w:val="auto"/>
          <w:sz w:val="28"/>
          <w:highlight w:val="none"/>
        </w:rPr>
        <w:t>年无新增资产</w:t>
      </w:r>
      <w:r>
        <w:rPr>
          <w:rFonts w:hint="eastAsia" w:eastAsia="方正仿宋_GBK"/>
          <w:color w:val="auto"/>
          <w:sz w:val="28"/>
          <w:highlight w:val="none"/>
          <w:lang w:eastAsia="zh-CN"/>
        </w:rPr>
        <w:t>。</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auto"/>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rPr>
          <w:rFonts w:hint="eastAsia" w:ascii="Times New Roman" w:hAnsi="Times New Roman" w:eastAsia="方正仿宋_GBK" w:cs="Times New Roman"/>
          <w:b w:val="0"/>
          <w:color w:val="000000"/>
          <w:sz w:val="28"/>
          <w:lang w:val="en-US" w:eastAsia="zh-CN"/>
        </w:rPr>
        <w:sectPr>
          <w:type w:val="continuous"/>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w:t>
      </w:r>
      <w:r>
        <w:rPr>
          <w:rFonts w:hint="eastAsia" w:eastAsia="方正仿宋_GBK" w:cs="Times New Roman"/>
          <w:b w:val="0"/>
          <w:color w:val="000000"/>
          <w:sz w:val="28"/>
          <w:lang w:val="en-US" w:eastAsia="zh-CN"/>
        </w:rPr>
        <w:t>等。</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auto"/>
          <w:sz w:val="28"/>
          <w:lang w:val="en-US"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bookmarkStart w:id="1" w:name="_Toc_4_4_0000000020"/>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预算政府性基金预算财政拨款支出表，此表无数据，因本单位不涉及政府性基金，因此无数据；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rPr>
        <w:sectPr>
          <w:type w:val="continuous"/>
          <w:pgSz w:w="16840" w:h="11900" w:orient="landscape"/>
          <w:pgMar w:top="1361" w:right="1020" w:bottom="1134" w:left="1020" w:header="720" w:footer="720" w:gutter="0"/>
        </w:sectPr>
      </w:pPr>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预算国有资本经营预算财政拨款支出表，此表无数据，因本单位不涉及国有资本经营，因此无数据。</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sectPr>
          <w:type w:val="continuous"/>
          <w:pgSz w:w="16840" w:h="11900" w:orient="landscape"/>
          <w:pgMar w:top="1361" w:right="1020" w:bottom="1134" w:left="1020" w:header="720" w:footer="720" w:gutter="0"/>
        </w:sectPr>
      </w:pPr>
    </w:p>
    <w:p>
      <w:pPr>
        <w:spacing w:before="0" w:after="0"/>
        <w:ind w:firstLine="0"/>
        <w:jc w:val="center"/>
        <w:outlineLvl w:val="3"/>
      </w:pPr>
      <w:r>
        <w:rPr>
          <w:rFonts w:ascii="方正小标宋_GBK" w:hAnsi="方正小标宋_GBK" w:eastAsia="方正小标宋_GBK" w:cs="方正小标宋_GBK"/>
          <w:b w:val="0"/>
          <w:color w:val="000000"/>
          <w:sz w:val="44"/>
        </w:rPr>
        <w:t>二、唐山市丰南区公安局大新庄派出所收支预算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rFonts w:hint="default" w:eastAsia="方正书宋_GBK"/>
                <w:lang w:val="en-US" w:eastAsia="zh-CN"/>
              </w:rPr>
            </w:pPr>
            <w:r>
              <w:rPr>
                <w:rFonts w:hint="eastAsia"/>
                <w:lang w:val="en-US" w:eastAsia="zh-CN"/>
              </w:rPr>
              <w:t>13.8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rPr>
                <w:rFonts w:hint="default" w:eastAsia="方正书宋_GBK"/>
                <w:lang w:val="en-US" w:eastAsia="zh-CN"/>
              </w:rPr>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rFonts w:hint="default" w:eastAsia="方正书宋_GBK"/>
                <w:lang w:val="en-US" w:eastAsia="zh-CN"/>
              </w:rPr>
            </w:pPr>
            <w:r>
              <w:rPr>
                <w:rFonts w:hint="eastAsia"/>
                <w:lang w:val="en-US" w:eastAsia="zh-CN"/>
              </w:rPr>
              <w:t>13.8</w:t>
            </w:r>
          </w:p>
        </w:tc>
        <w:tc>
          <w:tcPr>
            <w:tcW w:w="4535" w:type="dxa"/>
            <w:vAlign w:val="center"/>
          </w:tcPr>
          <w:p>
            <w:pPr>
              <w:pStyle w:val="18"/>
            </w:pPr>
            <w:r>
              <w:t>本年支出合计</w:t>
            </w:r>
          </w:p>
        </w:tc>
        <w:tc>
          <w:tcPr>
            <w:tcW w:w="2126" w:type="dxa"/>
            <w:vAlign w:val="center"/>
          </w:tcPr>
          <w:p>
            <w:pPr>
              <w:pStyle w:val="19"/>
              <w:rPr>
                <w:rFonts w:hint="default" w:eastAsia="方正书宋_GBK"/>
                <w:lang w:val="en-US" w:eastAsia="zh-CN"/>
              </w:rPr>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rFonts w:hint="default" w:eastAsia="方正书宋_GBK"/>
                <w:lang w:val="en-US" w:eastAsia="zh-CN"/>
              </w:rPr>
            </w:pPr>
            <w:r>
              <w:rPr>
                <w:rFonts w:hint="eastAsia"/>
                <w:lang w:val="en-US" w:eastAsia="zh-CN"/>
              </w:rPr>
              <w:t>13.8</w:t>
            </w:r>
          </w:p>
        </w:tc>
        <w:tc>
          <w:tcPr>
            <w:tcW w:w="4535" w:type="dxa"/>
            <w:vAlign w:val="center"/>
          </w:tcPr>
          <w:p>
            <w:pPr>
              <w:pStyle w:val="18"/>
            </w:pPr>
            <w:r>
              <w:t>支出总计</w:t>
            </w:r>
          </w:p>
        </w:tc>
        <w:tc>
          <w:tcPr>
            <w:tcW w:w="2126" w:type="dxa"/>
            <w:vAlign w:val="center"/>
          </w:tcPr>
          <w:p>
            <w:pPr>
              <w:pStyle w:val="19"/>
              <w:rPr>
                <w:rFonts w:hint="default" w:eastAsia="方正书宋_GBK"/>
                <w:lang w:val="en-US" w:eastAsia="zh-CN"/>
              </w:rPr>
            </w:pPr>
            <w:r>
              <w:rPr>
                <w:rFonts w:hint="eastAsia"/>
                <w:lang w:val="en-US" w:eastAsia="zh-CN"/>
              </w:rPr>
              <w:t>13.8</w:t>
            </w:r>
          </w:p>
        </w:tc>
      </w:tr>
    </w:tbl>
    <w:p>
      <w:pPr>
        <w:sectPr>
          <w:type w:val="continuous"/>
          <w:pgSz w:w="16840" w:h="11900" w:orient="landscape"/>
          <w:pgMar w:top="1361" w:right="1020" w:bottom="1134" w:left="1020" w:header="720" w:footer="720" w:gutter="0"/>
        </w:sectPr>
      </w:pPr>
    </w:p>
    <w:p>
      <w:pPr>
        <w:sectPr>
          <w:type w:val="continuous"/>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274"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rPr>
                <w:rFonts w:hint="eastAsia"/>
                <w:lang w:val="en-US" w:eastAsia="zh-CN"/>
              </w:rPr>
              <w:t>13.8</w:t>
            </w:r>
          </w:p>
        </w:tc>
        <w:tc>
          <w:tcPr>
            <w:tcW w:w="758" w:type="dxa"/>
            <w:vAlign w:val="center"/>
          </w:tcPr>
          <w:p>
            <w:pPr>
              <w:pStyle w:val="19"/>
            </w:pPr>
            <w:r>
              <w:rPr>
                <w:rFonts w:hint="eastAsia"/>
                <w:lang w:val="en-US" w:eastAsia="zh-CN"/>
              </w:rPr>
              <w:t>13.8</w:t>
            </w:r>
          </w:p>
        </w:tc>
        <w:tc>
          <w:tcPr>
            <w:tcW w:w="758" w:type="dxa"/>
            <w:vAlign w:val="center"/>
          </w:tcPr>
          <w:p>
            <w:pPr>
              <w:pStyle w:val="19"/>
            </w:pPr>
            <w:r>
              <w:rPr>
                <w:rFonts w:hint="eastAsia"/>
                <w:lang w:val="en-US" w:eastAsia="zh-CN"/>
              </w:rPr>
              <w:t>13.8</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204</w:t>
            </w:r>
          </w:p>
        </w:tc>
        <w:tc>
          <w:tcPr>
            <w:tcW w:w="758" w:type="dxa"/>
            <w:vAlign w:val="center"/>
          </w:tcPr>
          <w:p>
            <w:pPr>
              <w:pStyle w:val="16"/>
            </w:pPr>
            <w:r>
              <w:t>公共安全支出</w:t>
            </w:r>
          </w:p>
        </w:tc>
        <w:tc>
          <w:tcPr>
            <w:tcW w:w="758" w:type="dxa"/>
            <w:vAlign w:val="center"/>
          </w:tcPr>
          <w:p>
            <w:pPr>
              <w:pStyle w:val="15"/>
              <w:rPr>
                <w:rFonts w:hint="default" w:eastAsia="方正书宋_GBK"/>
                <w:lang w:val="en-US" w:eastAsia="zh-CN"/>
              </w:rPr>
            </w:pPr>
            <w:r>
              <w:rPr>
                <w:rFonts w:hint="eastAsia"/>
                <w:lang w:val="en-US" w:eastAsia="zh-CN"/>
              </w:rPr>
              <w:t>13.8</w:t>
            </w:r>
          </w:p>
        </w:tc>
        <w:tc>
          <w:tcPr>
            <w:tcW w:w="758" w:type="dxa"/>
            <w:vAlign w:val="center"/>
          </w:tcPr>
          <w:p>
            <w:pPr>
              <w:pStyle w:val="15"/>
            </w:pPr>
            <w:r>
              <w:rPr>
                <w:rFonts w:hint="eastAsia"/>
                <w:lang w:val="en-US" w:eastAsia="zh-CN"/>
              </w:rPr>
              <w:t>13.8</w:t>
            </w:r>
          </w:p>
        </w:tc>
        <w:tc>
          <w:tcPr>
            <w:tcW w:w="758" w:type="dxa"/>
            <w:vAlign w:val="center"/>
          </w:tcPr>
          <w:p>
            <w:pPr>
              <w:pStyle w:val="15"/>
            </w:pPr>
            <w:r>
              <w:rPr>
                <w:rFonts w:hint="eastAsia"/>
                <w:lang w:val="en-US" w:eastAsia="zh-CN"/>
              </w:rPr>
              <w:t>13.8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20402</w:t>
            </w:r>
          </w:p>
        </w:tc>
        <w:tc>
          <w:tcPr>
            <w:tcW w:w="758" w:type="dxa"/>
            <w:vAlign w:val="center"/>
          </w:tcPr>
          <w:p>
            <w:pPr>
              <w:pStyle w:val="16"/>
            </w:pPr>
            <w:r>
              <w:t>公安</w:t>
            </w:r>
          </w:p>
        </w:tc>
        <w:tc>
          <w:tcPr>
            <w:tcW w:w="758" w:type="dxa"/>
            <w:vAlign w:val="center"/>
          </w:tcPr>
          <w:p>
            <w:pPr>
              <w:pStyle w:val="15"/>
            </w:pPr>
            <w:r>
              <w:rPr>
                <w:rFonts w:hint="eastAsia"/>
                <w:lang w:val="en-US" w:eastAsia="zh-CN"/>
              </w:rPr>
              <w:t>13.8</w:t>
            </w:r>
          </w:p>
        </w:tc>
        <w:tc>
          <w:tcPr>
            <w:tcW w:w="758" w:type="dxa"/>
            <w:vAlign w:val="center"/>
          </w:tcPr>
          <w:p>
            <w:pPr>
              <w:pStyle w:val="15"/>
            </w:pPr>
            <w:r>
              <w:rPr>
                <w:rFonts w:hint="eastAsia"/>
                <w:lang w:val="en-US" w:eastAsia="zh-CN"/>
              </w:rPr>
              <w:t>13.8</w:t>
            </w:r>
          </w:p>
        </w:tc>
        <w:tc>
          <w:tcPr>
            <w:tcW w:w="758" w:type="dxa"/>
            <w:vAlign w:val="center"/>
          </w:tcPr>
          <w:p>
            <w:pPr>
              <w:pStyle w:val="15"/>
            </w:pPr>
            <w:r>
              <w:rPr>
                <w:rFonts w:hint="eastAsia"/>
                <w:lang w:val="en-US" w:eastAsia="zh-CN"/>
              </w:rPr>
              <w:t>13.8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2040201</w:t>
            </w:r>
          </w:p>
        </w:tc>
        <w:tc>
          <w:tcPr>
            <w:tcW w:w="758" w:type="dxa"/>
            <w:vAlign w:val="center"/>
          </w:tcPr>
          <w:p>
            <w:pPr>
              <w:pStyle w:val="16"/>
            </w:pPr>
            <w:r>
              <w:t>行政运行</w:t>
            </w:r>
          </w:p>
        </w:tc>
        <w:tc>
          <w:tcPr>
            <w:tcW w:w="758" w:type="dxa"/>
            <w:vAlign w:val="center"/>
          </w:tcPr>
          <w:p>
            <w:pPr>
              <w:pStyle w:val="15"/>
            </w:pPr>
            <w:r>
              <w:rPr>
                <w:rFonts w:hint="eastAsia"/>
                <w:lang w:val="en-US" w:eastAsia="zh-CN"/>
              </w:rPr>
              <w:t>13.8</w:t>
            </w:r>
          </w:p>
        </w:tc>
        <w:tc>
          <w:tcPr>
            <w:tcW w:w="758" w:type="dxa"/>
            <w:vAlign w:val="center"/>
          </w:tcPr>
          <w:p>
            <w:pPr>
              <w:pStyle w:val="15"/>
            </w:pPr>
            <w:r>
              <w:rPr>
                <w:rFonts w:hint="eastAsia"/>
                <w:lang w:val="en-US" w:eastAsia="zh-CN"/>
              </w:rPr>
              <w:t>13.8</w:t>
            </w:r>
          </w:p>
        </w:tc>
        <w:tc>
          <w:tcPr>
            <w:tcW w:w="758" w:type="dxa"/>
            <w:vAlign w:val="center"/>
          </w:tcPr>
          <w:p>
            <w:pPr>
              <w:pStyle w:val="15"/>
            </w:pPr>
            <w:r>
              <w:rPr>
                <w:rFonts w:hint="eastAsia"/>
                <w:lang w:val="en-US" w:eastAsia="zh-CN"/>
              </w:rPr>
              <w:t>13.8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rPr>
                <w:rFonts w:hint="eastAsia"/>
                <w:lang w:val="en-US" w:eastAsia="zh-CN"/>
              </w:rPr>
              <w:t>13.8</w:t>
            </w:r>
          </w:p>
        </w:tc>
        <w:tc>
          <w:tcPr>
            <w:tcW w:w="1361" w:type="dxa"/>
            <w:vAlign w:val="center"/>
          </w:tcPr>
          <w:p>
            <w:pPr>
              <w:pStyle w:val="19"/>
            </w:pPr>
            <w:r>
              <w:rPr>
                <w:rFonts w:hint="eastAsia"/>
                <w:lang w:val="en-US" w:eastAsia="zh-CN"/>
              </w:rPr>
              <w:t>13.8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rPr>
                <w:rFonts w:hint="eastAsia"/>
                <w:lang w:val="en-US" w:eastAsia="zh-CN"/>
              </w:rPr>
              <w:t>13.8</w:t>
            </w:r>
          </w:p>
        </w:tc>
        <w:tc>
          <w:tcPr>
            <w:tcW w:w="1361" w:type="dxa"/>
            <w:vAlign w:val="center"/>
          </w:tcPr>
          <w:p>
            <w:pPr>
              <w:pStyle w:val="15"/>
            </w:pPr>
            <w:r>
              <w:rPr>
                <w:rFonts w:hint="eastAsia"/>
                <w:lang w:val="en-US" w:eastAsia="zh-CN"/>
              </w:rPr>
              <w:t>13.8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20402</w:t>
            </w:r>
          </w:p>
        </w:tc>
        <w:tc>
          <w:tcPr>
            <w:tcW w:w="4535" w:type="dxa"/>
            <w:vAlign w:val="center"/>
          </w:tcPr>
          <w:p>
            <w:pPr>
              <w:pStyle w:val="16"/>
            </w:pPr>
            <w:r>
              <w:t>公安</w:t>
            </w:r>
          </w:p>
        </w:tc>
        <w:tc>
          <w:tcPr>
            <w:tcW w:w="1361" w:type="dxa"/>
            <w:vAlign w:val="center"/>
          </w:tcPr>
          <w:p>
            <w:pPr>
              <w:pStyle w:val="15"/>
            </w:pPr>
            <w:r>
              <w:rPr>
                <w:rFonts w:hint="eastAsia"/>
                <w:lang w:val="en-US" w:eastAsia="zh-CN"/>
              </w:rPr>
              <w:t>13.8</w:t>
            </w:r>
          </w:p>
        </w:tc>
        <w:tc>
          <w:tcPr>
            <w:tcW w:w="1361" w:type="dxa"/>
            <w:vAlign w:val="center"/>
          </w:tcPr>
          <w:p>
            <w:pPr>
              <w:pStyle w:val="15"/>
            </w:pPr>
            <w:r>
              <w:rPr>
                <w:rFonts w:hint="eastAsia"/>
                <w:lang w:val="en-US" w:eastAsia="zh-CN"/>
              </w:rPr>
              <w:t>13.8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2040201</w:t>
            </w:r>
          </w:p>
        </w:tc>
        <w:tc>
          <w:tcPr>
            <w:tcW w:w="4535" w:type="dxa"/>
            <w:vAlign w:val="center"/>
          </w:tcPr>
          <w:p>
            <w:pPr>
              <w:pStyle w:val="16"/>
            </w:pPr>
            <w:r>
              <w:t>行政运行</w:t>
            </w:r>
          </w:p>
        </w:tc>
        <w:tc>
          <w:tcPr>
            <w:tcW w:w="1361" w:type="dxa"/>
            <w:vAlign w:val="center"/>
          </w:tcPr>
          <w:p>
            <w:pPr>
              <w:pStyle w:val="15"/>
            </w:pPr>
            <w:r>
              <w:rPr>
                <w:rFonts w:hint="eastAsia"/>
                <w:lang w:val="en-US" w:eastAsia="zh-CN"/>
              </w:rPr>
              <w:t>13.8</w:t>
            </w:r>
          </w:p>
        </w:tc>
        <w:tc>
          <w:tcPr>
            <w:tcW w:w="1361" w:type="dxa"/>
            <w:vAlign w:val="center"/>
          </w:tcPr>
          <w:p>
            <w:pPr>
              <w:pStyle w:val="15"/>
            </w:pPr>
            <w:r>
              <w:rPr>
                <w:rFonts w:hint="eastAsia"/>
                <w:lang w:val="en-US" w:eastAsia="zh-CN"/>
              </w:rPr>
              <w:t>13.8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123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10.64</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r>
              <w:rPr>
                <w:rFonts w:hint="eastAsia"/>
                <w:lang w:val="en-US" w:eastAsia="zh-CN"/>
              </w:rPr>
              <w:t>13.8</w:t>
            </w:r>
          </w:p>
        </w:tc>
        <w:tc>
          <w:tcPr>
            <w:tcW w:w="1232" w:type="dxa"/>
            <w:vAlign w:val="center"/>
          </w:tcPr>
          <w:p>
            <w:pPr>
              <w:pStyle w:val="15"/>
            </w:pPr>
            <w:r>
              <w:rPr>
                <w:rFonts w:hint="eastAsia"/>
                <w:lang w:val="en-US" w:eastAsia="zh-CN"/>
              </w:rPr>
              <w:t>13.8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rPr>
                <w:rFonts w:hint="eastAsia"/>
                <w:lang w:val="en-US" w:eastAsia="zh-CN"/>
              </w:rPr>
              <w:t>13.8</w:t>
            </w:r>
          </w:p>
        </w:tc>
        <w:tc>
          <w:tcPr>
            <w:tcW w:w="1232" w:type="dxa"/>
            <w:vAlign w:val="center"/>
          </w:tcPr>
          <w:p>
            <w:pPr>
              <w:pStyle w:val="18"/>
            </w:pPr>
            <w:r>
              <w:t>本年支出合计</w:t>
            </w:r>
          </w:p>
        </w:tc>
        <w:tc>
          <w:tcPr>
            <w:tcW w:w="1232" w:type="dxa"/>
            <w:vAlign w:val="center"/>
          </w:tcPr>
          <w:p>
            <w:pPr>
              <w:pStyle w:val="19"/>
            </w:pPr>
            <w:r>
              <w:rPr>
                <w:rFonts w:hint="eastAsia"/>
                <w:lang w:val="en-US" w:eastAsia="zh-CN"/>
              </w:rPr>
              <w:t>13.8</w:t>
            </w:r>
          </w:p>
        </w:tc>
        <w:tc>
          <w:tcPr>
            <w:tcW w:w="1232" w:type="dxa"/>
            <w:vAlign w:val="center"/>
          </w:tcPr>
          <w:p>
            <w:pPr>
              <w:pStyle w:val="19"/>
            </w:pPr>
            <w:r>
              <w:rPr>
                <w:rFonts w:hint="eastAsia"/>
                <w:lang w:val="en-US" w:eastAsia="zh-CN"/>
              </w:rPr>
              <w:t>13.8</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rPr>
                <w:rFonts w:hint="eastAsia"/>
                <w:lang w:val="en-US" w:eastAsia="zh-CN"/>
              </w:rPr>
              <w:t>13.8</w:t>
            </w:r>
          </w:p>
        </w:tc>
        <w:tc>
          <w:tcPr>
            <w:tcW w:w="1232" w:type="dxa"/>
            <w:vAlign w:val="center"/>
          </w:tcPr>
          <w:p>
            <w:pPr>
              <w:pStyle w:val="18"/>
            </w:pPr>
            <w:r>
              <w:t>支出总计</w:t>
            </w:r>
          </w:p>
        </w:tc>
        <w:tc>
          <w:tcPr>
            <w:tcW w:w="1232" w:type="dxa"/>
            <w:vAlign w:val="center"/>
          </w:tcPr>
          <w:p>
            <w:pPr>
              <w:pStyle w:val="19"/>
            </w:pPr>
            <w:r>
              <w:rPr>
                <w:rFonts w:hint="eastAsia"/>
                <w:lang w:val="en-US" w:eastAsia="zh-CN"/>
              </w:rPr>
              <w:t>13.8</w:t>
            </w:r>
          </w:p>
        </w:tc>
        <w:tc>
          <w:tcPr>
            <w:tcW w:w="1232" w:type="dxa"/>
            <w:vAlign w:val="center"/>
          </w:tcPr>
          <w:p>
            <w:pPr>
              <w:pStyle w:val="19"/>
            </w:pPr>
            <w:r>
              <w:rPr>
                <w:rFonts w:hint="eastAsia"/>
                <w:lang w:val="en-US" w:eastAsia="zh-CN"/>
              </w:rPr>
              <w:t>13.8</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rPr>
                <w:rFonts w:hint="eastAsia"/>
                <w:lang w:val="en-US" w:eastAsia="zh-CN"/>
              </w:rPr>
              <w:t>13.8</w:t>
            </w:r>
          </w:p>
        </w:tc>
        <w:tc>
          <w:tcPr>
            <w:tcW w:w="2551" w:type="dxa"/>
            <w:vAlign w:val="center"/>
          </w:tcPr>
          <w:p>
            <w:pPr>
              <w:pStyle w:val="19"/>
            </w:pPr>
            <w:r>
              <w:rPr>
                <w:rFonts w:hint="eastAsia"/>
                <w:lang w:val="en-US" w:eastAsia="zh-CN"/>
              </w:rPr>
              <w:t>13.8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rPr>
                <w:rFonts w:hint="eastAsia"/>
                <w:lang w:val="en-US" w:eastAsia="zh-CN"/>
              </w:rPr>
              <w:t>13.8</w:t>
            </w:r>
          </w:p>
        </w:tc>
        <w:tc>
          <w:tcPr>
            <w:tcW w:w="2551" w:type="dxa"/>
            <w:vAlign w:val="center"/>
          </w:tcPr>
          <w:p>
            <w:pPr>
              <w:pStyle w:val="15"/>
            </w:pPr>
            <w:r>
              <w:rPr>
                <w:rFonts w:hint="eastAsia"/>
                <w:lang w:val="en-US" w:eastAsia="zh-CN"/>
              </w:rPr>
              <w:t>13.8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20402</w:t>
            </w:r>
          </w:p>
        </w:tc>
        <w:tc>
          <w:tcPr>
            <w:tcW w:w="4535" w:type="dxa"/>
            <w:vAlign w:val="center"/>
          </w:tcPr>
          <w:p>
            <w:pPr>
              <w:pStyle w:val="16"/>
            </w:pPr>
            <w:r>
              <w:t>公安</w:t>
            </w:r>
          </w:p>
        </w:tc>
        <w:tc>
          <w:tcPr>
            <w:tcW w:w="2551" w:type="dxa"/>
            <w:vAlign w:val="center"/>
          </w:tcPr>
          <w:p>
            <w:pPr>
              <w:pStyle w:val="15"/>
            </w:pPr>
            <w:r>
              <w:rPr>
                <w:rFonts w:hint="eastAsia"/>
                <w:lang w:val="en-US" w:eastAsia="zh-CN"/>
              </w:rPr>
              <w:t>13.8</w:t>
            </w:r>
          </w:p>
        </w:tc>
        <w:tc>
          <w:tcPr>
            <w:tcW w:w="2551" w:type="dxa"/>
            <w:vAlign w:val="center"/>
          </w:tcPr>
          <w:p>
            <w:pPr>
              <w:pStyle w:val="15"/>
            </w:pPr>
            <w:r>
              <w:rPr>
                <w:rFonts w:hint="eastAsia"/>
                <w:lang w:val="en-US" w:eastAsia="zh-CN"/>
              </w:rPr>
              <w:t>13.8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2040201</w:t>
            </w:r>
          </w:p>
        </w:tc>
        <w:tc>
          <w:tcPr>
            <w:tcW w:w="4535" w:type="dxa"/>
            <w:vAlign w:val="center"/>
          </w:tcPr>
          <w:p>
            <w:pPr>
              <w:pStyle w:val="16"/>
            </w:pPr>
            <w:r>
              <w:t>行政运行</w:t>
            </w:r>
          </w:p>
        </w:tc>
        <w:tc>
          <w:tcPr>
            <w:tcW w:w="2551" w:type="dxa"/>
            <w:vAlign w:val="center"/>
          </w:tcPr>
          <w:p>
            <w:pPr>
              <w:pStyle w:val="15"/>
            </w:pPr>
            <w:r>
              <w:rPr>
                <w:rFonts w:hint="eastAsia"/>
                <w:lang w:val="en-US" w:eastAsia="zh-CN"/>
              </w:rPr>
              <w:t>13.8</w:t>
            </w:r>
          </w:p>
        </w:tc>
        <w:tc>
          <w:tcPr>
            <w:tcW w:w="2551" w:type="dxa"/>
            <w:vAlign w:val="center"/>
          </w:tcPr>
          <w:p>
            <w:pPr>
              <w:pStyle w:val="15"/>
            </w:pPr>
            <w:r>
              <w:rPr>
                <w:rFonts w:hint="eastAsia"/>
                <w:lang w:val="en-US" w:eastAsia="zh-CN"/>
              </w:rPr>
              <w:t>13.8</w:t>
            </w:r>
          </w:p>
        </w:tc>
        <w:tc>
          <w:tcPr>
            <w:tcW w:w="2551"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rPr>
                <w:rFonts w:hint="eastAsia"/>
                <w:lang w:val="en-US" w:eastAsia="zh-CN"/>
              </w:rPr>
              <w:t>13.8</w:t>
            </w:r>
          </w:p>
        </w:tc>
        <w:tc>
          <w:tcPr>
            <w:tcW w:w="2551" w:type="dxa"/>
            <w:vAlign w:val="center"/>
          </w:tcPr>
          <w:p>
            <w:pPr>
              <w:pStyle w:val="19"/>
            </w:pPr>
          </w:p>
        </w:tc>
        <w:tc>
          <w:tcPr>
            <w:tcW w:w="2551" w:type="dxa"/>
            <w:vAlign w:val="center"/>
          </w:tcPr>
          <w:p>
            <w:pPr>
              <w:pStyle w:val="19"/>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rPr>
                <w:rFonts w:hint="eastAsia"/>
                <w:lang w:val="en-US" w:eastAsia="zh-CN"/>
              </w:rPr>
              <w:t>13.8</w:t>
            </w:r>
          </w:p>
        </w:tc>
        <w:tc>
          <w:tcPr>
            <w:tcW w:w="2551" w:type="dxa"/>
            <w:vAlign w:val="center"/>
          </w:tcPr>
          <w:p>
            <w:pPr>
              <w:pStyle w:val="15"/>
            </w:pPr>
          </w:p>
        </w:tc>
        <w:tc>
          <w:tcPr>
            <w:tcW w:w="2551" w:type="dxa"/>
            <w:vAlign w:val="center"/>
          </w:tcPr>
          <w:p>
            <w:pPr>
              <w:pStyle w:val="15"/>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rFonts w:hint="default" w:eastAsia="方正书宋_GBK"/>
                <w:lang w:val="en-US" w:eastAsia="zh-CN"/>
              </w:rPr>
            </w:pPr>
            <w:r>
              <w:rPr>
                <w:rFonts w:hint="eastAsia"/>
                <w:lang w:val="en-US" w:eastAsia="zh-CN"/>
              </w:rPr>
              <w:t>1.2</w:t>
            </w:r>
          </w:p>
        </w:tc>
        <w:tc>
          <w:tcPr>
            <w:tcW w:w="2551" w:type="dxa"/>
            <w:vAlign w:val="center"/>
          </w:tcPr>
          <w:p>
            <w:pPr>
              <w:pStyle w:val="15"/>
            </w:pPr>
          </w:p>
        </w:tc>
        <w:tc>
          <w:tcPr>
            <w:tcW w:w="2551" w:type="dxa"/>
            <w:vAlign w:val="center"/>
          </w:tcPr>
          <w:p>
            <w:pPr>
              <w:pStyle w:val="15"/>
              <w:rPr>
                <w:rFonts w:hint="default" w:eastAsia="方正书宋_GBK"/>
                <w:lang w:val="en-US" w:eastAsia="zh-CN"/>
              </w:rPr>
            </w:pPr>
            <w:r>
              <w:rPr>
                <w:rFonts w:hint="eastAsia"/>
                <w:lang w:val="en-US"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rPr>
                <w:rFonts w:hint="default" w:eastAsia="方正书宋_GBK"/>
                <w:lang w:val="en-US" w:eastAsia="zh-CN"/>
              </w:rPr>
            </w:pPr>
            <w:r>
              <w:rPr>
                <w:rFonts w:hint="eastAsia"/>
                <w:lang w:val="en-US" w:eastAsia="zh-CN"/>
              </w:rPr>
              <w:t>0.4</w:t>
            </w:r>
          </w:p>
        </w:tc>
        <w:tc>
          <w:tcPr>
            <w:tcW w:w="2551" w:type="dxa"/>
            <w:vAlign w:val="center"/>
          </w:tcPr>
          <w:p>
            <w:pPr>
              <w:pStyle w:val="15"/>
            </w:pPr>
          </w:p>
        </w:tc>
        <w:tc>
          <w:tcPr>
            <w:tcW w:w="2551" w:type="dxa"/>
            <w:vAlign w:val="center"/>
          </w:tcPr>
          <w:p>
            <w:pPr>
              <w:pStyle w:val="15"/>
              <w:rPr>
                <w:rFonts w:hint="default" w:eastAsia="方正书宋_GBK"/>
                <w:lang w:val="en-US" w:eastAsia="zh-CN"/>
              </w:rPr>
            </w:pPr>
            <w:r>
              <w:rPr>
                <w:rFonts w:hint="eastAsia"/>
                <w:lang w:val="en-US" w:eastAsia="zh-CN"/>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rPr>
                <w:rFonts w:hint="default" w:eastAsia="方正书宋_GBK"/>
                <w:lang w:val="en-US" w:eastAsia="zh-CN"/>
              </w:rPr>
            </w:pPr>
            <w:r>
              <w:rPr>
                <w:rFonts w:hint="eastAsia"/>
                <w:lang w:val="en-US" w:eastAsia="zh-CN"/>
              </w:rPr>
              <w:t>12.2</w:t>
            </w:r>
          </w:p>
        </w:tc>
        <w:tc>
          <w:tcPr>
            <w:tcW w:w="2551" w:type="dxa"/>
            <w:vAlign w:val="center"/>
          </w:tcPr>
          <w:p>
            <w:pPr>
              <w:pStyle w:val="15"/>
            </w:pPr>
          </w:p>
        </w:tc>
        <w:tc>
          <w:tcPr>
            <w:tcW w:w="2551" w:type="dxa"/>
            <w:vAlign w:val="center"/>
          </w:tcPr>
          <w:p>
            <w:pPr>
              <w:pStyle w:val="15"/>
              <w:rPr>
                <w:rFonts w:hint="default" w:eastAsia="方正书宋_GBK"/>
                <w:lang w:val="en-US" w:eastAsia="zh-CN"/>
              </w:rPr>
            </w:pPr>
            <w:r>
              <w:rPr>
                <w:rFonts w:hint="eastAsia"/>
                <w:lang w:val="en-US" w:eastAsia="zh-CN"/>
              </w:rPr>
              <w:t>12.2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唐山市丰南区公安局大新庄派出所202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按照《预算法》、《地方预决算公开操作规程》和《关于进一步推进预算公开工作的实施意见》规定，现将唐山市丰南区公安局大新庄派出所202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3"/>
        <w:rPr>
          <w:rFonts w:hint="eastAsia"/>
          <w:lang w:eastAsia="zh-CN"/>
        </w:rPr>
      </w:pPr>
      <w:r>
        <w:t>负责辖区消防、防汛抗旱、防灾减灾、林木防火工作</w:t>
      </w:r>
      <w:r>
        <w:rPr>
          <w:rFonts w:hint="eastAsia"/>
          <w:lang w:eastAsia="zh-CN"/>
        </w:rPr>
        <w:t>，</w:t>
      </w:r>
      <w:r>
        <w:t>按照职责分工和相关预案开展突发环境事件应急处置工作</w:t>
      </w:r>
      <w:r>
        <w:rPr>
          <w:rFonts w:hint="eastAsia"/>
          <w:lang w:eastAsia="zh-CN"/>
        </w:rPr>
        <w:t>；</w:t>
      </w:r>
    </w:p>
    <w:p>
      <w:pPr>
        <w:pStyle w:val="33"/>
        <w:rPr>
          <w:rFonts w:hint="eastAsia" w:eastAsia="方正仿宋_GBK"/>
          <w:lang w:eastAsia="zh-CN"/>
        </w:rPr>
      </w:pPr>
      <w:r>
        <w:t>负责制定本辖区社会治安综合治理规划、检查、推动社会治安综合治理措施的落实</w:t>
      </w:r>
      <w:r>
        <w:rPr>
          <w:rFonts w:hint="eastAsia"/>
          <w:lang w:eastAsia="zh-CN"/>
        </w:rPr>
        <w:t>，</w:t>
      </w:r>
      <w:r>
        <w:t>加强群防群治组织建设、动员、组织人民群众维护社会治安和社会秩序</w:t>
      </w:r>
      <w:r>
        <w:rPr>
          <w:rFonts w:hint="eastAsia"/>
          <w:lang w:eastAsia="zh-CN"/>
        </w:rPr>
        <w:t>，</w:t>
      </w:r>
      <w:r>
        <w:t>做好未成年人的保护、社区戒毒和社区康复工作。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唐山市丰南区公安局大新庄派出所</w:t>
            </w:r>
          </w:p>
        </w:tc>
        <w:tc>
          <w:tcPr>
            <w:tcW w:w="1843" w:type="dxa"/>
            <w:vAlign w:val="center"/>
          </w:tcPr>
          <w:p>
            <w:pPr>
              <w:pStyle w:val="17"/>
            </w:pPr>
            <w:r>
              <w:t>行政</w:t>
            </w:r>
          </w:p>
        </w:tc>
        <w:tc>
          <w:tcPr>
            <w:tcW w:w="2126" w:type="dxa"/>
            <w:vAlign w:val="center"/>
          </w:tcPr>
          <w:p>
            <w:pPr>
              <w:pStyle w:val="17"/>
            </w:pPr>
            <w:r>
              <w:t>副科级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预算收入</w:t>
      </w:r>
      <w:r>
        <w:rPr>
          <w:rFonts w:hint="eastAsia" w:eastAsia="方正仿宋_GBK" w:cs="Times New Roman"/>
          <w:color w:val="000000"/>
          <w:sz w:val="28"/>
          <w:lang w:val="en-US" w:eastAsia="zh-CN"/>
        </w:rPr>
        <w:t>13.8</w:t>
      </w:r>
      <w:r>
        <w:rPr>
          <w:rFonts w:hint="eastAsia" w:ascii="Times New Roman" w:hAnsi="Times New Roman" w:eastAsia="方正仿宋_GBK" w:cs="Times New Roman"/>
          <w:color w:val="000000"/>
          <w:sz w:val="28"/>
        </w:rPr>
        <w:t>万元，其中：一般公共预算拨款</w:t>
      </w:r>
      <w:r>
        <w:rPr>
          <w:rFonts w:hint="eastAsia" w:eastAsia="方正仿宋_GBK" w:cs="Times New Roman"/>
          <w:color w:val="000000"/>
          <w:sz w:val="28"/>
          <w:lang w:val="en-US" w:eastAsia="zh-CN"/>
        </w:rPr>
        <w:t>13.8</w:t>
      </w:r>
      <w:r>
        <w:rPr>
          <w:rFonts w:hint="eastAsia" w:ascii="Times New Roman" w:hAnsi="Times New Roman" w:eastAsia="方正仿宋_GBK" w:cs="Times New Roman"/>
          <w:color w:val="000000"/>
          <w:sz w:val="28"/>
        </w:rPr>
        <w:t>万元，政府性基金预算拨款</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万元，国有资本经营预算拨款</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万元，财政专户核拨</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万元，单位资金</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预算支出</w:t>
      </w:r>
      <w:r>
        <w:rPr>
          <w:rFonts w:hint="eastAsia" w:eastAsia="方正仿宋_GBK" w:cs="Times New Roman"/>
          <w:color w:val="000000"/>
          <w:sz w:val="28"/>
          <w:lang w:val="en-US" w:eastAsia="zh-CN"/>
        </w:rPr>
        <w:t>13.8</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万元，日常公用经费</w:t>
      </w:r>
      <w:r>
        <w:rPr>
          <w:rFonts w:hint="eastAsia" w:eastAsia="方正仿宋_GBK" w:cs="Times New Roman"/>
          <w:color w:val="000000"/>
          <w:sz w:val="28"/>
          <w:lang w:val="en-US" w:eastAsia="zh-CN"/>
        </w:rPr>
        <w:t>13.8</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单位</w:t>
      </w:r>
      <w:r>
        <w:rPr>
          <w:rFonts w:hint="eastAsia" w:ascii="Times New Roman" w:hAnsi="Times New Roman" w:eastAsia="方正仿宋_GBK" w:cs="Times New Roman"/>
          <w:color w:val="000000"/>
          <w:sz w:val="28"/>
        </w:rPr>
        <w:t>预算较202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val="en-US" w:eastAsia="zh-CN"/>
        </w:rPr>
        <w:t>无增减变化</w:t>
      </w:r>
      <w:r>
        <w:rPr>
          <w:rFonts w:hint="eastAsia" w:ascii="Times New Roman" w:hAnsi="Times New Roman" w:eastAsia="方正仿宋_GBK" w:cs="Times New Roman"/>
          <w:color w:val="000000"/>
          <w:sz w:val="28"/>
        </w:rPr>
        <w:t>，其中：人员经费</w:t>
      </w:r>
      <w:r>
        <w:rPr>
          <w:rFonts w:hint="eastAsia" w:eastAsia="方正仿宋_GBK" w:cs="Times New Roman"/>
          <w:color w:val="000000"/>
          <w:sz w:val="28"/>
          <w:lang w:val="en-US" w:eastAsia="zh-CN"/>
        </w:rPr>
        <w:t>无增减变化</w:t>
      </w:r>
      <w:r>
        <w:rPr>
          <w:rFonts w:hint="eastAsia" w:ascii="Times New Roman" w:hAnsi="Times New Roman" w:eastAsia="方正仿宋_GBK" w:cs="Times New Roman"/>
          <w:color w:val="000000"/>
          <w:sz w:val="28"/>
        </w:rPr>
        <w:t>，日常公用经费</w:t>
      </w:r>
      <w:r>
        <w:rPr>
          <w:rFonts w:hint="eastAsia" w:eastAsia="方正仿宋_GBK" w:cs="Times New Roman"/>
          <w:color w:val="000000"/>
          <w:sz w:val="28"/>
          <w:lang w:val="en-US" w:eastAsia="zh-CN"/>
        </w:rPr>
        <w:t>无增减变化</w:t>
      </w:r>
      <w:r>
        <w:rPr>
          <w:rFonts w:hint="eastAsia" w:ascii="Times New Roman" w:hAnsi="Times New Roman" w:eastAsia="方正仿宋_GBK" w:cs="Times New Roman"/>
          <w:color w:val="000000"/>
          <w:sz w:val="28"/>
        </w:rPr>
        <w:t>，项目经费</w:t>
      </w:r>
      <w:r>
        <w:rPr>
          <w:rFonts w:hint="eastAsia" w:eastAsia="方正仿宋_GBK" w:cs="Times New Roman"/>
          <w:color w:val="000000"/>
          <w:sz w:val="28"/>
          <w:lang w:val="en-US" w:eastAsia="zh-CN"/>
        </w:rPr>
        <w:t>无增减变化</w:t>
      </w:r>
      <w:r>
        <w:rPr>
          <w:rFonts w:hint="eastAsia" w:ascii="Times New Roman" w:hAnsi="Times New Roman" w:eastAsia="方正仿宋_GBK" w:cs="Times New Roman"/>
          <w:color w:val="000000"/>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年机关运行经费共计安排</w:t>
      </w:r>
      <w:r>
        <w:rPr>
          <w:rFonts w:hint="eastAsia" w:eastAsia="方正仿宋_GBK" w:cs="Times New Roman"/>
          <w:color w:val="000000"/>
          <w:sz w:val="28"/>
          <w:lang w:val="en-US" w:eastAsia="zh-CN"/>
        </w:rPr>
        <w:t>13.8</w:t>
      </w:r>
      <w:r>
        <w:rPr>
          <w:rFonts w:hint="eastAsia" w:ascii="Times New Roman" w:hAnsi="Times New Roman" w:eastAsia="方正仿宋_GBK" w:cs="Times New Roman"/>
          <w:color w:val="000000"/>
          <w:sz w:val="28"/>
        </w:rPr>
        <w:t>万元，主要包括用于保证机关正常运转的办公费</w:t>
      </w:r>
      <w:r>
        <w:rPr>
          <w:rFonts w:hint="eastAsia" w:eastAsia="方正仿宋_GBK" w:cs="Times New Roman"/>
          <w:color w:val="000000"/>
          <w:sz w:val="28"/>
          <w:lang w:val="en-US" w:eastAsia="zh-CN"/>
        </w:rPr>
        <w:t>1.2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、邮电费</w:t>
      </w:r>
      <w:r>
        <w:rPr>
          <w:rFonts w:hint="eastAsia" w:eastAsia="方正仿宋_GBK" w:cs="Times New Roman"/>
          <w:color w:val="000000"/>
          <w:sz w:val="28"/>
          <w:lang w:val="en-US" w:eastAsia="zh-CN"/>
        </w:rPr>
        <w:t>0.4</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、专用材料</w:t>
      </w:r>
      <w:r>
        <w:rPr>
          <w:rFonts w:hint="eastAsia" w:eastAsia="方正仿宋_GBK" w:cs="Times New Roman"/>
          <w:color w:val="000000"/>
          <w:sz w:val="28"/>
          <w:lang w:val="en-US" w:eastAsia="zh-CN"/>
        </w:rPr>
        <w:t>12.2</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的</w:t>
      </w:r>
      <w:r>
        <w:rPr>
          <w:rFonts w:hint="eastAsia" w:ascii="Times New Roman" w:hAnsi="Times New Roman" w:eastAsia="方正仿宋_GBK" w:cs="Times New Roman"/>
          <w:color w:val="000000"/>
          <w:sz w:val="28"/>
        </w:rPr>
        <w:t>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年部门“三公”经费预算安排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。具体增减情况为：</w:t>
      </w:r>
    </w:p>
    <w:p>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（一）公务用车购置及运行费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numPr>
          <w:ilvl w:val="0"/>
          <w:numId w:val="2"/>
        </w:numPr>
        <w:spacing w:before="10" w:after="10" w:line="240" w:lineRule="auto"/>
        <w:ind w:firstLine="640"/>
        <w:jc w:val="left"/>
        <w:outlineLvl w:val="5"/>
        <w:rPr>
          <w:rFonts w:ascii="黑体" w:hAnsi="黑体" w:eastAsia="黑体" w:cs="黑体"/>
          <w:color w:val="000000"/>
          <w:sz w:val="32"/>
        </w:rPr>
      </w:pPr>
      <w:r>
        <w:rPr>
          <w:rFonts w:hint="eastAsia" w:ascii="Times New Roman" w:hAnsi="Times New Roman" w:eastAsia="方正仿宋_GBK" w:cs="Times New Roman"/>
          <w:color w:val="000000"/>
          <w:sz w:val="28"/>
        </w:rPr>
        <w:t>（三）因公出国（境）费</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与</w:t>
      </w: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val="en-US" w:eastAsia="zh-CN"/>
        </w:rPr>
        <w:t>持平</w:t>
      </w:r>
      <w:r>
        <w:rPr>
          <w:rFonts w:hint="eastAsia" w:ascii="Times New Roman" w:hAnsi="Times New Roman" w:eastAsia="方正仿宋_GBK" w:cs="Times New Roman"/>
          <w:color w:val="000000"/>
          <w:sz w:val="28"/>
        </w:rPr>
        <w:t>，无增减变化</w:t>
      </w:r>
      <w:r>
        <w:rPr>
          <w:rFonts w:hint="eastAsia" w:ascii="Times New Roman" w:hAnsi="Times New Roman" w:eastAsia="方正仿宋_GBK" w:cs="Times New Roman"/>
          <w:color w:val="000000"/>
          <w:sz w:val="28"/>
          <w:lang w:eastAsia="zh-CN"/>
        </w:rPr>
        <w:t>。</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根据区委、区政府202</w:t>
      </w:r>
      <w:r>
        <w:rPr>
          <w:rFonts w:hint="eastAsia"/>
          <w:lang w:val="en-US" w:eastAsia="zh-CN"/>
        </w:rPr>
        <w:t>1</w:t>
      </w:r>
      <w:r>
        <w:t>年度计划目标，结合实际情况，特制定我乡镇政府202</w:t>
      </w:r>
      <w:r>
        <w:rPr>
          <w:rFonts w:hint="eastAsia"/>
          <w:lang w:val="en-US" w:eastAsia="zh-CN"/>
        </w:rPr>
        <w:t>1</w:t>
      </w:r>
      <w:r>
        <w:t>年度发展规划目标，具体如下：</w:t>
      </w:r>
    </w:p>
    <w:p>
      <w:pPr>
        <w:pStyle w:val="25"/>
        <w:rPr>
          <w:rFonts w:ascii="黑体" w:hAnsi="黑体" w:eastAsia="黑体" w:cs="黑体"/>
          <w:color w:val="000000"/>
          <w:sz w:val="32"/>
        </w:rPr>
      </w:pPr>
      <w:r>
        <w:t>202</w:t>
      </w:r>
      <w:r>
        <w:rPr>
          <w:rFonts w:hint="eastAsia"/>
          <w:lang w:val="en-US" w:eastAsia="zh-CN"/>
        </w:rPr>
        <w:t>1</w:t>
      </w:r>
      <w:r>
        <w:t>年，我镇将在区委、区政府的坚强领导下，努力践行</w:t>
      </w:r>
      <w:r>
        <w:rPr>
          <w:rFonts w:hint="eastAsia"/>
          <w:lang w:val="en-US" w:eastAsia="zh-CN"/>
        </w:rPr>
        <w:t>习近平新时代</w:t>
      </w:r>
      <w:r>
        <w:t>中国特色社会主义</w:t>
      </w:r>
      <w:r>
        <w:rPr>
          <w:rFonts w:hint="eastAsia"/>
          <w:lang w:val="en-US" w:eastAsia="zh-CN"/>
        </w:rPr>
        <w:t>思想</w:t>
      </w:r>
      <w:r>
        <w:t>，以党的十九大精神指导工作全局，深入和落实科学发展观，提高自主创新能力，全面加强党的建设，紧紧围绕实施“强农稳镇、兴工富镇、城建旺镇、环境立镇、和谐合镇”的战略。把加快中心镇发展作为促进工业化、城镇化、农业化产业，系统解决“三农”问题的重大举措来抓。坚持“以德立镇、产业兴镇、依法治镇”总基调，以发展产业为核心，精心谋划、发挥优势、埋头苦干、砥砺奋进，推进“富裕、美丽、和谐乡村”建设再上新台阶。</w:t>
      </w:r>
    </w:p>
    <w:p>
      <w:pPr>
        <w:spacing w:before="0" w:after="0" w:line="500" w:lineRule="exact"/>
        <w:ind w:firstLine="560"/>
        <w:jc w:val="left"/>
        <w:outlineLvl w:val="9"/>
        <w:rPr>
          <w:rFonts w:ascii="黑体" w:hAnsi="黑体" w:eastAsia="黑体" w:cs="黑体"/>
          <w:color w:val="000000"/>
          <w:sz w:val="32"/>
        </w:rPr>
      </w:pPr>
      <w:r>
        <w:rPr>
          <w:rFonts w:ascii="Times New Roman" w:hAnsi="Times New Roman" w:eastAsia="方正仿宋_GBK" w:cs="Times New Roman"/>
          <w:color w:val="000000"/>
          <w:sz w:val="28"/>
        </w:rPr>
        <w:t>（二）分项绩效目标</w:t>
      </w:r>
    </w:p>
    <w:p>
      <w:pPr>
        <w:pStyle w:val="26"/>
      </w:pPr>
      <w:r>
        <w:rPr>
          <w:rFonts w:hint="eastAsia"/>
          <w:lang w:val="en-US" w:eastAsia="zh-CN"/>
        </w:rPr>
        <w:t>一</w:t>
      </w:r>
      <w:r>
        <w:t>、负责本辖区内应急管理日常工作</w:t>
      </w:r>
    </w:p>
    <w:p>
      <w:pPr>
        <w:pStyle w:val="26"/>
      </w:pPr>
      <w:r>
        <w:t>绩效目标：全面掌握突发事件基本情况，及时上级和有关部门领导汇报，确定应急对策</w:t>
      </w:r>
    </w:p>
    <w:p>
      <w:pPr>
        <w:pStyle w:val="26"/>
        <w:rPr>
          <w:rFonts w:ascii="黑体" w:hAnsi="黑体" w:eastAsia="黑体" w:cs="黑体"/>
          <w:color w:val="000000"/>
          <w:sz w:val="32"/>
        </w:rPr>
      </w:pPr>
      <w:r>
        <w:t>绩效指标：资金发放及时率、群体满意度达到90%以上，规定如期内办结。</w:t>
      </w:r>
    </w:p>
    <w:p>
      <w:pPr>
        <w:pStyle w:val="26"/>
      </w:pPr>
      <w:r>
        <w:rPr>
          <w:rFonts w:hint="eastAsia"/>
          <w:lang w:val="en-US" w:eastAsia="zh-CN"/>
        </w:rPr>
        <w:t>二</w:t>
      </w:r>
      <w:r>
        <w:t>、负责镇综合行政执法工作</w:t>
      </w:r>
    </w:p>
    <w:p>
      <w:pPr>
        <w:pStyle w:val="26"/>
      </w:pPr>
      <w:r>
        <w:t>绩效目标：保障辖区内日常工作的稳定</w:t>
      </w:r>
    </w:p>
    <w:p>
      <w:pPr>
        <w:pStyle w:val="26"/>
      </w:pPr>
      <w:r>
        <w:t>绩效指标：案件完成率、限时结案率达到90%以上，目标群体满意度达到非常满意。</w:t>
      </w:r>
    </w:p>
    <w:p>
      <w:pPr>
        <w:pStyle w:val="26"/>
      </w:pPr>
      <w:r>
        <w:rPr>
          <w:rFonts w:hint="eastAsia"/>
          <w:lang w:val="en-US" w:eastAsia="zh-CN"/>
        </w:rPr>
        <w:t>三</w:t>
      </w:r>
      <w:r>
        <w:t>、负责信息化网络建设与管理工作</w:t>
      </w:r>
    </w:p>
    <w:p>
      <w:pPr>
        <w:pStyle w:val="26"/>
      </w:pPr>
      <w:r>
        <w:t>绩效目标：确保案件按时了结；积极调解民事纠纷</w:t>
      </w:r>
    </w:p>
    <w:p>
      <w:pPr>
        <w:pStyle w:val="26"/>
      </w:pPr>
      <w:r>
        <w:t>绩效指标：重大安保任务完成率、矛盾纠纷调处率、限时结案率达到90%以上。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一、完善制度建设</w:t>
      </w:r>
    </w:p>
    <w:p>
      <w:pPr>
        <w:pStyle w:val="27"/>
      </w:pPr>
      <w:r>
        <w:t>制定完善预算绩效管理制度、资金管理办法、工作保障制度，为全年预算绩效目标的实现奠定基础制度。</w:t>
      </w:r>
    </w:p>
    <w:p>
      <w:pPr>
        <w:pStyle w:val="27"/>
      </w:pPr>
      <w:r>
        <w:t>二、加强支出管理</w:t>
      </w:r>
    </w:p>
    <w:p>
      <w:pPr>
        <w:pStyle w:val="27"/>
      </w:pPr>
      <w:r>
        <w:t>通过优化支出结构、编细编实预算、加快履行政府采购手续、尽快启动项目、及时支付资金、6月底前细化代编预算、按规定及时下达资金等多种措施，确保支出进度达标。</w:t>
      </w:r>
    </w:p>
    <w:p>
      <w:pPr>
        <w:pStyle w:val="27"/>
      </w:pPr>
      <w:r>
        <w:t>三、加强绩效运行监控</w:t>
      </w:r>
    </w:p>
    <w:p>
      <w:pPr>
        <w:pStyle w:val="27"/>
      </w:pPr>
      <w:r>
        <w:t>按要求开展绩效运行监控，发现问题及时采取措施，确保绩效目标如期保质实现。</w:t>
      </w:r>
    </w:p>
    <w:p>
      <w:pPr>
        <w:pStyle w:val="27"/>
      </w:pPr>
      <w:r>
        <w:t>四、做好绩效自评</w:t>
      </w:r>
    </w:p>
    <w:p>
      <w:pPr>
        <w:pStyle w:val="27"/>
      </w:pPr>
      <w:r>
        <w:t>按要求开展上年度部门预算绩效自评和重点评价工作，对评价中发现的问题及时整改，调整优化支出结构，提高财政资金使用效益。</w:t>
      </w:r>
    </w:p>
    <w:p>
      <w:pPr>
        <w:pStyle w:val="27"/>
      </w:pPr>
      <w:r>
        <w:rPr>
          <w:rFonts w:hint="eastAsia"/>
          <w:lang w:val="en-US" w:eastAsia="zh-CN"/>
        </w:rPr>
        <w:t>五</w:t>
      </w:r>
      <w:r>
        <w:t>、加强内部监督</w:t>
      </w:r>
    </w:p>
    <w:p>
      <w:pPr>
        <w:pStyle w:val="27"/>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rPr>
          <w:rFonts w:hint="eastAsia"/>
          <w:lang w:val="en-US" w:eastAsia="zh-CN"/>
        </w:rPr>
        <w:t>六</w:t>
      </w:r>
      <w:r>
        <w:t>、建设平安乡镇，维护社会和谐稳定</w:t>
      </w:r>
    </w:p>
    <w:p>
      <w:pPr>
        <w:pStyle w:val="27"/>
      </w:pPr>
      <w:r>
        <w:t>加强基层党建和干部作风建设。强化意识形态领域工作，加强党员干部队伍教育和管理。加强信访稳定工作。加强法律法规常识教育，积极营造依法治镇氛围，提高群众明辨是非的能力，规范日常言行。加强安全管理。全年至少组织2次安全生产大检查，不出现群死群伤的安全生产事故；人防技防相结合预防和打击各类治安案件、刑事案件，深入开展“扫黑除恶”专项斗争，保证社会秩序良好，群众安居乐业。</w:t>
      </w:r>
    </w:p>
    <w:p>
      <w:pPr>
        <w:numPr>
          <w:ilvl w:val="0"/>
          <w:numId w:val="0"/>
        </w:numPr>
        <w:spacing w:before="10" w:after="10" w:line="240" w:lineRule="auto"/>
        <w:jc w:val="left"/>
        <w:outlineLvl w:val="5"/>
        <w:sectPr>
          <w:pgSz w:w="16840" w:h="11900" w:orient="landscape"/>
          <w:pgMar w:top="1361" w:right="1020" w:bottom="1361"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年，唐山市丰南区公安局大新庄派出所安排政府采购预算0.00万元。具体内容见下表。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551002唐山市丰南区公安局大新庄派出所</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唐山市丰南区公安局大新庄派出所上年末固定资产金额为</w:t>
      </w:r>
      <w:r>
        <w:rPr>
          <w:rFonts w:hint="eastAsia" w:eastAsia="方正仿宋_GBK" w:cs="Times New Roman"/>
          <w:b w:val="0"/>
          <w:color w:val="000000"/>
          <w:sz w:val="28"/>
          <w:highlight w:val="none"/>
          <w:lang w:val="en-US" w:eastAsia="zh-CN"/>
        </w:rPr>
        <w:t>135.04</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highlight w:val="none"/>
              </w:rPr>
            </w:pPr>
            <w:r>
              <w:rPr>
                <w:highlight w:val="none"/>
              </w:rPr>
              <w:t>551002唐山市丰南区公安局大新庄派出所</w:t>
            </w:r>
          </w:p>
        </w:tc>
        <w:tc>
          <w:tcPr>
            <w:tcW w:w="5669" w:type="dxa"/>
            <w:gridSpan w:val="2"/>
            <w:tcBorders>
              <w:top w:val="single" w:color="FFFFFF" w:sz="6" w:space="0"/>
              <w:left w:val="single" w:color="FFFFFF" w:sz="6" w:space="0"/>
              <w:right w:val="single" w:color="FFFFFF" w:sz="6" w:space="0"/>
            </w:tcBorders>
            <w:vAlign w:val="center"/>
          </w:tcPr>
          <w:p>
            <w:pPr>
              <w:pStyle w:val="11"/>
              <w:rPr>
                <w:highlight w:val="none"/>
              </w:rPr>
            </w:pPr>
            <w:r>
              <w:rPr>
                <w:highlight w:val="none"/>
              </w:rPr>
              <w:t>截止时间：202</w:t>
            </w:r>
            <w:r>
              <w:rPr>
                <w:rFonts w:hint="eastAsia"/>
                <w:highlight w:val="none"/>
                <w:lang w:val="en-US" w:eastAsia="zh-CN"/>
              </w:rPr>
              <w:t>0</w:t>
            </w:r>
            <w:r>
              <w:rPr>
                <w:highlight w:val="none"/>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rPr>
                <w:highlight w:val="none"/>
              </w:rPr>
            </w:pPr>
            <w:r>
              <w:rPr>
                <w:highlight w:val="none"/>
              </w:rPr>
              <w:t>项   目</w:t>
            </w:r>
          </w:p>
        </w:tc>
        <w:tc>
          <w:tcPr>
            <w:tcW w:w="2835" w:type="dxa"/>
            <w:vAlign w:val="center"/>
          </w:tcPr>
          <w:p>
            <w:pPr>
              <w:pStyle w:val="14"/>
              <w:rPr>
                <w:highlight w:val="none"/>
              </w:rPr>
            </w:pPr>
            <w:r>
              <w:rPr>
                <w:highlight w:val="none"/>
              </w:rPr>
              <w:t>数量</w:t>
            </w:r>
          </w:p>
        </w:tc>
        <w:tc>
          <w:tcPr>
            <w:tcW w:w="2835" w:type="dxa"/>
            <w:vAlign w:val="center"/>
          </w:tcPr>
          <w:p>
            <w:pPr>
              <w:pStyle w:val="14"/>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highlight w:val="none"/>
                <w:lang w:val="en-US" w:eastAsia="zh-CN"/>
              </w:rPr>
            </w:pPr>
            <w:r>
              <w:rPr>
                <w:rFonts w:hint="eastAsia"/>
                <w:highlight w:val="none"/>
                <w:lang w:val="en-US" w:eastAsia="zh-CN"/>
              </w:rPr>
              <w:t>房屋（平方米）</w:t>
            </w:r>
          </w:p>
        </w:tc>
        <w:tc>
          <w:tcPr>
            <w:tcW w:w="2835" w:type="dxa"/>
            <w:vAlign w:val="center"/>
          </w:tcPr>
          <w:p>
            <w:pPr>
              <w:pStyle w:val="17"/>
              <w:rPr>
                <w:rFonts w:hint="default" w:eastAsia="方正书宋_GBK"/>
                <w:highlight w:val="none"/>
                <w:lang w:val="en-US" w:eastAsia="zh-CN"/>
              </w:rPr>
            </w:pPr>
            <w:r>
              <w:rPr>
                <w:rFonts w:hint="eastAsia"/>
                <w:highlight w:val="none"/>
                <w:lang w:val="en-US" w:eastAsia="zh-CN"/>
              </w:rPr>
              <w:t>760</w:t>
            </w:r>
          </w:p>
        </w:tc>
        <w:tc>
          <w:tcPr>
            <w:tcW w:w="2835" w:type="dxa"/>
            <w:vAlign w:val="center"/>
          </w:tcPr>
          <w:p>
            <w:pPr>
              <w:pStyle w:val="15"/>
              <w:rPr>
                <w:rFonts w:hint="default" w:eastAsia="方正书宋_GBK"/>
                <w:highlight w:val="none"/>
                <w:lang w:val="en-US" w:eastAsia="zh-CN"/>
              </w:rPr>
            </w:pPr>
            <w:r>
              <w:rPr>
                <w:rFonts w:hint="eastAsia"/>
                <w:highlight w:val="none"/>
                <w:lang w:val="en-US" w:eastAsia="zh-CN"/>
              </w:rPr>
              <w:t>99.09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方正书宋_GBK"/>
                <w:highlight w:val="none"/>
                <w:lang w:val="en-US" w:eastAsia="zh-CN"/>
              </w:rPr>
            </w:pPr>
            <w:r>
              <w:rPr>
                <w:rFonts w:hint="eastAsia"/>
                <w:highlight w:val="none"/>
                <w:lang w:val="en-US" w:eastAsia="zh-CN"/>
              </w:rPr>
              <w:t>车辆</w:t>
            </w:r>
          </w:p>
        </w:tc>
        <w:tc>
          <w:tcPr>
            <w:tcW w:w="2835" w:type="dxa"/>
            <w:vAlign w:val="center"/>
          </w:tcPr>
          <w:p>
            <w:pPr>
              <w:pStyle w:val="17"/>
              <w:rPr>
                <w:rFonts w:hint="eastAsia" w:eastAsia="方正书宋_GBK"/>
                <w:highlight w:val="none"/>
                <w:lang w:val="en-US" w:eastAsia="zh-CN"/>
              </w:rPr>
            </w:pPr>
            <w:r>
              <w:rPr>
                <w:rFonts w:hint="eastAsia"/>
                <w:highlight w:val="none"/>
                <w:lang w:val="en-US" w:eastAsia="zh-CN"/>
              </w:rPr>
              <w:t>1</w:t>
            </w:r>
          </w:p>
        </w:tc>
        <w:tc>
          <w:tcPr>
            <w:tcW w:w="2835" w:type="dxa"/>
            <w:vAlign w:val="center"/>
          </w:tcPr>
          <w:p>
            <w:pPr>
              <w:pStyle w:val="15"/>
              <w:rPr>
                <w:rFonts w:hint="default" w:eastAsia="方正书宋_GBK"/>
                <w:highlight w:val="none"/>
                <w:lang w:val="en-US" w:eastAsia="zh-CN"/>
              </w:rPr>
            </w:pPr>
            <w:r>
              <w:rPr>
                <w:rFonts w:hint="eastAsia"/>
                <w:highlight w:val="none"/>
                <w:lang w:val="en-US" w:eastAsia="zh-CN"/>
              </w:rP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default" w:eastAsia="方正书宋_GBK"/>
                <w:highlight w:val="none"/>
                <w:lang w:val="en-US" w:eastAsia="zh-CN"/>
              </w:rPr>
            </w:pPr>
            <w:r>
              <w:rPr>
                <w:rFonts w:hint="eastAsia"/>
                <w:highlight w:val="none"/>
                <w:lang w:val="en-US" w:eastAsia="zh-CN"/>
              </w:rPr>
              <w:t>其他固定资产</w:t>
            </w:r>
          </w:p>
        </w:tc>
        <w:tc>
          <w:tcPr>
            <w:tcW w:w="2835" w:type="dxa"/>
            <w:vAlign w:val="center"/>
          </w:tcPr>
          <w:p>
            <w:pPr>
              <w:pStyle w:val="17"/>
              <w:rPr>
                <w:rFonts w:hint="eastAsia" w:eastAsia="方正书宋_GBK"/>
                <w:highlight w:val="none"/>
                <w:lang w:eastAsia="zh-CN"/>
              </w:rPr>
            </w:pPr>
            <w:r>
              <w:rPr>
                <w:rFonts w:hint="eastAsia"/>
                <w:highlight w:val="none"/>
                <w:lang w:eastAsia="zh-CN"/>
              </w:rPr>
              <w:t>——</w:t>
            </w:r>
          </w:p>
        </w:tc>
        <w:tc>
          <w:tcPr>
            <w:tcW w:w="2835" w:type="dxa"/>
            <w:vAlign w:val="center"/>
          </w:tcPr>
          <w:p>
            <w:pPr>
              <w:pStyle w:val="15"/>
              <w:rPr>
                <w:rFonts w:hint="default" w:eastAsia="方正书宋_GBK"/>
                <w:highlight w:val="none"/>
                <w:lang w:val="en-US" w:eastAsia="zh-CN"/>
              </w:rPr>
            </w:pPr>
            <w:r>
              <w:rPr>
                <w:rFonts w:hint="eastAsia"/>
                <w:highlight w:val="none"/>
                <w:lang w:val="en-US" w:eastAsia="zh-CN"/>
              </w:rPr>
              <w:t>34.69</w:t>
            </w:r>
          </w:p>
        </w:tc>
      </w:tr>
    </w:tbl>
    <w:p>
      <w:pPr>
        <w:spacing w:before="0" w:after="0" w:line="240" w:lineRule="auto"/>
        <w:ind w:firstLine="560" w:firstLineChars="200"/>
        <w:jc w:val="left"/>
        <w:outlineLvl w:val="9"/>
        <w:rPr>
          <w:highlight w:val="none"/>
        </w:rPr>
      </w:pPr>
      <w:r>
        <w:rPr>
          <w:rFonts w:hint="eastAsia" w:ascii="Times New Roman" w:eastAsia="方正仿宋_GBK"/>
          <w:color w:val="auto"/>
          <w:sz w:val="28"/>
          <w:highlight w:val="none"/>
        </w:rPr>
        <w:t>202</w:t>
      </w:r>
      <w:r>
        <w:rPr>
          <w:rFonts w:hint="eastAsia" w:eastAsia="方正仿宋_GBK"/>
          <w:color w:val="auto"/>
          <w:sz w:val="28"/>
          <w:highlight w:val="none"/>
          <w:lang w:val="en-US" w:eastAsia="zh-CN"/>
        </w:rPr>
        <w:t>1</w:t>
      </w:r>
      <w:r>
        <w:rPr>
          <w:rFonts w:hint="eastAsia" w:ascii="Times New Roman" w:eastAsia="方正仿宋_GBK"/>
          <w:color w:val="auto"/>
          <w:sz w:val="28"/>
          <w:highlight w:val="none"/>
        </w:rPr>
        <w:t>年无新增资产</w:t>
      </w:r>
      <w:r>
        <w:rPr>
          <w:rFonts w:hint="eastAsia" w:eastAsia="方正仿宋_GBK"/>
          <w:color w:val="auto"/>
          <w:sz w:val="28"/>
          <w:highlight w:val="none"/>
          <w:lang w:eastAsia="zh-CN"/>
        </w:rPr>
        <w:t>。</w:t>
      </w: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auto"/>
          <w:sz w:val="28"/>
          <w:lang w:val="en-US"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auto"/>
          <w:sz w:val="28"/>
          <w:lang w:val="en-US"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预算政府性基金预算财政拨款支出表，此表无数据，因本单位不涉及政府性基金，因此无数据；</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预算国有资本经营预算财政拨款支出表，此表无数据，因本单位不涉及国有资本经营，因此无数据。</w:t>
      </w:r>
    </w:p>
    <w:p>
      <w:pPr>
        <w:spacing w:before="0" w:after="0" w:line="500" w:lineRule="exact"/>
        <w:ind w:firstLine="560"/>
        <w:jc w:val="left"/>
        <w:outlineLvl w:val="9"/>
        <w:rPr>
          <w:color w:val="FF0000"/>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5AF059"/>
    <w:multiLevelType w:val="singleLevel"/>
    <w:tmpl w:val="955AF059"/>
    <w:lvl w:ilvl="0" w:tentative="0">
      <w:start w:val="5"/>
      <w:numFmt w:val="chineseCounting"/>
      <w:suff w:val="nothing"/>
      <w:lvlText w:val="%1、"/>
      <w:lvlJc w:val="left"/>
      <w:rPr>
        <w:rFonts w:hint="eastAsia"/>
      </w:rPr>
    </w:lvl>
  </w:abstractNum>
  <w:abstractNum w:abstractNumId="1">
    <w:nsid w:val="277935BE"/>
    <w:multiLevelType w:val="singleLevel"/>
    <w:tmpl w:val="277935BE"/>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3D4BAC"/>
    <w:rsid w:val="01491035"/>
    <w:rsid w:val="02D809DE"/>
    <w:rsid w:val="03011498"/>
    <w:rsid w:val="03C411C0"/>
    <w:rsid w:val="04B11A6F"/>
    <w:rsid w:val="054D6077"/>
    <w:rsid w:val="069D5D69"/>
    <w:rsid w:val="09C1778E"/>
    <w:rsid w:val="0A5507AF"/>
    <w:rsid w:val="0A9A5F96"/>
    <w:rsid w:val="0D381076"/>
    <w:rsid w:val="18454472"/>
    <w:rsid w:val="1BBD5F2F"/>
    <w:rsid w:val="230B6BE1"/>
    <w:rsid w:val="2A0C154D"/>
    <w:rsid w:val="2D2D7CE6"/>
    <w:rsid w:val="2DAD48B2"/>
    <w:rsid w:val="2F8A002A"/>
    <w:rsid w:val="39870030"/>
    <w:rsid w:val="3A263B24"/>
    <w:rsid w:val="3ABA4D4C"/>
    <w:rsid w:val="3E6D4AB2"/>
    <w:rsid w:val="3ED65DD2"/>
    <w:rsid w:val="3F99487E"/>
    <w:rsid w:val="40592462"/>
    <w:rsid w:val="42D13147"/>
    <w:rsid w:val="47A44AE9"/>
    <w:rsid w:val="4BE805F8"/>
    <w:rsid w:val="4F0C5826"/>
    <w:rsid w:val="55982EC3"/>
    <w:rsid w:val="560A6339"/>
    <w:rsid w:val="591562C8"/>
    <w:rsid w:val="5F1E4F88"/>
    <w:rsid w:val="5F451B6F"/>
    <w:rsid w:val="67EB6BD9"/>
    <w:rsid w:val="68506C45"/>
    <w:rsid w:val="68C74494"/>
    <w:rsid w:val="6CFD13BE"/>
    <w:rsid w:val="7257495E"/>
    <w:rsid w:val="77D04CCD"/>
    <w:rsid w:val="78FA180A"/>
    <w:rsid w:val="793A43A7"/>
    <w:rsid w:val="7C1D0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semiHidden/>
    <w:unhideWhenUsed/>
    <w:qFormat/>
    <w:uiPriority w:val="99"/>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Normal_10a57135-6c49-409f-8599-7263af445f2e"/>
    <w:qFormat/>
    <w:uiPriority w:val="0"/>
    <w:rPr>
      <w:rFonts w:ascii="Times New Roman" w:hAnsi="Times New Roman" w:eastAsia="Times New Roman" w:cstheme="minorBidi"/>
      <w:sz w:val="24"/>
      <w:szCs w:val="24"/>
      <w:lang w:val="en-US" w:eastAsia="uk-UA" w:bidi="ar-SA"/>
    </w:rPr>
  </w:style>
  <w:style w:type="paragraph" w:customStyle="1" w:styleId="29">
    <w:name w:val="单元格样式1_94eb9a6d-2657-47a5-9848-4ffb3c83df84"/>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2_a88c4c50-7d0c-49e3-a71c-f78bfde94a4f"/>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1">
    <w:name w:val="单元格样式3_cdd96a08-c2b7-4cb9-9309-45269fa03d8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2022-02-18T10:10:51Z</dcterms:created>
  <dcterms:modified xsi:type="dcterms:W3CDTF">2022-02-18T02:10:50Z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2022-02-18T10:12:23Z</dcterms:created>
  <dcterms:modified xsi:type="dcterms:W3CDTF">2022-02-18T02:12:23Z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2022-02-18T10:12:44Z</dcterms:created>
  <dcterms:modified xsi:type="dcterms:W3CDTF">2022-02-18T02:12:44Z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2022-02-18T10:09:27Z</dcterms:created>
  <dcterms:modified xsi:type="dcterms:W3CDTF">2022-02-18T02:09:27Z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2022-02-18T10:12:50Z</dcterms:created>
  <dcterms:modified xsi:type="dcterms:W3CDTF">2022-02-18T02:12:50Z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2022-02-18T10:10:16Z</dcterms:created>
  <dcterms:modified xsi:type="dcterms:W3CDTF">2022-02-18T02:10:16Z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285fb0e-cc3d-4bc5-9b43-c9f0de1565c2}">
  <ds:schemaRefs/>
</ds:datastoreItem>
</file>

<file path=customXml/itemProps11.xml><?xml version="1.0" encoding="utf-8"?>
<ds:datastoreItem xmlns:ds="http://schemas.openxmlformats.org/officeDocument/2006/customXml" ds:itemID="{510c207b-862b-4e76-a0f3-63c19e3d8ee2}">
  <ds:schemaRefs/>
</ds:datastoreItem>
</file>

<file path=customXml/itemProps12.xml><?xml version="1.0" encoding="utf-8"?>
<ds:datastoreItem xmlns:ds="http://schemas.openxmlformats.org/officeDocument/2006/customXml" ds:itemID="{78d9173a-19da-45c1-a6d5-163dd042ee01}">
  <ds:schemaRefs/>
</ds:datastoreItem>
</file>

<file path=customXml/itemProps13.xml><?xml version="1.0" encoding="utf-8"?>
<ds:datastoreItem xmlns:ds="http://schemas.openxmlformats.org/officeDocument/2006/customXml" ds:itemID="{8edd1937-1eab-4e6d-9eeb-4d1b04397c03}">
  <ds:schemaRefs/>
</ds:datastoreItem>
</file>

<file path=customXml/itemProps2.xml><?xml version="1.0" encoding="utf-8"?>
<ds:datastoreItem xmlns:ds="http://schemas.openxmlformats.org/officeDocument/2006/customXml" ds:itemID="{cc90aa8b-ee1b-450e-a2e0-e6549f58db7b}">
  <ds:schemaRefs/>
</ds:datastoreItem>
</file>

<file path=customXml/itemProps3.xml><?xml version="1.0" encoding="utf-8"?>
<ds:datastoreItem xmlns:ds="http://schemas.openxmlformats.org/officeDocument/2006/customXml" ds:itemID="{4b82e090-3a94-4008-931a-e7be7791369a}">
  <ds:schemaRefs/>
</ds:datastoreItem>
</file>

<file path=customXml/itemProps4.xml><?xml version="1.0" encoding="utf-8"?>
<ds:datastoreItem xmlns:ds="http://schemas.openxmlformats.org/officeDocument/2006/customXml" ds:itemID="{e0cb4525-24b8-413a-8fb0-62e2777c472e}">
  <ds:schemaRefs/>
</ds:datastoreItem>
</file>

<file path=customXml/itemProps5.xml><?xml version="1.0" encoding="utf-8"?>
<ds:datastoreItem xmlns:ds="http://schemas.openxmlformats.org/officeDocument/2006/customXml" ds:itemID="{bfac9e3b-abf9-4dbc-ab33-9ce2c6f7a56d}">
  <ds:schemaRefs/>
</ds:datastoreItem>
</file>

<file path=customXml/itemProps6.xml><?xml version="1.0" encoding="utf-8"?>
<ds:datastoreItem xmlns:ds="http://schemas.openxmlformats.org/officeDocument/2006/customXml" ds:itemID="{3c249070-e2f6-4ded-9978-5e51a232308f}">
  <ds:schemaRefs/>
</ds:datastoreItem>
</file>

<file path=customXml/itemProps7.xml><?xml version="1.0" encoding="utf-8"?>
<ds:datastoreItem xmlns:ds="http://schemas.openxmlformats.org/officeDocument/2006/customXml" ds:itemID="{f6dfbf44-0fa6-4907-9dfb-dfa4def4d990}">
  <ds:schemaRefs/>
</ds:datastoreItem>
</file>

<file path=customXml/itemProps8.xml><?xml version="1.0" encoding="utf-8"?>
<ds:datastoreItem xmlns:ds="http://schemas.openxmlformats.org/officeDocument/2006/customXml" ds:itemID="{e7b28c05-1503-4ec6-afca-0c19ec93446b}">
  <ds:schemaRefs/>
</ds:datastoreItem>
</file>

<file path=customXml/itemProps9.xml><?xml version="1.0" encoding="utf-8"?>
<ds:datastoreItem xmlns:ds="http://schemas.openxmlformats.org/officeDocument/2006/customXml" ds:itemID="{d425c888-e7f8-4347-845d-57aea73a714e}">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2022-02-18T10:12:00Z</dcterms:created>
  <dc:creator>Administrator</dc:creator>
  <cp:lastModifiedBy>Administrator</cp:lastModifiedBy>
  <dcterms:modified xsi:type="dcterms:W3CDTF">2024-12-18T03:18:18Z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