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1343.77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1201.85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1343.77</w:t>
            </w:r>
          </w:p>
        </w:tc>
        <w:tc>
          <w:tcPr>
            <w:tcW w:w="4535" w:type="dxa"/>
            <w:vAlign w:val="center"/>
          </w:tcPr>
          <w:p>
            <w:pPr>
              <w:pStyle w:val="14"/>
            </w:pPr>
            <w:r>
              <w:t>本年支出合计</w:t>
            </w:r>
          </w:p>
        </w:tc>
        <w:tc>
          <w:tcPr>
            <w:tcW w:w="2126" w:type="dxa"/>
            <w:vAlign w:val="center"/>
          </w:tcPr>
          <w:p>
            <w:pPr>
              <w:pStyle w:val="15"/>
            </w:pPr>
            <w:r>
              <w:t>1343.77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1343.77</w:t>
            </w:r>
          </w:p>
        </w:tc>
        <w:tc>
          <w:tcPr>
            <w:tcW w:w="4535" w:type="dxa"/>
            <w:vAlign w:val="center"/>
          </w:tcPr>
          <w:p>
            <w:pPr>
              <w:pStyle w:val="14"/>
            </w:pPr>
            <w:r>
              <w:t>支出总计</w:t>
            </w:r>
          </w:p>
        </w:tc>
        <w:tc>
          <w:tcPr>
            <w:tcW w:w="2126" w:type="dxa"/>
            <w:vAlign w:val="center"/>
          </w:tcPr>
          <w:p>
            <w:pPr>
              <w:pStyle w:val="15"/>
            </w:pPr>
            <w:r>
              <w:t>1343.77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1343.77</w:t>
            </w:r>
          </w:p>
        </w:tc>
        <w:tc>
          <w:tcPr>
            <w:tcW w:w="1134" w:type="dxa"/>
            <w:vAlign w:val="center"/>
          </w:tcPr>
          <w:p>
            <w:pPr>
              <w:pStyle w:val="15"/>
            </w:pPr>
            <w:r>
              <w:t>1343.77</w:t>
            </w:r>
          </w:p>
        </w:tc>
        <w:tc>
          <w:tcPr>
            <w:tcW w:w="1134" w:type="dxa"/>
            <w:vAlign w:val="center"/>
          </w:tcPr>
          <w:p>
            <w:pPr>
              <w:pStyle w:val="15"/>
            </w:pPr>
            <w:r>
              <w:t>1343.77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141.92</w:t>
            </w:r>
          </w:p>
        </w:tc>
        <w:tc>
          <w:tcPr>
            <w:tcW w:w="1134" w:type="dxa"/>
            <w:vAlign w:val="center"/>
          </w:tcPr>
          <w:p>
            <w:pPr>
              <w:pStyle w:val="11"/>
            </w:pPr>
            <w:r>
              <w:t>141.92</w:t>
            </w:r>
          </w:p>
        </w:tc>
        <w:tc>
          <w:tcPr>
            <w:tcW w:w="1134" w:type="dxa"/>
            <w:vAlign w:val="center"/>
          </w:tcPr>
          <w:p>
            <w:pPr>
              <w:pStyle w:val="11"/>
            </w:pPr>
            <w:r>
              <w:t>141.92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1201.85</w:t>
            </w:r>
          </w:p>
        </w:tc>
        <w:tc>
          <w:tcPr>
            <w:tcW w:w="1134" w:type="dxa"/>
            <w:vAlign w:val="center"/>
          </w:tcPr>
          <w:p>
            <w:pPr>
              <w:pStyle w:val="11"/>
            </w:pPr>
            <w:r>
              <w:t>1201.85</w:t>
            </w:r>
          </w:p>
        </w:tc>
        <w:tc>
          <w:tcPr>
            <w:tcW w:w="1134" w:type="dxa"/>
            <w:vAlign w:val="center"/>
          </w:tcPr>
          <w:p>
            <w:pPr>
              <w:pStyle w:val="11"/>
            </w:pPr>
            <w:r>
              <w:t>1201.85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715.01</w:t>
            </w:r>
          </w:p>
        </w:tc>
        <w:tc>
          <w:tcPr>
            <w:tcW w:w="1134" w:type="dxa"/>
            <w:vAlign w:val="center"/>
          </w:tcPr>
          <w:p>
            <w:pPr>
              <w:pStyle w:val="11"/>
            </w:pPr>
            <w:r>
              <w:t>715.01</w:t>
            </w:r>
          </w:p>
        </w:tc>
        <w:tc>
          <w:tcPr>
            <w:tcW w:w="1134" w:type="dxa"/>
            <w:vAlign w:val="center"/>
          </w:tcPr>
          <w:p>
            <w:pPr>
              <w:pStyle w:val="11"/>
            </w:pPr>
            <w:r>
              <w:t>715.01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165.37</w:t>
            </w:r>
          </w:p>
        </w:tc>
        <w:tc>
          <w:tcPr>
            <w:tcW w:w="1134" w:type="dxa"/>
            <w:vAlign w:val="center"/>
          </w:tcPr>
          <w:p>
            <w:pPr>
              <w:pStyle w:val="11"/>
            </w:pPr>
            <w:r>
              <w:t>165.37</w:t>
            </w:r>
          </w:p>
        </w:tc>
        <w:tc>
          <w:tcPr>
            <w:tcW w:w="1134" w:type="dxa"/>
            <w:vAlign w:val="center"/>
          </w:tcPr>
          <w:p>
            <w:pPr>
              <w:pStyle w:val="11"/>
            </w:pPr>
            <w:r>
              <w:t>165.37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549.64</w:t>
            </w:r>
          </w:p>
        </w:tc>
        <w:tc>
          <w:tcPr>
            <w:tcW w:w="1134" w:type="dxa"/>
            <w:vAlign w:val="center"/>
          </w:tcPr>
          <w:p>
            <w:pPr>
              <w:pStyle w:val="11"/>
            </w:pPr>
            <w:r>
              <w:t>549.64</w:t>
            </w:r>
          </w:p>
        </w:tc>
        <w:tc>
          <w:tcPr>
            <w:tcW w:w="1134" w:type="dxa"/>
            <w:vAlign w:val="center"/>
          </w:tcPr>
          <w:p>
            <w:pPr>
              <w:pStyle w:val="11"/>
            </w:pPr>
            <w:r>
              <w:t>549.64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21102</w:t>
            </w:r>
          </w:p>
        </w:tc>
        <w:tc>
          <w:tcPr>
            <w:tcW w:w="1559" w:type="dxa"/>
            <w:vAlign w:val="center"/>
          </w:tcPr>
          <w:p>
            <w:pPr>
              <w:pStyle w:val="12"/>
            </w:pPr>
            <w:r>
              <w:t>环境监测与监察</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2110299</w:t>
            </w:r>
          </w:p>
        </w:tc>
        <w:tc>
          <w:tcPr>
            <w:tcW w:w="1559" w:type="dxa"/>
            <w:vAlign w:val="center"/>
          </w:tcPr>
          <w:p>
            <w:pPr>
              <w:pStyle w:val="12"/>
            </w:pPr>
            <w:r>
              <w:t>其他环境监测与监察支出</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1343.77</w:t>
            </w:r>
          </w:p>
        </w:tc>
        <w:tc>
          <w:tcPr>
            <w:tcW w:w="1361" w:type="dxa"/>
            <w:vAlign w:val="center"/>
          </w:tcPr>
          <w:p>
            <w:pPr>
              <w:pStyle w:val="15"/>
            </w:pPr>
            <w:r>
              <w:t>165.37</w:t>
            </w:r>
          </w:p>
        </w:tc>
        <w:tc>
          <w:tcPr>
            <w:tcW w:w="1361" w:type="dxa"/>
            <w:vAlign w:val="center"/>
          </w:tcPr>
          <w:p>
            <w:pPr>
              <w:pStyle w:val="15"/>
            </w:pPr>
            <w:r>
              <w:t>1178.40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141.92</w:t>
            </w:r>
          </w:p>
        </w:tc>
        <w:tc>
          <w:tcPr>
            <w:tcW w:w="1361" w:type="dxa"/>
            <w:vAlign w:val="center"/>
          </w:tcPr>
          <w:p>
            <w:pPr>
              <w:pStyle w:val="11"/>
            </w:pPr>
          </w:p>
        </w:tc>
        <w:tc>
          <w:tcPr>
            <w:tcW w:w="1361" w:type="dxa"/>
            <w:vAlign w:val="center"/>
          </w:tcPr>
          <w:p>
            <w:pPr>
              <w:pStyle w:val="11"/>
            </w:pPr>
            <w:r>
              <w:t>141.92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1201.85</w:t>
            </w:r>
          </w:p>
        </w:tc>
        <w:tc>
          <w:tcPr>
            <w:tcW w:w="1361" w:type="dxa"/>
            <w:vAlign w:val="center"/>
          </w:tcPr>
          <w:p>
            <w:pPr>
              <w:pStyle w:val="11"/>
            </w:pPr>
            <w:r>
              <w:t>165.37</w:t>
            </w:r>
          </w:p>
        </w:tc>
        <w:tc>
          <w:tcPr>
            <w:tcW w:w="1361" w:type="dxa"/>
            <w:vAlign w:val="center"/>
          </w:tcPr>
          <w:p>
            <w:pPr>
              <w:pStyle w:val="11"/>
            </w:pPr>
            <w:r>
              <w:t>1036.48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715.01</w:t>
            </w:r>
          </w:p>
        </w:tc>
        <w:tc>
          <w:tcPr>
            <w:tcW w:w="1361" w:type="dxa"/>
            <w:vAlign w:val="center"/>
          </w:tcPr>
          <w:p>
            <w:pPr>
              <w:pStyle w:val="11"/>
            </w:pPr>
            <w:r>
              <w:t>165.37</w:t>
            </w: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165.37</w:t>
            </w:r>
          </w:p>
        </w:tc>
        <w:tc>
          <w:tcPr>
            <w:tcW w:w="1361" w:type="dxa"/>
            <w:vAlign w:val="center"/>
          </w:tcPr>
          <w:p>
            <w:pPr>
              <w:pStyle w:val="11"/>
            </w:pPr>
            <w:r>
              <w:t>165.37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21102</w:t>
            </w:r>
          </w:p>
        </w:tc>
        <w:tc>
          <w:tcPr>
            <w:tcW w:w="4535" w:type="dxa"/>
            <w:vAlign w:val="center"/>
          </w:tcPr>
          <w:p>
            <w:pPr>
              <w:pStyle w:val="12"/>
            </w:pPr>
            <w:r>
              <w:t>环境监测与监察</w:t>
            </w: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2110299</w:t>
            </w:r>
          </w:p>
        </w:tc>
        <w:tc>
          <w:tcPr>
            <w:tcW w:w="4535" w:type="dxa"/>
            <w:vAlign w:val="center"/>
          </w:tcPr>
          <w:p>
            <w:pPr>
              <w:pStyle w:val="12"/>
            </w:pPr>
            <w:r>
              <w:t>其他环境监测与监察支出</w:t>
            </w: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1343.77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141.92</w:t>
            </w:r>
          </w:p>
        </w:tc>
        <w:tc>
          <w:tcPr>
            <w:tcW w:w="1474" w:type="dxa"/>
            <w:vAlign w:val="center"/>
          </w:tcPr>
          <w:p>
            <w:pPr>
              <w:pStyle w:val="11"/>
            </w:pPr>
            <w:r>
              <w:t>141.92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1201.85</w:t>
            </w:r>
          </w:p>
        </w:tc>
        <w:tc>
          <w:tcPr>
            <w:tcW w:w="1474" w:type="dxa"/>
            <w:vAlign w:val="center"/>
          </w:tcPr>
          <w:p>
            <w:pPr>
              <w:pStyle w:val="11"/>
            </w:pPr>
            <w:r>
              <w:t>1201.85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1343.77</w:t>
            </w:r>
          </w:p>
        </w:tc>
        <w:tc>
          <w:tcPr>
            <w:tcW w:w="3402" w:type="dxa"/>
            <w:vAlign w:val="center"/>
          </w:tcPr>
          <w:p>
            <w:pPr>
              <w:pStyle w:val="14"/>
            </w:pPr>
            <w:r>
              <w:t>本年支出合计</w:t>
            </w:r>
          </w:p>
        </w:tc>
        <w:tc>
          <w:tcPr>
            <w:tcW w:w="1474" w:type="dxa"/>
            <w:vAlign w:val="center"/>
          </w:tcPr>
          <w:p>
            <w:pPr>
              <w:pStyle w:val="15"/>
            </w:pPr>
            <w:r>
              <w:t>1343.77</w:t>
            </w:r>
          </w:p>
        </w:tc>
        <w:tc>
          <w:tcPr>
            <w:tcW w:w="1474" w:type="dxa"/>
            <w:vAlign w:val="center"/>
          </w:tcPr>
          <w:p>
            <w:pPr>
              <w:pStyle w:val="15"/>
            </w:pPr>
            <w:r>
              <w:t>1343.77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1343.77</w:t>
            </w:r>
          </w:p>
        </w:tc>
        <w:tc>
          <w:tcPr>
            <w:tcW w:w="3402" w:type="dxa"/>
            <w:vAlign w:val="center"/>
          </w:tcPr>
          <w:p>
            <w:pPr>
              <w:pStyle w:val="14"/>
            </w:pPr>
            <w:r>
              <w:t>支出总计</w:t>
            </w:r>
          </w:p>
        </w:tc>
        <w:tc>
          <w:tcPr>
            <w:tcW w:w="1474" w:type="dxa"/>
            <w:vAlign w:val="center"/>
          </w:tcPr>
          <w:p>
            <w:pPr>
              <w:pStyle w:val="15"/>
            </w:pPr>
            <w:r>
              <w:t>1343.77</w:t>
            </w:r>
          </w:p>
        </w:tc>
        <w:tc>
          <w:tcPr>
            <w:tcW w:w="1474" w:type="dxa"/>
            <w:vAlign w:val="center"/>
          </w:tcPr>
          <w:p>
            <w:pPr>
              <w:pStyle w:val="15"/>
            </w:pPr>
            <w:r>
              <w:t>1343.77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1343.77</w:t>
            </w:r>
          </w:p>
        </w:tc>
        <w:tc>
          <w:tcPr>
            <w:tcW w:w="2551" w:type="dxa"/>
            <w:vAlign w:val="center"/>
          </w:tcPr>
          <w:p>
            <w:pPr>
              <w:pStyle w:val="15"/>
            </w:pPr>
            <w:r>
              <w:t>165.37</w:t>
            </w:r>
          </w:p>
        </w:tc>
        <w:tc>
          <w:tcPr>
            <w:tcW w:w="2551" w:type="dxa"/>
            <w:vAlign w:val="center"/>
          </w:tcPr>
          <w:p>
            <w:pPr>
              <w:pStyle w:val="15"/>
            </w:pPr>
            <w:r>
              <w:t>1178.40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141.92</w:t>
            </w:r>
          </w:p>
        </w:tc>
        <w:tc>
          <w:tcPr>
            <w:tcW w:w="2551" w:type="dxa"/>
            <w:vAlign w:val="center"/>
          </w:tcPr>
          <w:p>
            <w:pPr>
              <w:pStyle w:val="11"/>
            </w:pPr>
          </w:p>
        </w:tc>
        <w:tc>
          <w:tcPr>
            <w:tcW w:w="2551" w:type="dxa"/>
            <w:vAlign w:val="center"/>
          </w:tcPr>
          <w:p>
            <w:pPr>
              <w:pStyle w:val="11"/>
            </w:pPr>
            <w:r>
              <w:t>141.92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141.00</w:t>
            </w:r>
          </w:p>
        </w:tc>
        <w:tc>
          <w:tcPr>
            <w:tcW w:w="2551" w:type="dxa"/>
            <w:vAlign w:val="center"/>
          </w:tcPr>
          <w:p>
            <w:pPr>
              <w:pStyle w:val="11"/>
            </w:pPr>
          </w:p>
        </w:tc>
        <w:tc>
          <w:tcPr>
            <w:tcW w:w="2551"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141.00</w:t>
            </w:r>
          </w:p>
        </w:tc>
        <w:tc>
          <w:tcPr>
            <w:tcW w:w="2551" w:type="dxa"/>
            <w:vAlign w:val="center"/>
          </w:tcPr>
          <w:p>
            <w:pPr>
              <w:pStyle w:val="11"/>
            </w:pPr>
          </w:p>
        </w:tc>
        <w:tc>
          <w:tcPr>
            <w:tcW w:w="2551"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1201.85</w:t>
            </w:r>
          </w:p>
        </w:tc>
        <w:tc>
          <w:tcPr>
            <w:tcW w:w="2551" w:type="dxa"/>
            <w:vAlign w:val="center"/>
          </w:tcPr>
          <w:p>
            <w:pPr>
              <w:pStyle w:val="11"/>
            </w:pPr>
            <w:r>
              <w:t>165.37</w:t>
            </w:r>
          </w:p>
        </w:tc>
        <w:tc>
          <w:tcPr>
            <w:tcW w:w="2551" w:type="dxa"/>
            <w:vAlign w:val="center"/>
          </w:tcPr>
          <w:p>
            <w:pPr>
              <w:pStyle w:val="11"/>
            </w:pPr>
            <w:r>
              <w:t>1036.48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715.01</w:t>
            </w:r>
          </w:p>
        </w:tc>
        <w:tc>
          <w:tcPr>
            <w:tcW w:w="2551" w:type="dxa"/>
            <w:vAlign w:val="center"/>
          </w:tcPr>
          <w:p>
            <w:pPr>
              <w:pStyle w:val="11"/>
            </w:pPr>
            <w:r>
              <w:t>165.37</w:t>
            </w:r>
          </w:p>
        </w:tc>
        <w:tc>
          <w:tcPr>
            <w:tcW w:w="2551" w:type="dxa"/>
            <w:vAlign w:val="center"/>
          </w:tcPr>
          <w:p>
            <w:pPr>
              <w:pStyle w:val="11"/>
            </w:pPr>
            <w:r>
              <w:t>549.64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165.37</w:t>
            </w:r>
          </w:p>
        </w:tc>
        <w:tc>
          <w:tcPr>
            <w:tcW w:w="2551" w:type="dxa"/>
            <w:vAlign w:val="center"/>
          </w:tcPr>
          <w:p>
            <w:pPr>
              <w:pStyle w:val="11"/>
            </w:pPr>
            <w:r>
              <w:t>165.37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549.64</w:t>
            </w:r>
          </w:p>
        </w:tc>
        <w:tc>
          <w:tcPr>
            <w:tcW w:w="2551" w:type="dxa"/>
            <w:vAlign w:val="center"/>
          </w:tcPr>
          <w:p>
            <w:pPr>
              <w:pStyle w:val="11"/>
            </w:pPr>
          </w:p>
        </w:tc>
        <w:tc>
          <w:tcPr>
            <w:tcW w:w="2551" w:type="dxa"/>
            <w:vAlign w:val="center"/>
          </w:tcPr>
          <w:p>
            <w:pPr>
              <w:pStyle w:val="11"/>
            </w:pPr>
            <w:r>
              <w:t>549.64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21102</w:t>
            </w:r>
          </w:p>
        </w:tc>
        <w:tc>
          <w:tcPr>
            <w:tcW w:w="4535" w:type="dxa"/>
            <w:vAlign w:val="center"/>
          </w:tcPr>
          <w:p>
            <w:pPr>
              <w:pStyle w:val="12"/>
            </w:pPr>
            <w:r>
              <w:t>环境监测与监察</w:t>
            </w:r>
          </w:p>
        </w:tc>
        <w:tc>
          <w:tcPr>
            <w:tcW w:w="2551" w:type="dxa"/>
            <w:vAlign w:val="center"/>
          </w:tcPr>
          <w:p>
            <w:pPr>
              <w:pStyle w:val="11"/>
            </w:pPr>
            <w:r>
              <w:t>86.84</w:t>
            </w:r>
          </w:p>
        </w:tc>
        <w:tc>
          <w:tcPr>
            <w:tcW w:w="2551" w:type="dxa"/>
            <w:vAlign w:val="center"/>
          </w:tcPr>
          <w:p>
            <w:pPr>
              <w:pStyle w:val="11"/>
            </w:pPr>
          </w:p>
        </w:tc>
        <w:tc>
          <w:tcPr>
            <w:tcW w:w="2551" w:type="dxa"/>
            <w:vAlign w:val="center"/>
          </w:tcPr>
          <w:p>
            <w:pPr>
              <w:pStyle w:val="11"/>
            </w:pPr>
            <w:r>
              <w:t>86.84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2110299</w:t>
            </w:r>
          </w:p>
        </w:tc>
        <w:tc>
          <w:tcPr>
            <w:tcW w:w="4535" w:type="dxa"/>
            <w:vAlign w:val="center"/>
          </w:tcPr>
          <w:p>
            <w:pPr>
              <w:pStyle w:val="12"/>
            </w:pPr>
            <w:r>
              <w:t>其他环境监测与监察支出</w:t>
            </w:r>
          </w:p>
        </w:tc>
        <w:tc>
          <w:tcPr>
            <w:tcW w:w="2551" w:type="dxa"/>
            <w:vAlign w:val="center"/>
          </w:tcPr>
          <w:p>
            <w:pPr>
              <w:pStyle w:val="11"/>
            </w:pPr>
            <w:r>
              <w:t>86.84</w:t>
            </w:r>
          </w:p>
        </w:tc>
        <w:tc>
          <w:tcPr>
            <w:tcW w:w="2551" w:type="dxa"/>
            <w:vAlign w:val="center"/>
          </w:tcPr>
          <w:p>
            <w:pPr>
              <w:pStyle w:val="11"/>
            </w:pPr>
          </w:p>
        </w:tc>
        <w:tc>
          <w:tcPr>
            <w:tcW w:w="2551" w:type="dxa"/>
            <w:vAlign w:val="center"/>
          </w:tcPr>
          <w:p>
            <w:pPr>
              <w:pStyle w:val="11"/>
            </w:pPr>
            <w:r>
              <w:t>86.84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165.37</w:t>
            </w:r>
          </w:p>
        </w:tc>
        <w:tc>
          <w:tcPr>
            <w:tcW w:w="2551" w:type="dxa"/>
            <w:vAlign w:val="center"/>
          </w:tcPr>
          <w:p>
            <w:pPr>
              <w:pStyle w:val="15"/>
            </w:pPr>
            <w:r>
              <w:t>159.03</w:t>
            </w:r>
          </w:p>
        </w:tc>
        <w:tc>
          <w:tcPr>
            <w:tcW w:w="2551" w:type="dxa"/>
            <w:vAlign w:val="center"/>
          </w:tcPr>
          <w:p>
            <w:pPr>
              <w:pStyle w:val="15"/>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159.03</w:t>
            </w:r>
          </w:p>
        </w:tc>
        <w:tc>
          <w:tcPr>
            <w:tcW w:w="2551" w:type="dxa"/>
            <w:vAlign w:val="center"/>
          </w:tcPr>
          <w:p>
            <w:pPr>
              <w:pStyle w:val="11"/>
            </w:pPr>
            <w:r>
              <w:t>159.03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159.03</w:t>
            </w:r>
          </w:p>
        </w:tc>
        <w:tc>
          <w:tcPr>
            <w:tcW w:w="2551" w:type="dxa"/>
            <w:vAlign w:val="center"/>
          </w:tcPr>
          <w:p>
            <w:pPr>
              <w:pStyle w:val="11"/>
            </w:pPr>
            <w:r>
              <w:t>159.03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1.95</w:t>
            </w:r>
          </w:p>
        </w:tc>
        <w:tc>
          <w:tcPr>
            <w:tcW w:w="2551" w:type="dxa"/>
            <w:vAlign w:val="center"/>
          </w:tcPr>
          <w:p>
            <w:pPr>
              <w:pStyle w:val="11"/>
            </w:pPr>
          </w:p>
        </w:tc>
        <w:tc>
          <w:tcPr>
            <w:tcW w:w="2551" w:type="dxa"/>
            <w:vAlign w:val="center"/>
          </w:tcPr>
          <w:p>
            <w:pPr>
              <w:pStyle w:val="11"/>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唐山市生态环境局丰南区分局2023年部门预算信息公开情况说明</w:t>
      </w:r>
    </w:p>
    <w:p>
      <w:pPr>
        <w:jc w:val="center"/>
      </w:pPr>
      <w:r>
        <w:rPr>
          <w:rFonts w:ascii="方正小标宋_GBK" w:hAnsi="方正小标宋_GBK" w:eastAsia="方正小标宋_GBK" w:cs="方正小标宋_GBK"/>
          <w:color w:val="000000"/>
          <w:sz w:val="44"/>
        </w:rPr>
        <w:t>唐山市生态环境局丰南区分局2023年部门预算信息公开情况说明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按照《预算法》、《地方预决算公开操作规程》和《关于进一步推进预算公开工作的实施意见》规定，现将唐山市生态环境局丰南区分局2023年部门预算公开如下：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会同有关部门贯彻执行国家和省、市生态环境保护的方针政策、法律、法规、规章、标准、基准和技术规范，并对实施情况进行监督检查。2、负责本辖区内生态环境问题的统筹协调和监督管理。负责本辖区内生态环境准入的监督管理。3、指导协调和监督本辖区内生态保护修复工作。4、负责本辖区内污染防治、污染物减排、生态环境监测、生态创建、生态环境宣传教育等工作。负责本辖区内核与辐射安全的监督管理。5、负责受理环境污染纠纷、投诉、并作出处理，对环境污染事故进行现场调查及处理等工作。6、按照相关规定办理行政许可事项和服务事项。7、完成市生态环境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唐山市生态环境局丰南区分局本级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按照预算管理有关规定，目前我省部门预算的编制实行综合预算管理，即全部收入和支出都反映在预算中。唐山市生态环境局丰南区分局机关及所属事业单位的收支包含在部门预算中。</w:t>
      </w:r>
    </w:p>
    <w:p>
      <w:pPr>
        <w:pStyle w:val="18"/>
      </w:pPr>
      <w:r>
        <w:t>（一）收入说明</w:t>
      </w:r>
    </w:p>
    <w:p>
      <w:pPr>
        <w:pStyle w:val="18"/>
        <w:rPr>
          <w:color w:val="auto"/>
        </w:rPr>
      </w:pPr>
      <w:r>
        <w:rPr>
          <w:color w:val="000000" w:themeColor="text1"/>
        </w:rPr>
        <w:t>反映本部门当年全部收入。20</w:t>
      </w:r>
      <w:r>
        <w:rPr>
          <w:rFonts w:hint="eastAsia"/>
          <w:color w:val="000000" w:themeColor="text1"/>
          <w:lang w:val="en-US" w:eastAsia="zh-CN"/>
        </w:rPr>
        <w:t>23</w:t>
      </w:r>
      <w:r>
        <w:rPr>
          <w:color w:val="000000" w:themeColor="text1"/>
        </w:rPr>
        <w:t>年预算收入</w:t>
      </w:r>
      <w:r>
        <w:rPr>
          <w:rFonts w:hint="eastAsia"/>
          <w:color w:val="000000" w:themeColor="text1"/>
          <w:lang w:val="en-US" w:eastAsia="zh-CN"/>
        </w:rPr>
        <w:t>1343.77</w:t>
      </w:r>
      <w:r>
        <w:rPr>
          <w:color w:val="000000" w:themeColor="text1"/>
        </w:rPr>
        <w:t>万元，其中：一般公共预算收入</w:t>
      </w:r>
      <w:r>
        <w:rPr>
          <w:rFonts w:hint="eastAsia"/>
          <w:color w:val="000000" w:themeColor="text1"/>
          <w:lang w:val="en-US" w:eastAsia="zh-CN"/>
        </w:rPr>
        <w:t>1343.77</w:t>
      </w:r>
      <w:r>
        <w:rPr>
          <w:color w:val="000000" w:themeColor="text1"/>
        </w:rPr>
        <w:t>万元，基金预算收入0.00万元，国有资本经营预算收入0.00万元，财政专户核拨收入0.00万元，单位资金收入0.00万元，上年结转结余</w:t>
      </w:r>
      <w:r>
        <w:rPr>
          <w:rFonts w:hint="eastAsia"/>
          <w:color w:val="000000" w:themeColor="text1"/>
          <w:lang w:val="en-US" w:eastAsia="zh-CN"/>
        </w:rPr>
        <w:t>0.00</w:t>
      </w:r>
      <w:r>
        <w:rPr>
          <w:color w:val="000000" w:themeColor="text1"/>
        </w:rPr>
        <w:t>万元。</w:t>
      </w:r>
    </w:p>
    <w:p>
      <w:pPr>
        <w:pStyle w:val="18"/>
        <w:rPr>
          <w:color w:val="auto"/>
        </w:rPr>
      </w:pPr>
      <w:r>
        <w:rPr>
          <w:color w:val="auto"/>
        </w:rPr>
        <w:t>（二）支出说明</w:t>
      </w:r>
    </w:p>
    <w:p>
      <w:pPr>
        <w:pStyle w:val="18"/>
        <w:rPr>
          <w:rFonts w:hint="eastAsia"/>
        </w:rPr>
      </w:pPr>
      <w:r>
        <w:t>收支预算总表支出栏、基本支出表、项目支出表按经济分类和支出功能分类科目编制，反映</w:t>
      </w:r>
      <w:r>
        <w:rPr>
          <w:rFonts w:hint="eastAsia"/>
          <w:lang w:val="en-US" w:eastAsia="zh-CN"/>
        </w:rPr>
        <w:t>2023</w:t>
      </w:r>
      <w:r>
        <w:t>年度部门预算中支出预算的总体情况。202</w:t>
      </w:r>
      <w:r>
        <w:rPr>
          <w:rFonts w:hint="eastAsia"/>
          <w:lang w:val="en-US" w:eastAsia="zh-CN"/>
        </w:rPr>
        <w:t>3</w:t>
      </w:r>
      <w:r>
        <w:t>年支出预算</w:t>
      </w:r>
      <w:r>
        <w:rPr>
          <w:rFonts w:hint="eastAsia"/>
          <w:color w:val="auto"/>
          <w:lang w:val="en-US" w:eastAsia="zh-CN"/>
        </w:rPr>
        <w:t>1343.77</w:t>
      </w:r>
      <w:r>
        <w:t>万元，其中基本支出</w:t>
      </w:r>
      <w:r>
        <w:rPr>
          <w:rFonts w:hint="eastAsia"/>
          <w:lang w:val="en-US" w:eastAsia="zh-CN"/>
        </w:rPr>
        <w:t>165.37</w:t>
      </w:r>
      <w:r>
        <w:t>万元，包括人员经费</w:t>
      </w:r>
      <w:r>
        <w:rPr>
          <w:rFonts w:hint="eastAsia"/>
          <w:lang w:val="en-US" w:eastAsia="zh-CN"/>
        </w:rPr>
        <w:t>159.03</w:t>
      </w:r>
      <w:r>
        <w:t>万元和日常公用经费</w:t>
      </w:r>
      <w:r>
        <w:rPr>
          <w:rFonts w:hint="eastAsia"/>
          <w:lang w:val="en-US" w:eastAsia="zh-CN"/>
        </w:rPr>
        <w:t>6.34</w:t>
      </w:r>
      <w:r>
        <w:t>万元；项目支出</w:t>
      </w:r>
      <w:r>
        <w:rPr>
          <w:rFonts w:hint="eastAsia"/>
          <w:color w:val="auto"/>
          <w:lang w:val="en-US" w:eastAsia="zh-CN"/>
        </w:rPr>
        <w:t>1178.4</w:t>
      </w:r>
      <w:r>
        <w:t>万元，主要为</w:t>
      </w:r>
      <w:r>
        <w:rPr>
          <w:rFonts w:hint="eastAsia"/>
        </w:rPr>
        <w:t>大气污染数据统计调查和分析服务350万元，国、省控点专班运转经费50万元。</w:t>
      </w:r>
    </w:p>
    <w:p>
      <w:pPr>
        <w:pStyle w:val="18"/>
        <w:rPr>
          <w:color w:val="auto"/>
        </w:rPr>
      </w:pPr>
      <w:bookmarkStart w:id="18" w:name="_GoBack"/>
      <w:bookmarkEnd w:id="18"/>
      <w:r>
        <w:rPr>
          <w:color w:val="auto"/>
        </w:rPr>
        <w:t>（三）比上年增减情况</w:t>
      </w:r>
    </w:p>
    <w:p>
      <w:pPr>
        <w:pStyle w:val="18"/>
        <w:rPr>
          <w:rFonts w:hint="eastAsia" w:eastAsia="方正仿宋_GBK"/>
          <w:color w:val="auto"/>
          <w:lang w:val="en-US" w:eastAsia="zh-CN"/>
        </w:rPr>
      </w:pPr>
      <w:r>
        <w:t>202</w:t>
      </w:r>
      <w:r>
        <w:rPr>
          <w:rFonts w:hint="eastAsia"/>
          <w:lang w:val="en-US" w:eastAsia="zh-CN"/>
        </w:rPr>
        <w:t>3</w:t>
      </w:r>
      <w:r>
        <w:t>年预算收支安排</w:t>
      </w:r>
      <w:r>
        <w:rPr>
          <w:rFonts w:hint="eastAsia"/>
          <w:lang w:val="en-US" w:eastAsia="zh-CN"/>
        </w:rPr>
        <w:t>1343.77</w:t>
      </w:r>
      <w:r>
        <w:t>万元，较202</w:t>
      </w:r>
      <w:r>
        <w:rPr>
          <w:rFonts w:hint="eastAsia"/>
          <w:lang w:val="en-US" w:eastAsia="zh-CN"/>
        </w:rPr>
        <w:t>2</w:t>
      </w:r>
      <w:r>
        <w:t>年预算减</w:t>
      </w:r>
      <w:r>
        <w:rPr>
          <w:color w:val="000000" w:themeColor="text1"/>
        </w:rPr>
        <w:t>少25</w:t>
      </w:r>
      <w:r>
        <w:rPr>
          <w:rFonts w:hint="eastAsia"/>
          <w:color w:val="000000" w:themeColor="text1"/>
          <w:lang w:val="en-US" w:eastAsia="zh-CN"/>
        </w:rPr>
        <w:t>18.85</w:t>
      </w:r>
      <w:r>
        <w:rPr>
          <w:color w:val="000000" w:themeColor="text1"/>
        </w:rPr>
        <w:t>万元，其中：基本支出增加</w:t>
      </w:r>
      <w:r>
        <w:rPr>
          <w:rFonts w:hint="eastAsia"/>
          <w:color w:val="000000" w:themeColor="text1"/>
          <w:lang w:val="en-US" w:eastAsia="zh-CN"/>
        </w:rPr>
        <w:t>26.92</w:t>
      </w:r>
      <w:r>
        <w:rPr>
          <w:color w:val="000000" w:themeColor="text1"/>
        </w:rPr>
        <w:t>万元，主要为人员经费增加</w:t>
      </w:r>
      <w:r>
        <w:rPr>
          <w:rFonts w:hint="eastAsia"/>
          <w:color w:val="000000" w:themeColor="text1"/>
          <w:lang w:val="en-US" w:eastAsia="zh-CN"/>
        </w:rPr>
        <w:t>26.2</w:t>
      </w:r>
      <w:r>
        <w:rPr>
          <w:color w:val="000000" w:themeColor="text1"/>
        </w:rPr>
        <w:t>万元，日常公用经费</w:t>
      </w:r>
      <w:r>
        <w:rPr>
          <w:rFonts w:hint="eastAsia"/>
          <w:color w:val="000000" w:themeColor="text1"/>
          <w:lang w:eastAsia="zh-CN"/>
        </w:rPr>
        <w:t>增加</w:t>
      </w:r>
      <w:r>
        <w:rPr>
          <w:rFonts w:hint="eastAsia"/>
          <w:color w:val="000000" w:themeColor="text1"/>
          <w:lang w:val="en-US" w:eastAsia="zh-CN"/>
        </w:rPr>
        <w:t>0.72</w:t>
      </w:r>
      <w:r>
        <w:rPr>
          <w:color w:val="000000" w:themeColor="text1"/>
        </w:rPr>
        <w:t>万元</w:t>
      </w:r>
      <w:r>
        <w:rPr>
          <w:rFonts w:hint="eastAsia"/>
          <w:color w:val="000000" w:themeColor="text1"/>
          <w:lang w:eastAsia="zh-CN"/>
        </w:rPr>
        <w:t>，</w:t>
      </w:r>
      <w:r>
        <w:rPr>
          <w:color w:val="000000" w:themeColor="text1"/>
        </w:rPr>
        <w:t>项目支出减少</w:t>
      </w:r>
      <w:r>
        <w:rPr>
          <w:rFonts w:hint="eastAsia"/>
          <w:color w:val="000000" w:themeColor="text1"/>
          <w:lang w:val="en-US" w:eastAsia="zh-CN"/>
        </w:rPr>
        <w:t>2545.77</w:t>
      </w:r>
      <w:r>
        <w:t>万元，主要为</w:t>
      </w:r>
      <w:r>
        <w:rPr>
          <w:rFonts w:hint="eastAsia"/>
          <w:lang w:eastAsia="zh-CN"/>
        </w:rPr>
        <w:t>减少中央大气污染防治资金1633.57万元、丰南区陡河等4条重点河流水质维护治理等项目资金113.97万元。</w:t>
      </w:r>
    </w:p>
    <w:p>
      <w:pPr>
        <w:spacing w:before="10" w:after="10" w:line="360" w:lineRule="auto"/>
        <w:ind w:firstLine="640"/>
        <w:outlineLvl w:val="2"/>
        <w:rPr>
          <w:rFonts w:hint="eastAsia" w:eastAsia="黑体"/>
          <w:color w:val="auto"/>
          <w:lang w:eastAsia="zh-CN"/>
        </w:rPr>
      </w:pPr>
      <w:bookmarkStart w:id="11" w:name="_Toc_3_3_0000000012"/>
      <w:r>
        <w:rPr>
          <w:rFonts w:ascii="黑体" w:hAnsi="黑体" w:eastAsia="黑体" w:cs="黑体"/>
          <w:color w:val="auto"/>
          <w:sz w:val="32"/>
        </w:rPr>
        <w:t>三、机关运行经费安排情况</w:t>
      </w:r>
      <w:bookmarkEnd w:id="11"/>
    </w:p>
    <w:p>
      <w:pPr>
        <w:pStyle w:val="19"/>
        <w:rPr>
          <w:color w:val="auto"/>
        </w:rPr>
      </w:pPr>
      <w:r>
        <w:rPr>
          <w:color w:val="auto"/>
        </w:rPr>
        <w:t>2023年机关运行经费共计安排</w:t>
      </w:r>
      <w:r>
        <w:rPr>
          <w:rFonts w:hint="eastAsia"/>
          <w:color w:val="auto"/>
          <w:lang w:val="en-US" w:eastAsia="zh-CN"/>
        </w:rPr>
        <w:t>6.34</w:t>
      </w:r>
      <w:r>
        <w:rPr>
          <w:color w:val="auto"/>
        </w:rPr>
        <w:t>万元，主要包括用于保证机关正常运转的办公及印刷费、工会费、福利费等支出。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2023年部门“三公”经费预算安排0万元，与2022年持平。具体增减情况为：</w:t>
      </w:r>
    </w:p>
    <w:p>
      <w:pPr>
        <w:pStyle w:val="20"/>
      </w:pPr>
      <w:r>
        <w:t>（一）公务用车购置及运行费0万元，与2022年持平。</w:t>
      </w:r>
    </w:p>
    <w:p>
      <w:pPr>
        <w:pStyle w:val="20"/>
      </w:pPr>
      <w:r>
        <w:t>（二）公务接待费0万元，比与2022年持平。</w:t>
      </w:r>
    </w:p>
    <w:p>
      <w:pPr>
        <w:pStyle w:val="20"/>
      </w:pPr>
      <w:r>
        <w:t>（三）因公出国（境）费0万元，与2022年持平。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大气环境质量目标：全区PM2.5年均浓度指标值、空气质量综合指数指标值均达到上级考核目标。（二）水环境质量目标：全区重点河流断面水质稳定达标；推进水源地规范建设，确保水源地安全。（三）土壤环境质量目标：全区土壤环境质量稳中向好，重点区域土壤污染得到控制，农用地土壤环境得到有效保护，建设用地土壤环境安全得到基本保障，全区土壤环境监管能力得到显著提升。</w:t>
      </w:r>
    </w:p>
    <w:p>
      <w:pPr>
        <w:spacing w:line="500" w:lineRule="exact"/>
        <w:ind w:firstLine="560"/>
      </w:pPr>
      <w:r>
        <w:rPr>
          <w:rFonts w:eastAsia="方正仿宋_GBK"/>
          <w:color w:val="000000"/>
          <w:sz w:val="28"/>
        </w:rPr>
        <w:t>（二）分项绩效目标</w:t>
      </w:r>
    </w:p>
    <w:p>
      <w:pPr>
        <w:pStyle w:val="22"/>
      </w:pPr>
      <w:r>
        <w:t>1、完成环境数据的综合分析、数据发布，环境质量预警等多项工作，加大对重点案件的现场调查处理，完成本区环境保护督查工作.2、加强大气、水、土壤、固体废弃物、重金属、机动车污染等重点污染治理工程的防治工作。加强固体废物管理和废弃电器电子产品拆解处理审核。推进重点污染治理工程开展，改善我区环境质量。3、实现污染减排目标。研究新型清洁生产技术，提高清洁生产管理水平。4、加强自然生态保护。根据我区环境形势，组织制定相关生态环境保护政策。统筹推进我区污染治理与生态保护和建设同步发展，实现环境质量的总体改善。解决农村区域性突出环境问题。5、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三同时”监管工作。</w:t>
      </w:r>
    </w:p>
    <w:p>
      <w:pPr>
        <w:spacing w:line="500" w:lineRule="exact"/>
        <w:ind w:firstLine="560"/>
      </w:pPr>
      <w:r>
        <w:rPr>
          <w:rFonts w:eastAsia="方正仿宋_GBK"/>
          <w:color w:val="000000"/>
          <w:sz w:val="28"/>
        </w:rPr>
        <w:t>（三）工作保障措施</w:t>
      </w:r>
    </w:p>
    <w:p>
      <w:pPr>
        <w:pStyle w:val="23"/>
      </w:pPr>
      <w:r>
        <w:t>（一）突破难点，持续推进大气污染防治工作：一是坚持以“争A创B促引领”，坚持以帮扶指导为核心，引导企业主动治污，精准治污，全面开展环保服务“两进三送”活动，进园区、进企业，送法律、送政策、送技术，实施点对点帮扶、一对一指导。充分调动企业治理积极性，帮扶企业挖掘治理潜力，全力指导企业提升治理能力。同时提升精准管控水平，结合企业实际治理能力精准管控，制定差异化管控措施，实现空气质量与企业正常生产的“双保障”。二是统筹兼顾企业纾困解难，结合企业绩效评级和实际治理能力，调整管控思路，建议将原来管控生产装备调整到管控污染物排放，鼓励企业实现超低排放，达到减排目标。三是积极推进锅炉整治进展。</w:t>
      </w:r>
    </w:p>
    <w:p>
      <w:pPr>
        <w:pStyle w:val="23"/>
      </w:pPr>
      <w:r>
        <w:t>(二）把握重点，不断加强水污染防治工作：结合相关部门研究制定我区汛期水污染防治工作方案，防范汛期重点河流水质超标隐患，针对西排干沿岸各类污染源情况谋划西排干流域综合治理工程项目，加快推进入海排污口整治工作进展，完善销号档案。</w:t>
      </w:r>
    </w:p>
    <w:p>
      <w:pPr>
        <w:pStyle w:val="23"/>
      </w:pPr>
      <w:r>
        <w:t>（三）全面铺开，不断加强土壤改善工作：一是强化重点企业土壤污染防治。进一步督导31家土壤环境重点监管单位加快土壤及地下水自行监测工作进度，落实土壤污染隐患排查制度，对排查发现的土壤和地下水污染迹象，及时排查分析原因，采取防止污染扩散措施。二是争取上级资金支持污染地块土壤修复工程。经过开展土壤污染调查和风险评估，我区目前只有自行车零件厂地块需要实施土壤污染修复工程，为确保修复工程顺利实施，下一步准备委托有资质单位编制地块土壤修复方案，组建入库项目档案，积极申请中央资金。三是持续推进农村黑臭水体排查整治。进一步加大农村黑臭水体巡查力度，发现污染隐患，及时交办属地乡镇限期整治，实现农村黑臭水体动态清零。</w:t>
      </w:r>
    </w:p>
    <w:p>
      <w:pPr>
        <w:pStyle w:val="23"/>
      </w:pPr>
      <w:r>
        <w:t>（四）管控源头，持续强化固体污染防治一是继续强化固体污染防治。持续开展固体废物环境隐患排查整治，推进废弃危险化学品、塑料污染治理及重点行业重点重金属污染防控等专项整治行动。全面开展排查整治并开展“回头看”巡查，严厉查处擅自倾倒、堆放、丢弃、遗撒等环境违法行为。二是完善固体废物环境监督管理工作。以落实《一般工业固体废物管理台账制定指南（试行）》、规范做好台账管理为抓手，将产生、贮存、收集、利用、处置全过程管理情况纳入固体废物管理信息系统，实现一般固体废物源头到末端的闭环管理。三是持续加强危险废物监管力度，严厉打击危险废物环境违法犯罪，继续实施危险废物规范化环境管理评估，加强评估结果运用，提升涉危废企业规范化管理水平。四是持续抓实疫情防控期间医疗废物处置。强化应急处置机制运行，动态更新重点场所清单台账，严格落实包联责任制，逐一落实责任人、处置单位，确保医疗废物日产日清。五是加快危险废物智能化环境监管建设。督促企业完成视频监控和智能称重系统安装联网后，持续推进省、市危险废物管理平台建设工作协调对接，推动实现分级管理、平台数据一致，发挥智能监管平台作用，实现预警提示、信息推送、核查处置、整改反馈的系统内闭环运行机制。</w:t>
      </w:r>
    </w:p>
    <w:p>
      <w:pPr>
        <w:pStyle w:val="23"/>
      </w:pPr>
      <w:r>
        <w:t>（五）持续升级，不断加强执法工作：一是进一步加强环境监察监管工作。严厉打击偷排偷放、无组织排放、不正常运行污染防治设施等环境违法行为，加大现场执法力度，规范现场执法行为，严厉查处一切环境违法行为。继续开展环保专项行动，确保我区空气质量持续改善。二是加强队伍建设和管理。不断提高环境执法水平。按照理论教育、素质教育与业务知识培训三结合的要求，积极组织召开了环境执法和环境行政执法业务培训。提出具体要求，强调理论学习和实际工作相结合、集中学习与个人自学相结合等灵活多样的方法，自觉完成全年度的学习计划。同时认真抓好党风廉政建设和纪律作风建设，注重从思想上进一步加强环境监察人员的党风廉政建设和纪律作风教育，在思想上筑牢拒腐防变的坚强防线。三是着力解决群众反应强烈突出的环境问题。加大环境问题处理力度，确保我区社会稳定。四是积极配合环保部、省级、市级各项督查检查，积极迎查，认真对待，确保问题数量少、准确度高，整改及时、到位。进一步强化环保队伍建设，以提升环保队伍精气神为落脚点，高度重视思想政治工作，确保执法队伍的稳定，全面提升生态环境保护管理水平。五是加强执法系统APP执法数据上传工作。我局建立执法APP数据上传日通报制度，对每天各中队执法数据和发现问题上传情况及时在本大队微信群进行通报，督促个执法人员有效完成APP执法数据传输。六是加强“双随机”抽查工作。建立每月每季度“双随机”抽查工作通报制度，督促各执法小组很好地完成抽查工作。七是进一步加强在线监测设备监控，全面提升在线设备管理水平。按照上级部署有计划地推进2022年重点企业自动监控设施的备案工作，对非重点排污单位的在线监控设备纳入日常管理工作，增加现场在线设备现场检查频次，每月安排固定人员对企业在线设备进行现场检查。进一步加强现场在线设备的监管力度。对全区重点企业在线设备每年进行2次比对考核，对考核超过国家标准的企业坚决立案处罚。规范在线三方运维公司日常运维工作。结合市局运维公司考核办法，对运维不规范、技术能力达不到规范要求的三方公司报备市局信息中心，并在市局网站公开曝光。八是严查企业无组织排放，严格按照标准、政策、文件对涉无组织排放问题进行拉网式检查，将无组织排放全部整改为有组织排放，明确要求粉状、粒状物料必须密闭储存、密闭运输，对密闭料棚的落料点和产尘点采取抑尘措施，同时配备相应的收尘装置和处理装置；对整改不到位的不允许再排放、再生产。九是我局将继续深入开展“散乱污”企业排查整治工作，针对“散乱污”企业规模小、投入少、转移快、隐蔽性强和“一查就停、一走就干”等特点，持续采取日常巡查与夜查相结合、拉网式排查与点穴式抽查、常规性检查与突击式检查相结合等方式常抓不懈，做到发现一处、查处一处、整治一处，始终保持露头就打高压态势，打消经营业主的侥幸心理，让非法企业感到无处藏身。对关停取缔的“散乱污”企业持续开展“回头看”，避免出现死灰复燃现象，同时对新发现的“散乱污”企业，发现一家，取缔一家。十是建立信访举报工作快速反应机制。收到来电反映的案件，以最短时间与信访人取得联系，并及时妥善处理。对群众直接到我局信访和重大环境污染案件与群体访案件，接案后马上到达现场，详细调查，妥善处理，及时回访。上级转办的信访案件，做到“四个及时”，即及时联系信访人，及时到现场调查处理，及时回访，及时上报处理结果，把一些重大的信访隐患，消灭在萌芽状态。建立严厉查处长效机制。在查处环境信访举报过程中，始终坚持严厉打击环境违法行为原则，一是对“散小乱污”企业，坚决要实施关停取缔措施，达到“两断、三清”标准。二是严肃查处环境违法行为，防止重复访事件再次发生。建立服务企业长效机制。在解决环境信访问题、查处企业的同时，不是一罚了之，同时坚持帮助企业妥善解决环境问题，为企业出谋划策，从根本上解决环境污染问题，减少信访量。建立落实网格化监管责任机制。在信访查处过程中，督导各乡镇、园区认真落实网格化监管责任，加强辖区内污染源管理，促使企业依法依规生产，稳定达标排放，努力杜绝重复访发生，有效遏制新的污染问题发生。十一是持续深入开展“转作风、强素质、提效能”活动，切实提升我局干部职工的政治能力、专业素养和履职水平，确保深入打好污染防治攻坚战，切实转作风、强素质、提效能，不断提高政治判断力、政治领悟力、政治执行力，打造政治强、本领高、作风硬、敢担当的生态环境铁军队伍。</w:t>
      </w:r>
    </w:p>
    <w:p>
      <w:pPr>
        <w:pStyle w:val="23"/>
      </w:pPr>
    </w:p>
    <w:p>
      <w:pPr>
        <w:pStyle w:val="23"/>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640" w:firstLineChars="200"/>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1、大气污染数据统计调查和分析服务绩效目标表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1.改善全区大气环境质量和提升环境管理水平。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完成要求合同服务内容</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达到合同约定的所有服务内容要求</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按要求及时完成工作任务</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可持续影响年限</w:t>
            </w:r>
          </w:p>
        </w:tc>
        <w:tc>
          <w:tcPr>
            <w:tcW w:w="2835" w:type="dxa"/>
            <w:vAlign w:val="center"/>
          </w:tcPr>
          <w:p>
            <w:pPr>
              <w:pStyle w:val="12"/>
            </w:pPr>
            <w:r>
              <w:t>对生态环境发展趋势影响年限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受访满意群众占受访群主的比率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2、国、省控点专班运转经费绩效目标表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1.1.保障专班工作正常运行。2.为深度系统分析国、省控点周边环境问题，突出重点区域、重点领域、重点时段，针对国、省控点进行专业诊断、专业治理，强化源头治理措施，细化目标任务，强化日常调度。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专班运转保障年限</w:t>
            </w:r>
          </w:p>
        </w:tc>
        <w:tc>
          <w:tcPr>
            <w:tcW w:w="2835" w:type="dxa"/>
            <w:vAlign w:val="center"/>
          </w:tcPr>
          <w:p>
            <w:pPr>
              <w:pStyle w:val="12"/>
            </w:pPr>
            <w:r>
              <w:t>保障专班运转年限</w:t>
            </w:r>
          </w:p>
        </w:tc>
        <w:tc>
          <w:tcPr>
            <w:tcW w:w="2551" w:type="dxa"/>
            <w:vAlign w:val="center"/>
          </w:tcPr>
          <w:p>
            <w:pPr>
              <w:pStyle w:val="12"/>
            </w:pPr>
            <w:r>
              <w:t>1年</w:t>
            </w:r>
          </w:p>
        </w:tc>
        <w:tc>
          <w:tcPr>
            <w:tcW w:w="2268" w:type="dxa"/>
            <w:vAlign w:val="center"/>
          </w:tcPr>
          <w:p>
            <w:pPr>
              <w:pStyle w:val="12"/>
            </w:pPr>
            <w:r>
              <w:t>专班经费支出情况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全年工作任务达标率</w:t>
            </w:r>
          </w:p>
        </w:tc>
        <w:tc>
          <w:tcPr>
            <w:tcW w:w="2835" w:type="dxa"/>
            <w:vAlign w:val="center"/>
          </w:tcPr>
          <w:p>
            <w:pPr>
              <w:pStyle w:val="12"/>
            </w:pPr>
            <w:r>
              <w:t>(完成预期质量目标的工作任务数/全年部门工作任务数)*100%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（按时完成的工作任务数/全部工作任务数）*100%</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项目当期实际支出成本/项目当期预算）</w:t>
            </w:r>
          </w:p>
        </w:tc>
        <w:tc>
          <w:tcPr>
            <w:tcW w:w="2551" w:type="dxa"/>
            <w:vAlign w:val="center"/>
          </w:tcPr>
          <w:p>
            <w:pPr>
              <w:pStyle w:val="12"/>
            </w:pPr>
            <w:r>
              <w:t>≤100%</w:t>
            </w:r>
          </w:p>
        </w:tc>
        <w:tc>
          <w:tcPr>
            <w:tcW w:w="2268" w:type="dxa"/>
            <w:vAlign w:val="center"/>
          </w:tcPr>
          <w:p>
            <w:pPr>
              <w:pStyle w:val="12"/>
            </w:pPr>
            <w:r>
              <w:t>支出帐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空气质量优化率</w:t>
            </w:r>
          </w:p>
        </w:tc>
        <w:tc>
          <w:tcPr>
            <w:tcW w:w="2835" w:type="dxa"/>
            <w:vAlign w:val="center"/>
          </w:tcPr>
          <w:p>
            <w:pPr>
              <w:pStyle w:val="12"/>
            </w:pPr>
            <w:r>
              <w:t>扭转我区空气质量在全市中的名次</w:t>
            </w:r>
          </w:p>
        </w:tc>
        <w:tc>
          <w:tcPr>
            <w:tcW w:w="2551" w:type="dxa"/>
            <w:vAlign w:val="center"/>
          </w:tcPr>
          <w:p>
            <w:pPr>
              <w:pStyle w:val="12"/>
            </w:pPr>
            <w:r>
              <w:t>100%</w:t>
            </w:r>
          </w:p>
        </w:tc>
        <w:tc>
          <w:tcPr>
            <w:tcW w:w="2268" w:type="dxa"/>
            <w:vAlign w:val="center"/>
          </w:tcPr>
          <w:p>
            <w:pPr>
              <w:pStyle w:val="12"/>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2835" w:type="dxa"/>
            <w:vAlign w:val="center"/>
          </w:tcPr>
          <w:p>
            <w:pPr>
              <w:pStyle w:val="12"/>
            </w:pPr>
            <w:r>
              <w:t>对生态环境发展趋势影响年限</w:t>
            </w:r>
          </w:p>
        </w:tc>
        <w:tc>
          <w:tcPr>
            <w:tcW w:w="2551" w:type="dxa"/>
            <w:vAlign w:val="center"/>
          </w:tcPr>
          <w:p>
            <w:pPr>
              <w:pStyle w:val="12"/>
            </w:pPr>
            <w:r>
              <w:t>≥1年</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3、环保专项督查活动经费绩效目标表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1.保障巡查工作正常开展。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完成巡查任务</w:t>
            </w:r>
          </w:p>
        </w:tc>
        <w:tc>
          <w:tcPr>
            <w:tcW w:w="2551" w:type="dxa"/>
            <w:vAlign w:val="center"/>
          </w:tcPr>
          <w:p>
            <w:pPr>
              <w:pStyle w:val="12"/>
            </w:pPr>
            <w:r>
              <w:t>≥95%</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p>
            <w:pPr>
              <w:pStyle w:val="12"/>
            </w:pPr>
          </w:p>
          <w:p>
            <w:pPr>
              <w:pStyle w:val="12"/>
            </w:pPr>
          </w:p>
        </w:tc>
        <w:tc>
          <w:tcPr>
            <w:tcW w:w="2835" w:type="dxa"/>
            <w:vAlign w:val="center"/>
          </w:tcPr>
          <w:p>
            <w:pPr>
              <w:pStyle w:val="12"/>
            </w:pPr>
            <w:r>
              <w:t>年度实际验收合格量占实际完成量的比率</w:t>
            </w:r>
            <w:r>
              <w:tab/>
            </w:r>
          </w:p>
          <w:p>
            <w:pPr>
              <w:pStyle w:val="12"/>
            </w:pPr>
          </w:p>
        </w:tc>
        <w:tc>
          <w:tcPr>
            <w:tcW w:w="2551" w:type="dxa"/>
            <w:vAlign w:val="center"/>
          </w:tcPr>
          <w:p>
            <w:pPr>
              <w:pStyle w:val="12"/>
            </w:pPr>
            <w:r>
              <w:t>≥95%</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工作保障率</w:t>
            </w:r>
          </w:p>
        </w:tc>
        <w:tc>
          <w:tcPr>
            <w:tcW w:w="2835" w:type="dxa"/>
            <w:vAlign w:val="center"/>
          </w:tcPr>
          <w:p>
            <w:pPr>
              <w:pStyle w:val="12"/>
            </w:pPr>
            <w:r>
              <w:t>保障工作正常开展</w:t>
            </w:r>
          </w:p>
        </w:tc>
        <w:tc>
          <w:tcPr>
            <w:tcW w:w="2551" w:type="dxa"/>
            <w:vAlign w:val="center"/>
          </w:tcPr>
          <w:p>
            <w:pPr>
              <w:pStyle w:val="12"/>
            </w:pPr>
            <w:r>
              <w:t>100%</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群众对环境的满意度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1.及时发放见习岗基本生活补贴，维护社会稳定。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2835" w:type="dxa"/>
            <w:vAlign w:val="center"/>
          </w:tcPr>
          <w:p>
            <w:pPr>
              <w:pStyle w:val="12"/>
            </w:pPr>
            <w:r>
              <w:t>见习岗人员数量</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为见习岗提供基本生活保障的情况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8月</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2835" w:type="dxa"/>
            <w:vAlign w:val="center"/>
          </w:tcPr>
          <w:p>
            <w:pPr>
              <w:pStyle w:val="12"/>
            </w:pPr>
            <w:r>
              <w:t>见习岗对安置的满意度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1.及时发放见习岗基本生活补贴，维护社会稳定。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2835" w:type="dxa"/>
            <w:vAlign w:val="center"/>
          </w:tcPr>
          <w:p>
            <w:pPr>
              <w:pStyle w:val="12"/>
            </w:pPr>
            <w:r>
              <w:t>见习岗人员数量</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为见习岗提供基本生活保障的情况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8月</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2835" w:type="dxa"/>
            <w:vAlign w:val="center"/>
          </w:tcPr>
          <w:p>
            <w:pPr>
              <w:pStyle w:val="12"/>
            </w:pPr>
            <w:r>
              <w:t>见习岗对安置的满意度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1.及时发放劳务派遣人员工资，维护社会稳定，促进社会健康发展。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聘用劳务派遣人员数量</w:t>
            </w:r>
          </w:p>
        </w:tc>
        <w:tc>
          <w:tcPr>
            <w:tcW w:w="2835" w:type="dxa"/>
            <w:vAlign w:val="center"/>
          </w:tcPr>
          <w:p>
            <w:pPr>
              <w:pStyle w:val="12"/>
            </w:pPr>
            <w:r>
              <w:t>保障聘用到我单位劳务派遣人员</w:t>
            </w:r>
          </w:p>
        </w:tc>
        <w:tc>
          <w:tcPr>
            <w:tcW w:w="2551" w:type="dxa"/>
            <w:vAlign w:val="center"/>
          </w:tcPr>
          <w:p>
            <w:pPr>
              <w:pStyle w:val="12"/>
            </w:pPr>
            <w:r>
              <w:t>104人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104人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为劳务派遣人员提供基本生活保障的情况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w:t>
            </w:r>
          </w:p>
        </w:tc>
        <w:tc>
          <w:tcPr>
            <w:tcW w:w="2551" w:type="dxa"/>
            <w:vAlign w:val="center"/>
          </w:tcPr>
          <w:p>
            <w:pPr>
              <w:pStyle w:val="12"/>
            </w:pPr>
            <w:r>
              <w:t>1年</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2835" w:type="dxa"/>
            <w:vAlign w:val="center"/>
          </w:tcPr>
          <w:p>
            <w:pPr>
              <w:pStyle w:val="12"/>
            </w:pPr>
            <w:r>
              <w:t>劳务派遣人员对安置的满意度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7、生态环保指挥中心运转经费绩效目标表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1.保障生态环保指挥中心工作正常运行。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完成年度内工作任务</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平台正常运转率</w:t>
            </w:r>
          </w:p>
        </w:tc>
        <w:tc>
          <w:tcPr>
            <w:tcW w:w="2835" w:type="dxa"/>
            <w:vAlign w:val="center"/>
          </w:tcPr>
          <w:p>
            <w:pPr>
              <w:pStyle w:val="12"/>
            </w:pPr>
            <w:r>
              <w:t>保障监控平台正常运转，完成全年违法案件监管</w:t>
            </w:r>
          </w:p>
        </w:tc>
        <w:tc>
          <w:tcPr>
            <w:tcW w:w="2551" w:type="dxa"/>
            <w:vAlign w:val="center"/>
          </w:tcPr>
          <w:p>
            <w:pPr>
              <w:pStyle w:val="12"/>
            </w:pPr>
            <w:r>
              <w:t>100%</w:t>
            </w:r>
          </w:p>
        </w:tc>
        <w:tc>
          <w:tcPr>
            <w:tcW w:w="2268" w:type="dxa"/>
            <w:vAlign w:val="center"/>
          </w:tcPr>
          <w:p>
            <w:pPr>
              <w:pStyle w:val="12"/>
            </w:pPr>
            <w:r>
              <w:t>监控台账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2835" w:type="dxa"/>
            <w:vAlign w:val="center"/>
          </w:tcPr>
          <w:p>
            <w:pPr>
              <w:pStyle w:val="12"/>
            </w:pPr>
            <w:r>
              <w:t>各项目按时完成情况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经费可持续使用年限</w:t>
            </w:r>
          </w:p>
        </w:tc>
        <w:tc>
          <w:tcPr>
            <w:tcW w:w="2835" w:type="dxa"/>
            <w:vAlign w:val="center"/>
          </w:tcPr>
          <w:p>
            <w:pPr>
              <w:pStyle w:val="12"/>
            </w:pPr>
            <w:r>
              <w:t>保障指挥中心预算年度内正常开展工作</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1.及时发放退役军人公益性岗位安置费用，维护社会稳定，促进社会健康发展。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2835" w:type="dxa"/>
            <w:vAlign w:val="center"/>
          </w:tcPr>
          <w:p>
            <w:pPr>
              <w:pStyle w:val="12"/>
            </w:pPr>
            <w:r>
              <w:t>公益岗人员数量</w:t>
            </w:r>
          </w:p>
        </w:tc>
        <w:tc>
          <w:tcPr>
            <w:tcW w:w="2551" w:type="dxa"/>
            <w:vAlign w:val="center"/>
          </w:tcPr>
          <w:p>
            <w:pPr>
              <w:pStyle w:val="12"/>
            </w:pPr>
            <w:r>
              <w:t>39人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39人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为公益岗提供基本生活保障的情况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100%</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公益岗人员满意度</w:t>
            </w:r>
          </w:p>
        </w:tc>
        <w:tc>
          <w:tcPr>
            <w:tcW w:w="2835" w:type="dxa"/>
            <w:vAlign w:val="center"/>
          </w:tcPr>
          <w:p>
            <w:pPr>
              <w:pStyle w:val="12"/>
            </w:pPr>
            <w:r>
              <w:t>公益岗人员对安置的满意度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9、执法检查车辆租车绩效目标表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1.1.完成环境监测、检查各项工作任务。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租用车辆任务完成率</w:t>
            </w:r>
          </w:p>
        </w:tc>
        <w:tc>
          <w:tcPr>
            <w:tcW w:w="2835" w:type="dxa"/>
            <w:vAlign w:val="center"/>
          </w:tcPr>
          <w:p>
            <w:pPr>
              <w:pStyle w:val="12"/>
            </w:pPr>
            <w:r>
              <w:t>实际租用车辆占计划租用车辆的比率</w:t>
            </w:r>
          </w:p>
        </w:tc>
        <w:tc>
          <w:tcPr>
            <w:tcW w:w="2551" w:type="dxa"/>
            <w:vAlign w:val="center"/>
          </w:tcPr>
          <w:p>
            <w:pPr>
              <w:pStyle w:val="12"/>
            </w:pPr>
            <w:r>
              <w:t>≥90%</w:t>
            </w:r>
          </w:p>
        </w:tc>
        <w:tc>
          <w:tcPr>
            <w:tcW w:w="2268" w:type="dxa"/>
            <w:vAlign w:val="center"/>
          </w:tcPr>
          <w:p>
            <w:pPr>
              <w:pStyle w:val="12"/>
            </w:pPr>
            <w:r>
              <w:t>租车合同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交付合格车辆占交付车辆的比率</w:t>
            </w:r>
          </w:p>
        </w:tc>
        <w:tc>
          <w:tcPr>
            <w:tcW w:w="2551" w:type="dxa"/>
            <w:vAlign w:val="center"/>
          </w:tcPr>
          <w:p>
            <w:pPr>
              <w:pStyle w:val="12"/>
            </w:pPr>
            <w:r>
              <w:t>100%</w:t>
            </w:r>
          </w:p>
        </w:tc>
        <w:tc>
          <w:tcPr>
            <w:tcW w:w="2268" w:type="dxa"/>
            <w:vAlign w:val="center"/>
          </w:tcPr>
          <w:p>
            <w:pPr>
              <w:pStyle w:val="12"/>
            </w:pPr>
            <w:r>
              <w:t>交车记录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车辆到位及时率</w:t>
            </w:r>
          </w:p>
        </w:tc>
        <w:tc>
          <w:tcPr>
            <w:tcW w:w="2835" w:type="dxa"/>
            <w:vAlign w:val="center"/>
          </w:tcPr>
          <w:p>
            <w:pPr>
              <w:pStyle w:val="12"/>
            </w:pPr>
            <w:r>
              <w:t>按照采购合同要求时限将车辆及时交付到位</w:t>
            </w:r>
          </w:p>
        </w:tc>
        <w:tc>
          <w:tcPr>
            <w:tcW w:w="2551" w:type="dxa"/>
            <w:vAlign w:val="center"/>
          </w:tcPr>
          <w:p>
            <w:pPr>
              <w:pStyle w:val="12"/>
            </w:pPr>
            <w:r>
              <w:t>100%</w:t>
            </w:r>
          </w:p>
        </w:tc>
        <w:tc>
          <w:tcPr>
            <w:tcW w:w="2268" w:type="dxa"/>
            <w:vAlign w:val="center"/>
          </w:tcPr>
          <w:p>
            <w:pPr>
              <w:pStyle w:val="12"/>
            </w:pPr>
            <w:r>
              <w:t>交车记录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租用车辆利用率</w:t>
            </w:r>
          </w:p>
        </w:tc>
        <w:tc>
          <w:tcPr>
            <w:tcW w:w="2835" w:type="dxa"/>
            <w:vAlign w:val="center"/>
          </w:tcPr>
          <w:p>
            <w:pPr>
              <w:pStyle w:val="12"/>
            </w:pPr>
            <w:r>
              <w:t>使用车辆数量占租用车辆数量的比率</w:t>
            </w:r>
          </w:p>
        </w:tc>
        <w:tc>
          <w:tcPr>
            <w:tcW w:w="2551" w:type="dxa"/>
            <w:vAlign w:val="center"/>
          </w:tcPr>
          <w:p>
            <w:pPr>
              <w:pStyle w:val="12"/>
            </w:pPr>
            <w:r>
              <w:t>100%</w:t>
            </w:r>
          </w:p>
        </w:tc>
        <w:tc>
          <w:tcPr>
            <w:tcW w:w="2268" w:type="dxa"/>
            <w:vAlign w:val="center"/>
          </w:tcPr>
          <w:p>
            <w:pPr>
              <w:pStyle w:val="12"/>
            </w:pPr>
            <w:r>
              <w:t>租车记录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租用车辆的可持续使用年限</w:t>
            </w:r>
          </w:p>
        </w:tc>
        <w:tc>
          <w:tcPr>
            <w:tcW w:w="2835" w:type="dxa"/>
            <w:vAlign w:val="center"/>
          </w:tcPr>
          <w:p>
            <w:pPr>
              <w:pStyle w:val="12"/>
            </w:pPr>
            <w:r>
              <w:t>保障租用车辆使用年限</w:t>
            </w:r>
          </w:p>
        </w:tc>
        <w:tc>
          <w:tcPr>
            <w:tcW w:w="2551" w:type="dxa"/>
            <w:vAlign w:val="center"/>
          </w:tcPr>
          <w:p>
            <w:pPr>
              <w:pStyle w:val="12"/>
            </w:pPr>
            <w:r>
              <w:t>1年</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群众对环境的满意度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2023年，唐山市生态环境局丰南区分局安排政府采购预算350.00万元。具体内容见下表。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唐山市生态环境局丰南区分局本级小计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大气污染数据统计调查和分析服务</w:t>
            </w:r>
          </w:p>
        </w:tc>
        <w:tc>
          <w:tcPr>
            <w:tcW w:w="964" w:type="dxa"/>
            <w:vAlign w:val="center"/>
          </w:tcPr>
          <w:p>
            <w:pPr>
              <w:pStyle w:val="11"/>
            </w:pPr>
            <w:r>
              <w:t>350.00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350.00</w:t>
            </w:r>
          </w:p>
        </w:tc>
        <w:tc>
          <w:tcPr>
            <w:tcW w:w="964" w:type="dxa"/>
            <w:vAlign w:val="center"/>
          </w:tcPr>
          <w:p>
            <w:pPr>
              <w:pStyle w:val="11"/>
            </w:pPr>
            <w:r>
              <w:t>350.00</w:t>
            </w:r>
          </w:p>
        </w:tc>
        <w:tc>
          <w:tcPr>
            <w:tcW w:w="964" w:type="dxa"/>
            <w:vAlign w:val="center"/>
          </w:tcPr>
          <w:p>
            <w:pPr>
              <w:pStyle w:val="11"/>
            </w:pPr>
            <w:r>
              <w:t>350.00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唐山市生态环境局丰南区分局（含所属单位）上年末固定资产金额为0.00万元（详见下表）。本年度拟购置固定资产总额为0.00万元，已按要求列入政府采购预算，详见政府采购预算表。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416唐山市生态环境局丰南区分局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val="uk-UA"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Theme="minorEastAsia"/>
          <w:color w:val="000000"/>
          <w:sz w:val="28"/>
          <w:lang w:val="uk-UA" w:eastAsia="zh-CN"/>
        </w:rPr>
        <w:t>。</w:t>
      </w:r>
    </w:p>
    <w:p>
      <w:pPr>
        <w:jc w:val="cente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FC93F"/>
    <w:multiLevelType w:val="singleLevel"/>
    <w:tmpl w:val="D27FC93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hNmI5NWE0NmZhN2NmY2QxNzhmZGJhOTExZjc5MjkifQ=="/>
  </w:docVars>
  <w:rsids>
    <w:rsidRoot w:val="0088123E"/>
    <w:rsid w:val="00001458"/>
    <w:rsid w:val="002214A5"/>
    <w:rsid w:val="002B0E76"/>
    <w:rsid w:val="0088123E"/>
    <w:rsid w:val="008D0B07"/>
    <w:rsid w:val="00F228B6"/>
    <w:rsid w:val="0CA37D03"/>
    <w:rsid w:val="0E63733B"/>
    <w:rsid w:val="0F3213F9"/>
    <w:rsid w:val="21732725"/>
    <w:rsid w:val="2637633F"/>
    <w:rsid w:val="3E980A27"/>
    <w:rsid w:val="4E152892"/>
    <w:rsid w:val="5C0F01DD"/>
    <w:rsid w:val="63AB062A"/>
    <w:rsid w:val="75E267E6"/>
    <w:rsid w:val="7B30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2023-02-01T11:53:47Z</dcterms:created>
  <dcterms:modified xsi:type="dcterms:W3CDTF">2023-02-01T03:53:47Z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2023-02-01T11:53:52Z</dcterms:created>
  <dcterms:modified xsi:type="dcterms:W3CDTF">2023-02-01T03:53:52Z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2023-02-01T11:53:52Z</dcterms:created>
  <dcterms:modified xsi:type="dcterms:W3CDTF">2023-02-01T03:53:52Z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2023-02-01T11:53:44Z</dcterms:created>
  <dcterms:modified xsi:type="dcterms:W3CDTF">2023-02-01T03:53:44Z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2023-02-01T11:53:37Z</dcterms:created>
  <dcterms:modified xsi:type="dcterms:W3CDTF">2023-02-01T03:53:37Z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15C0F5-7966-4E01-BD71-B4F727C3737E}">
  <ds:schemaRefs/>
</ds:datastoreItem>
</file>

<file path=customXml/itemProps10.xml><?xml version="1.0" encoding="utf-8"?>
<ds:datastoreItem xmlns:ds="http://schemas.openxmlformats.org/officeDocument/2006/customXml" ds:itemID="{FEF4178D-92D3-4C3B-9DFF-A6C744A4A99D}">
  <ds:schemaRefs/>
</ds:datastoreItem>
</file>

<file path=customXml/itemProps11.xml><?xml version="1.0" encoding="utf-8"?>
<ds:datastoreItem xmlns:ds="http://schemas.openxmlformats.org/officeDocument/2006/customXml" ds:itemID="{B16A5D1A-A93E-4D89-AB60-A529DD353155}">
  <ds:schemaRefs/>
</ds:datastoreItem>
</file>

<file path=customXml/itemProps12.xml><?xml version="1.0" encoding="utf-8"?>
<ds:datastoreItem xmlns:ds="http://schemas.openxmlformats.org/officeDocument/2006/customXml" ds:itemID="{4D14D229-C6DF-4B45-9C13-D165E54D8764}">
  <ds:schemaRefs/>
</ds:datastoreItem>
</file>

<file path=customXml/itemProps13.xml><?xml version="1.0" encoding="utf-8"?>
<ds:datastoreItem xmlns:ds="http://schemas.openxmlformats.org/officeDocument/2006/customXml" ds:itemID="{7F2A58CA-0D37-45E1-87B2-AEE069E6436F}">
  <ds:schemaRefs/>
</ds:datastoreItem>
</file>

<file path=customXml/itemProps14.xml><?xml version="1.0" encoding="utf-8"?>
<ds:datastoreItem xmlns:ds="http://schemas.openxmlformats.org/officeDocument/2006/customXml" ds:itemID="{8DF53F0E-1A6C-4DD4-9383-1AFA18838BBF}">
  <ds:schemaRefs/>
</ds:datastoreItem>
</file>

<file path=customXml/itemProps15.xml><?xml version="1.0" encoding="utf-8"?>
<ds:datastoreItem xmlns:ds="http://schemas.openxmlformats.org/officeDocument/2006/customXml" ds:itemID="{3141BC1B-E014-44A5-8EC9-4C533DAD71F6}">
  <ds:schemaRefs/>
</ds:datastoreItem>
</file>

<file path=customXml/itemProps16.xml><?xml version="1.0" encoding="utf-8"?>
<ds:datastoreItem xmlns:ds="http://schemas.openxmlformats.org/officeDocument/2006/customXml" ds:itemID="{C8DB5D32-3886-4984-BF1F-6B3C74207450}">
  <ds:schemaRefs/>
</ds:datastoreItem>
</file>

<file path=customXml/itemProps17.xml><?xml version="1.0" encoding="utf-8"?>
<ds:datastoreItem xmlns:ds="http://schemas.openxmlformats.org/officeDocument/2006/customXml" ds:itemID="{7FBA69BD-A3CD-41D8-ACD6-9AF0DCAE477D}">
  <ds:schemaRefs/>
</ds:datastoreItem>
</file>

<file path=customXml/itemProps18.xml><?xml version="1.0" encoding="utf-8"?>
<ds:datastoreItem xmlns:ds="http://schemas.openxmlformats.org/officeDocument/2006/customXml" ds:itemID="{F476D028-F770-4335-B05A-AD116855A6D7}">
  <ds:schemaRefs/>
</ds:datastoreItem>
</file>

<file path=customXml/itemProps19.xml><?xml version="1.0" encoding="utf-8"?>
<ds:datastoreItem xmlns:ds="http://schemas.openxmlformats.org/officeDocument/2006/customXml" ds:itemID="{9D739160-D32A-4921-8DE8-6455CDF34351}">
  <ds:schemaRefs/>
</ds:datastoreItem>
</file>

<file path=customXml/itemProps2.xml><?xml version="1.0" encoding="utf-8"?>
<ds:datastoreItem xmlns:ds="http://schemas.openxmlformats.org/officeDocument/2006/customXml" ds:itemID="{6D8569BE-C499-4124-9D85-A46B200F2FDB}">
  <ds:schemaRefs/>
</ds:datastoreItem>
</file>

<file path=customXml/itemProps20.xml><?xml version="1.0" encoding="utf-8"?>
<ds:datastoreItem xmlns:ds="http://schemas.openxmlformats.org/officeDocument/2006/customXml" ds:itemID="{1921A327-008E-4711-827C-93F424CFCC69}">
  <ds:schemaRefs/>
</ds:datastoreItem>
</file>

<file path=customXml/itemProps21.xml><?xml version="1.0" encoding="utf-8"?>
<ds:datastoreItem xmlns:ds="http://schemas.openxmlformats.org/officeDocument/2006/customXml" ds:itemID="{8A2F80AB-1F25-40F5-89C2-34F53C89A702}">
  <ds:schemaRefs/>
</ds:datastoreItem>
</file>

<file path=customXml/itemProps22.xml><?xml version="1.0" encoding="utf-8"?>
<ds:datastoreItem xmlns:ds="http://schemas.openxmlformats.org/officeDocument/2006/customXml" ds:itemID="{4F8584FB-DA78-41CC-8D5E-DD57CB6836E4}">
  <ds:schemaRefs/>
</ds:datastoreItem>
</file>

<file path=customXml/itemProps23.xml><?xml version="1.0" encoding="utf-8"?>
<ds:datastoreItem xmlns:ds="http://schemas.openxmlformats.org/officeDocument/2006/customXml" ds:itemID="{6CAF6267-0674-47D5-BF65-7089326F0585}">
  <ds:schemaRefs/>
</ds:datastoreItem>
</file>

<file path=customXml/itemProps24.xml><?xml version="1.0" encoding="utf-8"?>
<ds:datastoreItem xmlns:ds="http://schemas.openxmlformats.org/officeDocument/2006/customXml" ds:itemID="{725105F2-CC9B-42EF-9333-CAAF6CCE4971}">
  <ds:schemaRefs/>
</ds:datastoreItem>
</file>

<file path=customXml/itemProps25.xml><?xml version="1.0" encoding="utf-8"?>
<ds:datastoreItem xmlns:ds="http://schemas.openxmlformats.org/officeDocument/2006/customXml" ds:itemID="{59046CC1-DCCF-4EBA-B4EA-B7F3F5C9CBCA}">
  <ds:schemaRefs/>
</ds:datastoreItem>
</file>

<file path=customXml/itemProps26.xml><?xml version="1.0" encoding="utf-8"?>
<ds:datastoreItem xmlns:ds="http://schemas.openxmlformats.org/officeDocument/2006/customXml" ds:itemID="{1C02DF4B-A00D-4C43-B455-EA4FDCCD8BB1}">
  <ds:schemaRefs/>
</ds:datastoreItem>
</file>

<file path=customXml/itemProps27.xml><?xml version="1.0" encoding="utf-8"?>
<ds:datastoreItem xmlns:ds="http://schemas.openxmlformats.org/officeDocument/2006/customXml" ds:itemID="{27CC7BAD-E086-40A1-82AF-897D3D8D04FA}">
  <ds:schemaRefs/>
</ds:datastoreItem>
</file>

<file path=customXml/itemProps28.xml><?xml version="1.0" encoding="utf-8"?>
<ds:datastoreItem xmlns:ds="http://schemas.openxmlformats.org/officeDocument/2006/customXml" ds:itemID="{BA7D32C2-D5F3-4885-B01C-138309FDE75C}">
  <ds:schemaRefs/>
</ds:datastoreItem>
</file>

<file path=customXml/itemProps29.xml><?xml version="1.0" encoding="utf-8"?>
<ds:datastoreItem xmlns:ds="http://schemas.openxmlformats.org/officeDocument/2006/customXml" ds:itemID="{945BD5AF-E0C8-4910-AC12-DE52B275E5C2}">
  <ds:schemaRefs/>
</ds:datastoreItem>
</file>

<file path=customXml/itemProps3.xml><?xml version="1.0" encoding="utf-8"?>
<ds:datastoreItem xmlns:ds="http://schemas.openxmlformats.org/officeDocument/2006/customXml" ds:itemID="{0F29B579-7501-472F-A6C3-5DF2DD95157E}">
  <ds:schemaRefs/>
</ds:datastoreItem>
</file>

<file path=customXml/itemProps30.xml><?xml version="1.0" encoding="utf-8"?>
<ds:datastoreItem xmlns:ds="http://schemas.openxmlformats.org/officeDocument/2006/customXml" ds:itemID="{CC4F6A04-8E99-49DE-BE1A-743D50463211}">
  <ds:schemaRefs/>
</ds:datastoreItem>
</file>

<file path=customXml/itemProps31.xml><?xml version="1.0" encoding="utf-8"?>
<ds:datastoreItem xmlns:ds="http://schemas.openxmlformats.org/officeDocument/2006/customXml" ds:itemID="{2EC2C5C0-03F9-4220-B4FC-F30ECFA70912}">
  <ds:schemaRefs/>
</ds:datastoreItem>
</file>

<file path=customXml/itemProps32.xml><?xml version="1.0" encoding="utf-8"?>
<ds:datastoreItem xmlns:ds="http://schemas.openxmlformats.org/officeDocument/2006/customXml" ds:itemID="{F7D6D15A-CE2F-4718-A60C-7C43E980C903}">
  <ds:schemaRefs/>
</ds:datastoreItem>
</file>

<file path=customXml/itemProps33.xml><?xml version="1.0" encoding="utf-8"?>
<ds:datastoreItem xmlns:ds="http://schemas.openxmlformats.org/officeDocument/2006/customXml" ds:itemID="{C80A5A72-44F3-4786-926B-48C64F514C87}">
  <ds:schemaRefs/>
</ds:datastoreItem>
</file>

<file path=customXml/itemProps34.xml><?xml version="1.0" encoding="utf-8"?>
<ds:datastoreItem xmlns:ds="http://schemas.openxmlformats.org/officeDocument/2006/customXml" ds:itemID="{10A11C5F-B13C-4467-A6F2-A0FFCEF7DF92}">
  <ds:schemaRefs/>
</ds:datastoreItem>
</file>

<file path=customXml/itemProps35.xml><?xml version="1.0" encoding="utf-8"?>
<ds:datastoreItem xmlns:ds="http://schemas.openxmlformats.org/officeDocument/2006/customXml" ds:itemID="{A080EB96-9B0C-4BB9-9AE5-2433F9F82B81}">
  <ds:schemaRefs/>
</ds:datastoreItem>
</file>

<file path=customXml/itemProps36.xml><?xml version="1.0" encoding="utf-8"?>
<ds:datastoreItem xmlns:ds="http://schemas.openxmlformats.org/officeDocument/2006/customXml" ds:itemID="{3C9DDF8D-208B-4CD8-88BF-531CDF708CAC}">
  <ds:schemaRefs/>
</ds:datastoreItem>
</file>

<file path=customXml/itemProps37.xml><?xml version="1.0" encoding="utf-8"?>
<ds:datastoreItem xmlns:ds="http://schemas.openxmlformats.org/officeDocument/2006/customXml" ds:itemID="{1CACD8A9-C24E-4460-B91F-233716389009}">
  <ds:schemaRefs/>
</ds:datastoreItem>
</file>

<file path=customXml/itemProps38.xml><?xml version="1.0" encoding="utf-8"?>
<ds:datastoreItem xmlns:ds="http://schemas.openxmlformats.org/officeDocument/2006/customXml" ds:itemID="{60DDA8B6-1FBC-4595-8468-5E556B2D5F9B}">
  <ds:schemaRefs/>
</ds:datastoreItem>
</file>

<file path=customXml/itemProps39.xml><?xml version="1.0" encoding="utf-8"?>
<ds:datastoreItem xmlns:ds="http://schemas.openxmlformats.org/officeDocument/2006/customXml" ds:itemID="{A68AF94A-BF17-48C0-A68A-8551E4B84F20}">
  <ds:schemaRefs/>
</ds:datastoreItem>
</file>

<file path=customXml/itemProps4.xml><?xml version="1.0" encoding="utf-8"?>
<ds:datastoreItem xmlns:ds="http://schemas.openxmlformats.org/officeDocument/2006/customXml" ds:itemID="{176C97DC-B904-4670-A479-E69948A3C75C}">
  <ds:schemaRefs/>
</ds:datastoreItem>
</file>

<file path=customXml/itemProps40.xml><?xml version="1.0" encoding="utf-8"?>
<ds:datastoreItem xmlns:ds="http://schemas.openxmlformats.org/officeDocument/2006/customXml" ds:itemID="{09809F2B-BF8F-4F08-8B6E-EC48C09AD7EE}">
  <ds:schemaRefs/>
</ds:datastoreItem>
</file>

<file path=customXml/itemProps41.xml><?xml version="1.0" encoding="utf-8"?>
<ds:datastoreItem xmlns:ds="http://schemas.openxmlformats.org/officeDocument/2006/customXml" ds:itemID="{FEA79F12-1E8D-463C-A491-7908599783E0}">
  <ds:schemaRefs/>
</ds:datastoreItem>
</file>

<file path=customXml/itemProps42.xml><?xml version="1.0" encoding="utf-8"?>
<ds:datastoreItem xmlns:ds="http://schemas.openxmlformats.org/officeDocument/2006/customXml" ds:itemID="{FBBCFAA9-BF4B-48FE-907E-E886E52332F6}">
  <ds:schemaRefs/>
</ds:datastoreItem>
</file>

<file path=customXml/itemProps43.xml><?xml version="1.0" encoding="utf-8"?>
<ds:datastoreItem xmlns:ds="http://schemas.openxmlformats.org/officeDocument/2006/customXml" ds:itemID="{77E7B777-B5AD-40B2-9AFB-95D0E3236955}">
  <ds:schemaRefs/>
</ds:datastoreItem>
</file>

<file path=customXml/itemProps44.xml><?xml version="1.0" encoding="utf-8"?>
<ds:datastoreItem xmlns:ds="http://schemas.openxmlformats.org/officeDocument/2006/customXml" ds:itemID="{11996770-7C3B-4BF5-8C1E-8666909DB2E0}">
  <ds:schemaRefs/>
</ds:datastoreItem>
</file>

<file path=customXml/itemProps45.xml><?xml version="1.0" encoding="utf-8"?>
<ds:datastoreItem xmlns:ds="http://schemas.openxmlformats.org/officeDocument/2006/customXml" ds:itemID="{152B4F41-13C1-40C8-A81B-109FB6FB8D40}">
  <ds:schemaRefs/>
</ds:datastoreItem>
</file>

<file path=customXml/itemProps46.xml><?xml version="1.0" encoding="utf-8"?>
<ds:datastoreItem xmlns:ds="http://schemas.openxmlformats.org/officeDocument/2006/customXml" ds:itemID="{89219F6B-5B5C-4E69-B2F4-D71B93F54053}">
  <ds:schemaRefs/>
</ds:datastoreItem>
</file>

<file path=customXml/itemProps5.xml><?xml version="1.0" encoding="utf-8"?>
<ds:datastoreItem xmlns:ds="http://schemas.openxmlformats.org/officeDocument/2006/customXml" ds:itemID="{FCBEBC22-D98F-4460-83AC-23318C48070C}">
  <ds:schemaRefs/>
</ds:datastoreItem>
</file>

<file path=customXml/itemProps6.xml><?xml version="1.0" encoding="utf-8"?>
<ds:datastoreItem xmlns:ds="http://schemas.openxmlformats.org/officeDocument/2006/customXml" ds:itemID="{7968A2AB-2E49-492F-885A-9C0D9E66FA28}">
  <ds:schemaRefs/>
</ds:datastoreItem>
</file>

<file path=customXml/itemProps7.xml><?xml version="1.0" encoding="utf-8"?>
<ds:datastoreItem xmlns:ds="http://schemas.openxmlformats.org/officeDocument/2006/customXml" ds:itemID="{5FDBFC58-906C-474A-9A2D-29465BADCC2D}">
  <ds:schemaRefs/>
</ds:datastoreItem>
</file>

<file path=customXml/itemProps8.xml><?xml version="1.0" encoding="utf-8"?>
<ds:datastoreItem xmlns:ds="http://schemas.openxmlformats.org/officeDocument/2006/customXml" ds:itemID="{E8609CAA-08AC-4FE2-9F0C-9C10F9562B46}">
  <ds:schemaRefs/>
</ds:datastoreItem>
</file>

<file path=customXml/itemProps9.xml><?xml version="1.0" encoding="utf-8"?>
<ds:datastoreItem xmlns:ds="http://schemas.openxmlformats.org/officeDocument/2006/customXml" ds:itemID="{F4C1F6C0-6280-4946-9A56-00ED4FA62D8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2388</Words>
  <Characters>13613</Characters>
  <Lines>113</Lines>
  <Paragraphs>31</Paragraphs>
  <TotalTime>10</TotalTime>
  <ScaleCrop>false</ScaleCrop>
  <LinksUpToDate>false</LinksUpToDate>
  <CharactersWithSpaces>15970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2023-02-01T11:53:00Z</dcterms:created>
  <dc:creator>Administrator</dc:creator>
  <cp:lastModifiedBy>Administrator</cp:lastModifiedBy>
  <cp:lastPrinted>2023-02-02T02:29:00Z</cp:lastPrinted>
  <dcterms:modified xsi:type="dcterms:W3CDTF">2024-08-15T02:18:21Z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DA2D4DA49E2B4F808B26954B511B8000_12</vt:lpwstr>
  </property>
</Properties>
</file>