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2"/>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2"/>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一、中国共产党唐山市丰南区委员会党校本级收支预算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489.78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353.33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489.78</w:t>
            </w:r>
          </w:p>
        </w:tc>
        <w:tc>
          <w:tcPr>
            <w:tcW w:w="4535" w:type="dxa"/>
            <w:vAlign w:val="center"/>
          </w:tcPr>
          <w:p>
            <w:pPr>
              <w:pStyle w:val="14"/>
            </w:pPr>
            <w:r>
              <w:t>本年支出合计</w:t>
            </w:r>
          </w:p>
        </w:tc>
        <w:tc>
          <w:tcPr>
            <w:tcW w:w="2126" w:type="dxa"/>
            <w:vAlign w:val="center"/>
          </w:tcPr>
          <w:p>
            <w:pPr>
              <w:pStyle w:val="15"/>
            </w:pPr>
            <w:r>
              <w:t>489.78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489.78</w:t>
            </w:r>
          </w:p>
        </w:tc>
        <w:tc>
          <w:tcPr>
            <w:tcW w:w="4535" w:type="dxa"/>
            <w:vAlign w:val="center"/>
          </w:tcPr>
          <w:p>
            <w:pPr>
              <w:pStyle w:val="14"/>
            </w:pPr>
            <w:r>
              <w:t>支出总计</w:t>
            </w:r>
          </w:p>
        </w:tc>
        <w:tc>
          <w:tcPr>
            <w:tcW w:w="2126" w:type="dxa"/>
            <w:vAlign w:val="center"/>
          </w:tcPr>
          <w:p>
            <w:pPr>
              <w:pStyle w:val="15"/>
            </w:pPr>
            <w:r>
              <w:t>489.78</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489.78</w:t>
            </w:r>
          </w:p>
        </w:tc>
        <w:tc>
          <w:tcPr>
            <w:tcW w:w="1134" w:type="dxa"/>
            <w:vAlign w:val="center"/>
          </w:tcPr>
          <w:p>
            <w:pPr>
              <w:pStyle w:val="15"/>
            </w:pPr>
            <w:r>
              <w:t>489.78</w:t>
            </w:r>
          </w:p>
        </w:tc>
        <w:tc>
          <w:tcPr>
            <w:tcW w:w="1134" w:type="dxa"/>
            <w:vAlign w:val="center"/>
          </w:tcPr>
          <w:p>
            <w:pPr>
              <w:pStyle w:val="15"/>
            </w:pPr>
            <w:r>
              <w:t>489.78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38.33</w:t>
            </w:r>
          </w:p>
        </w:tc>
        <w:tc>
          <w:tcPr>
            <w:tcW w:w="1134" w:type="dxa"/>
            <w:vAlign w:val="center"/>
          </w:tcPr>
          <w:p>
            <w:pPr>
              <w:pStyle w:val="11"/>
            </w:pPr>
            <w:r>
              <w:t>38.33</w:t>
            </w:r>
          </w:p>
        </w:tc>
        <w:tc>
          <w:tcPr>
            <w:tcW w:w="1134" w:type="dxa"/>
            <w:vAlign w:val="center"/>
          </w:tcPr>
          <w:p>
            <w:pPr>
              <w:pStyle w:val="11"/>
            </w:pPr>
            <w:r>
              <w:t>38.33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17.37</w:t>
            </w:r>
          </w:p>
        </w:tc>
        <w:tc>
          <w:tcPr>
            <w:tcW w:w="1134" w:type="dxa"/>
            <w:vAlign w:val="center"/>
          </w:tcPr>
          <w:p>
            <w:pPr>
              <w:pStyle w:val="11"/>
            </w:pPr>
            <w:r>
              <w:t>17.37</w:t>
            </w:r>
          </w:p>
        </w:tc>
        <w:tc>
          <w:tcPr>
            <w:tcW w:w="1134" w:type="dxa"/>
            <w:vAlign w:val="center"/>
          </w:tcPr>
          <w:p>
            <w:pPr>
              <w:pStyle w:val="11"/>
            </w:pPr>
            <w:r>
              <w:t>17.37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19.16</w:t>
            </w:r>
          </w:p>
        </w:tc>
        <w:tc>
          <w:tcPr>
            <w:tcW w:w="1134" w:type="dxa"/>
            <w:vAlign w:val="center"/>
          </w:tcPr>
          <w:p>
            <w:pPr>
              <w:pStyle w:val="11"/>
            </w:pPr>
            <w:r>
              <w:t>19.16</w:t>
            </w:r>
          </w:p>
        </w:tc>
        <w:tc>
          <w:tcPr>
            <w:tcW w:w="1134" w:type="dxa"/>
            <w:vAlign w:val="center"/>
          </w:tcPr>
          <w:p>
            <w:pPr>
              <w:pStyle w:val="11"/>
            </w:pPr>
            <w:r>
              <w:t>19.16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489.78</w:t>
            </w:r>
          </w:p>
        </w:tc>
        <w:tc>
          <w:tcPr>
            <w:tcW w:w="1361" w:type="dxa"/>
            <w:vAlign w:val="center"/>
          </w:tcPr>
          <w:p>
            <w:pPr>
              <w:pStyle w:val="15"/>
            </w:pPr>
            <w:r>
              <w:t>445.78</w:t>
            </w: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71.03</w:t>
            </w:r>
          </w:p>
        </w:tc>
        <w:tc>
          <w:tcPr>
            <w:tcW w:w="1361" w:type="dxa"/>
            <w:vAlign w:val="center"/>
          </w:tcPr>
          <w:p>
            <w:pPr>
              <w:pStyle w:val="11"/>
            </w:pPr>
            <w:r>
              <w:t>71.03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71.03</w:t>
            </w:r>
          </w:p>
        </w:tc>
        <w:tc>
          <w:tcPr>
            <w:tcW w:w="1361" w:type="dxa"/>
            <w:vAlign w:val="center"/>
          </w:tcPr>
          <w:p>
            <w:pPr>
              <w:pStyle w:val="11"/>
            </w:pPr>
            <w:r>
              <w:t>71.03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32.70</w:t>
            </w:r>
          </w:p>
        </w:tc>
        <w:tc>
          <w:tcPr>
            <w:tcW w:w="1361" w:type="dxa"/>
            <w:vAlign w:val="center"/>
          </w:tcPr>
          <w:p>
            <w:pPr>
              <w:pStyle w:val="11"/>
            </w:pPr>
            <w:r>
              <w:t>32.70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38.33</w:t>
            </w:r>
          </w:p>
        </w:tc>
        <w:tc>
          <w:tcPr>
            <w:tcW w:w="1361" w:type="dxa"/>
            <w:vAlign w:val="center"/>
          </w:tcPr>
          <w:p>
            <w:pPr>
              <w:pStyle w:val="11"/>
            </w:pPr>
            <w:r>
              <w:t>38.33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36.53</w:t>
            </w:r>
          </w:p>
        </w:tc>
        <w:tc>
          <w:tcPr>
            <w:tcW w:w="1361" w:type="dxa"/>
            <w:vAlign w:val="center"/>
          </w:tcPr>
          <w:p>
            <w:pPr>
              <w:pStyle w:val="11"/>
            </w:pPr>
            <w:r>
              <w:t>36.53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36.53</w:t>
            </w:r>
          </w:p>
        </w:tc>
        <w:tc>
          <w:tcPr>
            <w:tcW w:w="1361" w:type="dxa"/>
            <w:vAlign w:val="center"/>
          </w:tcPr>
          <w:p>
            <w:pPr>
              <w:pStyle w:val="11"/>
            </w:pPr>
            <w:r>
              <w:t>36.53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17.37</w:t>
            </w:r>
          </w:p>
        </w:tc>
        <w:tc>
          <w:tcPr>
            <w:tcW w:w="1361" w:type="dxa"/>
            <w:vAlign w:val="center"/>
          </w:tcPr>
          <w:p>
            <w:pPr>
              <w:pStyle w:val="11"/>
            </w:pPr>
            <w:r>
              <w:t>17.37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19.16</w:t>
            </w:r>
          </w:p>
        </w:tc>
        <w:tc>
          <w:tcPr>
            <w:tcW w:w="1361" w:type="dxa"/>
            <w:vAlign w:val="center"/>
          </w:tcPr>
          <w:p>
            <w:pPr>
              <w:pStyle w:val="11"/>
            </w:pPr>
            <w:r>
              <w:t>19.16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353.33</w:t>
            </w:r>
          </w:p>
        </w:tc>
        <w:tc>
          <w:tcPr>
            <w:tcW w:w="1474" w:type="dxa"/>
            <w:vAlign w:val="center"/>
          </w:tcPr>
          <w:p>
            <w:pPr>
              <w:pStyle w:val="11"/>
            </w:pPr>
            <w:r>
              <w:t>353.33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71.03</w:t>
            </w:r>
          </w:p>
        </w:tc>
        <w:tc>
          <w:tcPr>
            <w:tcW w:w="1474" w:type="dxa"/>
            <w:vAlign w:val="center"/>
          </w:tcPr>
          <w:p>
            <w:pPr>
              <w:pStyle w:val="11"/>
            </w:pPr>
            <w:r>
              <w:t>71.03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36.53</w:t>
            </w:r>
          </w:p>
        </w:tc>
        <w:tc>
          <w:tcPr>
            <w:tcW w:w="1474" w:type="dxa"/>
            <w:vAlign w:val="center"/>
          </w:tcPr>
          <w:p>
            <w:pPr>
              <w:pStyle w:val="11"/>
            </w:pPr>
            <w:r>
              <w:t>36.53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28.89</w:t>
            </w:r>
          </w:p>
        </w:tc>
        <w:tc>
          <w:tcPr>
            <w:tcW w:w="1474" w:type="dxa"/>
            <w:vAlign w:val="center"/>
          </w:tcPr>
          <w:p>
            <w:pPr>
              <w:pStyle w:val="11"/>
            </w:pPr>
            <w:r>
              <w:t>28.89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489.78</w:t>
            </w:r>
          </w:p>
        </w:tc>
        <w:tc>
          <w:tcPr>
            <w:tcW w:w="3402" w:type="dxa"/>
            <w:vAlign w:val="center"/>
          </w:tcPr>
          <w:p>
            <w:pPr>
              <w:pStyle w:val="14"/>
            </w:pPr>
            <w:r>
              <w:t>本年支出合计</w:t>
            </w:r>
          </w:p>
        </w:tc>
        <w:tc>
          <w:tcPr>
            <w:tcW w:w="1474" w:type="dxa"/>
            <w:vAlign w:val="center"/>
          </w:tcPr>
          <w:p>
            <w:pPr>
              <w:pStyle w:val="15"/>
            </w:pPr>
            <w:r>
              <w:t>489.78</w:t>
            </w:r>
          </w:p>
        </w:tc>
        <w:tc>
          <w:tcPr>
            <w:tcW w:w="1474" w:type="dxa"/>
            <w:vAlign w:val="center"/>
          </w:tcPr>
          <w:p>
            <w:pPr>
              <w:pStyle w:val="15"/>
            </w:pPr>
            <w:r>
              <w:t>489.78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489.78</w:t>
            </w:r>
          </w:p>
        </w:tc>
        <w:tc>
          <w:tcPr>
            <w:tcW w:w="3402" w:type="dxa"/>
            <w:vAlign w:val="center"/>
          </w:tcPr>
          <w:p>
            <w:pPr>
              <w:pStyle w:val="14"/>
            </w:pPr>
            <w:r>
              <w:t>支出总计</w:t>
            </w:r>
          </w:p>
        </w:tc>
        <w:tc>
          <w:tcPr>
            <w:tcW w:w="1474" w:type="dxa"/>
            <w:vAlign w:val="center"/>
          </w:tcPr>
          <w:p>
            <w:pPr>
              <w:pStyle w:val="15"/>
            </w:pPr>
            <w:r>
              <w:t>489.78</w:t>
            </w:r>
          </w:p>
        </w:tc>
        <w:tc>
          <w:tcPr>
            <w:tcW w:w="1474" w:type="dxa"/>
            <w:vAlign w:val="center"/>
          </w:tcPr>
          <w:p>
            <w:pPr>
              <w:pStyle w:val="15"/>
            </w:pPr>
            <w:r>
              <w:t>489.78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489.78</w:t>
            </w:r>
          </w:p>
        </w:tc>
        <w:tc>
          <w:tcPr>
            <w:tcW w:w="2551" w:type="dxa"/>
            <w:vAlign w:val="center"/>
          </w:tcPr>
          <w:p>
            <w:pPr>
              <w:pStyle w:val="15"/>
            </w:pPr>
            <w:r>
              <w:t>445.78</w:t>
            </w:r>
          </w:p>
        </w:tc>
        <w:tc>
          <w:tcPr>
            <w:tcW w:w="2551" w:type="dxa"/>
            <w:vAlign w:val="center"/>
          </w:tcPr>
          <w:p>
            <w:pPr>
              <w:pStyle w:val="15"/>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71.03</w:t>
            </w:r>
          </w:p>
        </w:tc>
        <w:tc>
          <w:tcPr>
            <w:tcW w:w="2551" w:type="dxa"/>
            <w:vAlign w:val="center"/>
          </w:tcPr>
          <w:p>
            <w:pPr>
              <w:pStyle w:val="11"/>
            </w:pPr>
            <w:r>
              <w:t>71.03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71.03</w:t>
            </w:r>
          </w:p>
        </w:tc>
        <w:tc>
          <w:tcPr>
            <w:tcW w:w="2551" w:type="dxa"/>
            <w:vAlign w:val="center"/>
          </w:tcPr>
          <w:p>
            <w:pPr>
              <w:pStyle w:val="11"/>
            </w:pPr>
            <w:r>
              <w:t>71.03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32.70</w:t>
            </w:r>
          </w:p>
        </w:tc>
        <w:tc>
          <w:tcPr>
            <w:tcW w:w="2551" w:type="dxa"/>
            <w:vAlign w:val="center"/>
          </w:tcPr>
          <w:p>
            <w:pPr>
              <w:pStyle w:val="11"/>
            </w:pPr>
            <w:r>
              <w:t>32.70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38.33</w:t>
            </w:r>
          </w:p>
        </w:tc>
        <w:tc>
          <w:tcPr>
            <w:tcW w:w="2551" w:type="dxa"/>
            <w:vAlign w:val="center"/>
          </w:tcPr>
          <w:p>
            <w:pPr>
              <w:pStyle w:val="11"/>
            </w:pPr>
            <w:r>
              <w:t>38.33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36.53</w:t>
            </w:r>
          </w:p>
        </w:tc>
        <w:tc>
          <w:tcPr>
            <w:tcW w:w="2551" w:type="dxa"/>
            <w:vAlign w:val="center"/>
          </w:tcPr>
          <w:p>
            <w:pPr>
              <w:pStyle w:val="11"/>
            </w:pPr>
            <w:r>
              <w:t>36.53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36.53</w:t>
            </w:r>
          </w:p>
        </w:tc>
        <w:tc>
          <w:tcPr>
            <w:tcW w:w="2551" w:type="dxa"/>
            <w:vAlign w:val="center"/>
          </w:tcPr>
          <w:p>
            <w:pPr>
              <w:pStyle w:val="11"/>
            </w:pPr>
            <w:r>
              <w:t>36.53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17.37</w:t>
            </w:r>
          </w:p>
        </w:tc>
        <w:tc>
          <w:tcPr>
            <w:tcW w:w="2551" w:type="dxa"/>
            <w:vAlign w:val="center"/>
          </w:tcPr>
          <w:p>
            <w:pPr>
              <w:pStyle w:val="11"/>
            </w:pPr>
            <w:r>
              <w:t>17.37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19.16</w:t>
            </w:r>
          </w:p>
        </w:tc>
        <w:tc>
          <w:tcPr>
            <w:tcW w:w="2551" w:type="dxa"/>
            <w:vAlign w:val="center"/>
          </w:tcPr>
          <w:p>
            <w:pPr>
              <w:pStyle w:val="11"/>
            </w:pPr>
            <w:r>
              <w:t>19.16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445.78</w:t>
            </w:r>
          </w:p>
        </w:tc>
        <w:tc>
          <w:tcPr>
            <w:tcW w:w="2551" w:type="dxa"/>
            <w:vAlign w:val="center"/>
          </w:tcPr>
          <w:p>
            <w:pPr>
              <w:pStyle w:val="15"/>
            </w:pPr>
            <w:r>
              <w:t>395.54</w:t>
            </w:r>
          </w:p>
        </w:tc>
        <w:tc>
          <w:tcPr>
            <w:tcW w:w="2551" w:type="dxa"/>
            <w:vAlign w:val="center"/>
          </w:tcPr>
          <w:p>
            <w:pPr>
              <w:pStyle w:val="15"/>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361.78</w:t>
            </w:r>
          </w:p>
        </w:tc>
        <w:tc>
          <w:tcPr>
            <w:tcW w:w="2551" w:type="dxa"/>
            <w:vAlign w:val="center"/>
          </w:tcPr>
          <w:p>
            <w:pPr>
              <w:pStyle w:val="11"/>
            </w:pPr>
            <w:r>
              <w:t>361.78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127.28</w:t>
            </w:r>
          </w:p>
        </w:tc>
        <w:tc>
          <w:tcPr>
            <w:tcW w:w="2551" w:type="dxa"/>
            <w:vAlign w:val="center"/>
          </w:tcPr>
          <w:p>
            <w:pPr>
              <w:pStyle w:val="11"/>
            </w:pPr>
            <w:r>
              <w:t>127.28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52.41</w:t>
            </w:r>
          </w:p>
        </w:tc>
        <w:tc>
          <w:tcPr>
            <w:tcW w:w="2551" w:type="dxa"/>
            <w:vAlign w:val="center"/>
          </w:tcPr>
          <w:p>
            <w:pPr>
              <w:pStyle w:val="11"/>
            </w:pPr>
            <w:r>
              <w:t>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72.15</w:t>
            </w:r>
          </w:p>
        </w:tc>
        <w:tc>
          <w:tcPr>
            <w:tcW w:w="2551" w:type="dxa"/>
            <w:vAlign w:val="center"/>
          </w:tcPr>
          <w:p>
            <w:pPr>
              <w:pStyle w:val="11"/>
            </w:pPr>
            <w:r>
              <w:t>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38.33</w:t>
            </w:r>
          </w:p>
        </w:tc>
        <w:tc>
          <w:tcPr>
            <w:tcW w:w="2551" w:type="dxa"/>
            <w:vAlign w:val="center"/>
          </w:tcPr>
          <w:p>
            <w:pPr>
              <w:pStyle w:val="11"/>
            </w:pPr>
            <w:r>
              <w:t>38.33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17.37</w:t>
            </w:r>
          </w:p>
        </w:tc>
        <w:tc>
          <w:tcPr>
            <w:tcW w:w="2551" w:type="dxa"/>
            <w:vAlign w:val="center"/>
          </w:tcPr>
          <w:p>
            <w:pPr>
              <w:pStyle w:val="11"/>
            </w:pPr>
            <w:r>
              <w:t>17.37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19.16</w:t>
            </w:r>
          </w:p>
        </w:tc>
        <w:tc>
          <w:tcPr>
            <w:tcW w:w="2551" w:type="dxa"/>
            <w:vAlign w:val="center"/>
          </w:tcPr>
          <w:p>
            <w:pPr>
              <w:pStyle w:val="11"/>
            </w:pPr>
            <w:r>
              <w:t>19.16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50.24</w:t>
            </w:r>
          </w:p>
        </w:tc>
        <w:tc>
          <w:tcPr>
            <w:tcW w:w="2551" w:type="dxa"/>
            <w:vAlign w:val="center"/>
          </w:tcPr>
          <w:p>
            <w:pPr>
              <w:pStyle w:val="11"/>
            </w:pPr>
          </w:p>
        </w:tc>
        <w:tc>
          <w:tcPr>
            <w:tcW w:w="2551" w:type="dxa"/>
            <w:vAlign w:val="center"/>
          </w:tcPr>
          <w:p>
            <w:pPr>
              <w:pStyle w:val="11"/>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4.28</w:t>
            </w:r>
          </w:p>
        </w:tc>
        <w:tc>
          <w:tcPr>
            <w:tcW w:w="2551" w:type="dxa"/>
            <w:vAlign w:val="center"/>
          </w:tcPr>
          <w:p>
            <w:pPr>
              <w:pStyle w:val="11"/>
            </w:pPr>
          </w:p>
        </w:tc>
        <w:tc>
          <w:tcPr>
            <w:tcW w:w="2551"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13.70</w:t>
            </w:r>
          </w:p>
        </w:tc>
        <w:tc>
          <w:tcPr>
            <w:tcW w:w="2551" w:type="dxa"/>
            <w:vAlign w:val="center"/>
          </w:tcPr>
          <w:p>
            <w:pPr>
              <w:pStyle w:val="11"/>
            </w:pPr>
          </w:p>
        </w:tc>
        <w:tc>
          <w:tcPr>
            <w:tcW w:w="2551" w:type="dxa"/>
            <w:vAlign w:val="center"/>
          </w:tcPr>
          <w:p>
            <w:pPr>
              <w:pStyle w:val="11"/>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3.29</w:t>
            </w:r>
          </w:p>
        </w:tc>
        <w:tc>
          <w:tcPr>
            <w:tcW w:w="2551" w:type="dxa"/>
            <w:vAlign w:val="center"/>
          </w:tcPr>
          <w:p>
            <w:pPr>
              <w:pStyle w:val="11"/>
            </w:pPr>
          </w:p>
        </w:tc>
        <w:tc>
          <w:tcPr>
            <w:tcW w:w="2551" w:type="dxa"/>
            <w:vAlign w:val="center"/>
          </w:tcPr>
          <w:p>
            <w:pPr>
              <w:pStyle w:val="11"/>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33.76</w:t>
            </w:r>
          </w:p>
        </w:tc>
        <w:tc>
          <w:tcPr>
            <w:tcW w:w="2551" w:type="dxa"/>
            <w:vAlign w:val="center"/>
          </w:tcPr>
          <w:p>
            <w:pPr>
              <w:pStyle w:val="11"/>
            </w:pPr>
            <w:r>
              <w:t>33.76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32.70</w:t>
            </w:r>
          </w:p>
        </w:tc>
        <w:tc>
          <w:tcPr>
            <w:tcW w:w="2551" w:type="dxa"/>
            <w:vAlign w:val="center"/>
          </w:tcPr>
          <w:p>
            <w:pPr>
              <w:pStyle w:val="11"/>
            </w:pPr>
            <w:r>
              <w:t>32.70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9.40</w:t>
            </w:r>
          </w:p>
        </w:tc>
        <w:tc>
          <w:tcPr>
            <w:tcW w:w="2381" w:type="dxa"/>
            <w:vAlign w:val="center"/>
          </w:tcPr>
          <w:p>
            <w:pPr>
              <w:pStyle w:val="15"/>
            </w:pPr>
            <w:r>
              <w:t>9.40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6.40</w:t>
            </w:r>
          </w:p>
        </w:tc>
        <w:tc>
          <w:tcPr>
            <w:tcW w:w="2381" w:type="dxa"/>
            <w:vAlign w:val="center"/>
          </w:tcPr>
          <w:p>
            <w:pPr>
              <w:pStyle w:val="11"/>
            </w:pPr>
            <w:r>
              <w:t>6.40</w:t>
            </w:r>
          </w:p>
        </w:tc>
        <w:tc>
          <w:tcPr>
            <w:tcW w:w="2381" w:type="dxa"/>
            <w:vAlign w:val="center"/>
          </w:tcPr>
          <w:p>
            <w:pPr>
              <w:pStyle w:val="11"/>
            </w:pPr>
          </w:p>
        </w:tc>
        <w:tc>
          <w:tcPr>
            <w:tcW w:w="2381" w:type="dxa"/>
            <w:vAlign w:val="center"/>
          </w:tcPr>
          <w:p>
            <w:pPr>
              <w:pStyle w:val="11"/>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中国共产党唐山市丰南区委员会党校2022年部门预算信息公开情况说明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中国共产党唐山市丰南区委员会党校2022年部门预算信息公开情况说明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按照《预算法》、《地方预决算公开操作规程》和《关于进一步推进预算公开工作的实施意见》规定，现将中国共产党唐山市丰南区委员会党校2022年部门预算公开如下：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7"/>
      </w:pPr>
      <w:r>
        <w:t>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pStyle w:val="18"/>
      </w:pPr>
      <w:r>
        <w:t>1、收入预算说明</w:t>
      </w:r>
    </w:p>
    <w:p>
      <w:pPr>
        <w:pStyle w:val="18"/>
      </w:pPr>
      <w:r>
        <w:t>2022年部门收入预算489.77万元，其中：一般公共预算拨款489.77万元，政府性基金预算拨款0万元，国有资本经营预算拨款0万元，财政专户核拨0万元，其它来源收入0万元。</w:t>
      </w:r>
    </w:p>
    <w:p>
      <w:pPr>
        <w:pStyle w:val="18"/>
      </w:pPr>
      <w:r>
        <w:t xml:space="preserve">2、支出预算说明 </w:t>
      </w:r>
    </w:p>
    <w:p>
      <w:pPr>
        <w:pStyle w:val="18"/>
      </w:pPr>
      <w:r>
        <w:t>2022年支出预算489.77万元，其中：人员经费支出395.53万元，日常公用经费支出50.24万元；项目支出44万元，主要用于师资与教学项目建设、教学事物管理等专项业务活动。</w:t>
      </w:r>
    </w:p>
    <w:p>
      <w:pPr>
        <w:pStyle w:val="18"/>
      </w:pPr>
      <w:r>
        <w:t>3、部门预算较上年增减情况</w:t>
      </w:r>
    </w:p>
    <w:p>
      <w:pPr>
        <w:pStyle w:val="18"/>
      </w:pPr>
      <w:r>
        <w:t>2022年收入预算较2021年减少3.17万元，主要是项目经费减少。</w:t>
      </w:r>
    </w:p>
    <w:p>
      <w:pPr>
        <w:pStyle w:val="18"/>
      </w:pPr>
      <w:r>
        <w:t>2022年支出预算较2021年减少3.17万元，其中：基本支出增长8.23万元，主要是人员经费增加；项目支出减少11.4万元，主要是项目经费减少。</w:t>
      </w:r>
    </w:p>
    <w:p>
      <w:pPr>
        <w:pStyle w:val="18"/>
        <w:rPr>
          <w:b/>
          <w:bCs/>
        </w:rPr>
      </w:pPr>
      <w:r>
        <w:rPr>
          <w:b/>
          <w:bCs/>
        </w:rPr>
        <w:t>三、机关运行经费安排情况</w:t>
      </w:r>
    </w:p>
    <w:p>
      <w:pPr>
        <w:pStyle w:val="18"/>
      </w:pPr>
      <w:r>
        <w:t>2022年机关运行经费50.24万元，包括办公费4.28万元、水费0.8万元、邮电费0.2万元、维修（护）费2.28万元、公务用车运行维护费2.5万元、办公用房取暖费13.7万元、工会费4.9万元（含区工会1.96万元）、福利费3.29万元、移动通讯补贴4万元、交通补贴11万元、离退休福利费1.69万元、公务接待费0.5万元、租赁费0.9万元、离退休干部报刊费0.2万元。</w:t>
      </w:r>
    </w:p>
    <w:p>
      <w:pPr>
        <w:pStyle w:val="18"/>
        <w:rPr>
          <w:b/>
          <w:bCs/>
        </w:rPr>
      </w:pPr>
      <w:r>
        <w:rPr>
          <w:b/>
          <w:bCs/>
        </w:rPr>
        <w:t>四、财政拨款“三公”经费预算情况及增减变化原因</w:t>
      </w:r>
    </w:p>
    <w:p>
      <w:pPr>
        <w:pStyle w:val="18"/>
      </w:pPr>
      <w:r>
        <w:t>2022年，财政拨款“三公”经费预算安排3万元，比2021年无变化。其中：①因公出国（境）费0万元，比2021年增加0万元，无增减变化；②公务用车购置及运行费2.5万元，其中：公务用车购置费为0万元，比2021年增加0万元，无增减变化；公务用车运行费2.5万元，比2021年增加0万元，无增减变化；③公务接待费0.5万元，比2021年增加0万元，无增减变化。</w:t>
      </w:r>
    </w:p>
    <w:p>
      <w:pPr>
        <w:spacing w:before="10" w:after="10" w:line="360" w:lineRule="auto"/>
        <w:ind w:firstLine="640"/>
        <w:jc w:val="left"/>
        <w:outlineLvl w:val="2"/>
      </w:pPr>
      <w:bookmarkStart w:id="11" w:name="_Toc_3_3_0000000014"/>
      <w:r>
        <w:rPr>
          <w:rFonts w:ascii="黑体" w:eastAsia="黑体" w:cs="黑体"/>
          <w:color w:val="000000"/>
          <w:sz w:val="32"/>
        </w:rPr>
        <w:t>五、预算绩效信息</w:t>
      </w:r>
      <w:bookmarkEnd w:id="11"/>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1"/>
      </w:pPr>
      <w:r>
        <w:t>把学习《习近平谈治国理政》（第三卷）等党的重大理论、党的十九届五中全会精神及国民经济和社会发展第十四个五年计划等重大决策部署纳入党校教学计划。按照区委统一安排，抓好宣讲辅导工作。充分发挥党校作为干部培训主渠道、决策咨询思想库、理论宣讲主阵地作用，突出党校工作为推动高质量发展服务、为全面深化改革服务、为干部健康成长服务。立足工业经济实力较强、全民创业氛围浓厚、外向经济程度高、社会事业协调发展这四大特色，着力在课程体系建设、教学基地建设、理论宣讲、对外培训等方面形成一批独具特色的品牌项目。在发展战略上，立足党校长远发展，突出党校在培养党的执政骨干队伍方面的独特作用，坚持以教学为立校之本，以科研为强校之基，以人才为兴校之源，不断推动党校整体工作水平的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2"/>
      </w:pPr>
      <w:r>
        <w:t>（一）按照实事求是、与时俱进、艰苦奋斗、执政为民的要求，培养忠诚于新时代中国特色社会主义事业、德才兼备的党员领导干部和理论干部，有效提高干部的政策理论水平、思想觉悟和执政能力。</w:t>
      </w:r>
    </w:p>
    <w:p>
      <w:pPr>
        <w:pStyle w:val="22"/>
      </w:pPr>
      <w:r>
        <w:t>绩效目标：通过重点培育和建设，形成有党校特色的优势学科。</w:t>
      </w:r>
    </w:p>
    <w:p>
      <w:pPr>
        <w:pStyle w:val="22"/>
      </w:pPr>
      <w:r>
        <w:t>绩效指标：培育和建设的具有党校教育特色的优势学科门数大于等于3门</w:t>
      </w:r>
    </w:p>
    <w:p>
      <w:pPr>
        <w:pStyle w:val="22"/>
      </w:pPr>
      <w:r>
        <w:t>（二）围绕党的中心任务、重大战略部署及相关重大现实理论问题开展调查研究，有效推进理论创新，拿出一批有质量的成果为领导决策服务；通过对党的路线方针政策的宣传和重大理论问题的分析解读，使党员领导干部和群众掌握马克思主义的立场、观点、方法，坚定理想信念，始终和党中央保持一致。</w:t>
      </w:r>
    </w:p>
    <w:p>
      <w:pPr>
        <w:pStyle w:val="22"/>
      </w:pPr>
      <w:r>
        <w:t>绩效目标：积极组织教师参加省、市级以上的理论研讨会，推动教研人员的科研交流和理论探索，产出高质量的理论成果。</w:t>
      </w:r>
    </w:p>
    <w:p>
      <w:pPr>
        <w:pStyle w:val="22"/>
      </w:pPr>
      <w:r>
        <w:t>绩效指标：全年科研课题立项数目大于等于3个。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（一）完善制度建设。制定完善预算绩效管理制度、资金管理办法、工作保障制度，为全年预算绩效目标的实现奠定制度基础。；</w:t>
      </w:r>
    </w:p>
    <w:p>
      <w:pPr>
        <w:pStyle w:val="23"/>
      </w:pPr>
      <w:r>
        <w:t>（二）加强支出管理。优化支出结构、编细编实预算、加快履行政府采购手续、尽快启动项目、及时支付资金，确保支出进度达标；</w:t>
      </w:r>
    </w:p>
    <w:p>
      <w:pPr>
        <w:pStyle w:val="23"/>
      </w:pPr>
      <w:r>
        <w:t>（三）加强绩效运行监控。按要求开展绩效运行监控，发现问题及时采取措施，确保绩效目标如期保质实现；</w:t>
      </w:r>
    </w:p>
    <w:p>
      <w:pPr>
        <w:pStyle w:val="23"/>
      </w:pPr>
      <w:r>
        <w:t>（四）做好绩效自评。按要求开展上年度部门预算绩效自评和重点评价工作，对评价中发现的问题及时整改，调整优化支出结构，提高财政资金使用效益；</w:t>
      </w:r>
    </w:p>
    <w:p>
      <w:pPr>
        <w:pStyle w:val="23"/>
      </w:pPr>
      <w:r>
        <w:t>（五）规范财务资产管理。完善财务管理制度，严格审批程序，加强固定资产登记、使用和报废处置管理，做到支出合理，物尽其用；</w:t>
      </w:r>
    </w:p>
    <w:p>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adjustRightInd w:val="0"/>
        <w:snapToGrid w:val="0"/>
        <w:spacing w:line="560" w:lineRule="exact"/>
        <w:ind w:firstLine="640" w:firstLineChars="200"/>
        <w:jc w:val="left"/>
        <w:outlineLvl w:val="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无</w:t>
      </w:r>
    </w:p>
    <w:p>
      <w:pPr>
        <w:spacing w:before="0" w:after="0" w:line="240" w:lineRule="auto"/>
        <w:jc w:val="left"/>
        <w:outlineLvl w:val="9"/>
        <w:rPr>
          <w:rFonts w:hint="eastAsia" w:asci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docGrid w:linePitch="326" w:charSpace="0"/>
        </w:sectPr>
      </w:pPr>
      <w:bookmarkStart w:id="17" w:name="_GoBack"/>
      <w:bookmarkEnd w:id="17"/>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1、机关运转经费（劳务费）绩效目标表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后勤服务保障率。</w:t>
            </w:r>
          </w:p>
        </w:tc>
        <w:tc>
          <w:tcPr>
            <w:tcW w:w="2835" w:type="dxa"/>
            <w:vAlign w:val="center"/>
          </w:tcPr>
          <w:p>
            <w:pPr>
              <w:pStyle w:val="12"/>
            </w:pPr>
            <w:r>
              <w:t>后勤服务保障率。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后勤保障工作完成率</w:t>
            </w:r>
          </w:p>
        </w:tc>
        <w:tc>
          <w:tcPr>
            <w:tcW w:w="2835" w:type="dxa"/>
            <w:vAlign w:val="center"/>
          </w:tcPr>
          <w:p>
            <w:pPr>
              <w:pStyle w:val="12"/>
            </w:pPr>
            <w:r>
              <w:t>后勤保障工作完成率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2、教师外出培训费绩效目标表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1.选送教师到外地学习深造，加强重点教学项目建设，形成党史、党建等党校优秀教学项目。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优势教学项目数</w:t>
            </w:r>
          </w:p>
        </w:tc>
        <w:tc>
          <w:tcPr>
            <w:tcW w:w="2835" w:type="dxa"/>
            <w:vAlign w:val="center"/>
          </w:tcPr>
          <w:p>
            <w:pPr>
              <w:pStyle w:val="12"/>
            </w:pPr>
            <w:r>
              <w:t>培育和建设的具有党校教育特色的优势学科门数</w:t>
            </w:r>
          </w:p>
        </w:tc>
        <w:tc>
          <w:tcPr>
            <w:tcW w:w="2551" w:type="dxa"/>
            <w:vAlign w:val="center"/>
          </w:tcPr>
          <w:p>
            <w:pPr>
              <w:pStyle w:val="12"/>
            </w:pPr>
            <w:r>
              <w:t>≥3个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科研立项数</w:t>
            </w:r>
          </w:p>
        </w:tc>
        <w:tc>
          <w:tcPr>
            <w:tcW w:w="2835" w:type="dxa"/>
            <w:vAlign w:val="center"/>
          </w:tcPr>
          <w:p>
            <w:pPr>
              <w:pStyle w:val="12"/>
            </w:pPr>
            <w:r>
              <w:t>全年科研课题立项数目</w:t>
            </w:r>
          </w:p>
        </w:tc>
        <w:tc>
          <w:tcPr>
            <w:tcW w:w="2551" w:type="dxa"/>
            <w:vAlign w:val="center"/>
          </w:tcPr>
          <w:p>
            <w:pPr>
              <w:pStyle w:val="12"/>
            </w:pPr>
            <w:r>
              <w:t>≥1个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数据共享率</w:t>
            </w:r>
          </w:p>
        </w:tc>
        <w:tc>
          <w:tcPr>
            <w:tcW w:w="2835" w:type="dxa"/>
            <w:vAlign w:val="center"/>
          </w:tcPr>
          <w:p>
            <w:pPr>
              <w:pStyle w:val="12"/>
            </w:pPr>
            <w:r>
              <w:t>数据共享率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2835" w:type="dxa"/>
            <w:vAlign w:val="center"/>
          </w:tcPr>
          <w:p>
            <w:pPr>
              <w:pStyle w:val="12"/>
            </w:pPr>
            <w:r>
              <w:t>服务效率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2835" w:type="dxa"/>
            <w:vAlign w:val="center"/>
          </w:tcPr>
          <w:p>
            <w:pPr>
              <w:pStyle w:val="12"/>
            </w:pPr>
            <w:r>
              <w:t>持续服务率(%)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3、亮化经费绩效目标表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后勤服务保障率。</w:t>
            </w:r>
          </w:p>
        </w:tc>
        <w:tc>
          <w:tcPr>
            <w:tcW w:w="2835" w:type="dxa"/>
            <w:vAlign w:val="center"/>
          </w:tcPr>
          <w:p>
            <w:pPr>
              <w:pStyle w:val="12"/>
            </w:pPr>
            <w:r>
              <w:t>后勤服务保障率。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后勤保障工作完成率</w:t>
            </w:r>
          </w:p>
        </w:tc>
        <w:tc>
          <w:tcPr>
            <w:tcW w:w="2835" w:type="dxa"/>
            <w:vAlign w:val="center"/>
          </w:tcPr>
          <w:p>
            <w:pPr>
              <w:pStyle w:val="12"/>
            </w:pPr>
            <w:r>
              <w:t>后勤保障工作完成率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2" w:name="_Toc_3_3_0000000015"/>
      <w:r>
        <w:rPr>
          <w:rFonts w:ascii="黑体" w:eastAsia="黑体" w:cs="黑体"/>
          <w:color w:val="000000"/>
          <w:sz w:val="32"/>
        </w:rPr>
        <w:t>六、政府采购预算情况</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2022年，中国共产党唐山市丰南区委员会党校安排政府采购预算0.00万元。具体内容见下表。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6"/>
      <w:r>
        <w:rPr>
          <w:rFonts w:ascii="黑体" w:eastAsia="黑体" w:cs="黑体"/>
          <w:color w:val="000000"/>
          <w:sz w:val="32"/>
        </w:rPr>
        <w:t>七、国有资产信息</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中国共产党唐山市丰南区委员会党校（含所属单位）上年末固定资产金额为264.68万元（详见下表）。本年度拟购置固定资产总额为0.00万元，已按要求列入政府采购预算，详见政府采购预算表。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403中国共产党唐山市丰南区委员会党校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3815</w:t>
            </w:r>
          </w:p>
        </w:tc>
        <w:tc>
          <w:tcPr>
            <w:tcW w:w="2835"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360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234</w:t>
            </w:r>
          </w:p>
        </w:tc>
        <w:tc>
          <w:tcPr>
            <w:tcW w:w="2835" w:type="dxa"/>
            <w:vAlign w:val="center"/>
          </w:tcPr>
          <w:p>
            <w:pPr>
              <w:pStyle w:val="11"/>
            </w:pPr>
            <w:r>
              <w:t>94.70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7"/>
      <w:r>
        <w:rPr>
          <w:rFonts w:ascii="黑体" w:eastAsia="黑体" w:cs="黑体"/>
          <w:color w:val="000000"/>
          <w:sz w:val="32"/>
        </w:rPr>
        <w:t>八、名词解释</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5" w:name="_Toc_3_3_0000000018"/>
      <w:r>
        <w:rPr>
          <w:rFonts w:ascii="黑体" w:eastAsia="黑体" w:cs="黑体"/>
          <w:color w:val="000000"/>
          <w:sz w:val="32"/>
        </w:rPr>
        <w:t>九、其他需要说明的事项</w:t>
      </w:r>
      <w:bookmarkEnd w:id="15"/>
    </w:p>
    <w:p>
      <w:pPr>
        <w:spacing w:line="500" w:lineRule="exact"/>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部门预算政府性基金预算财政拨款支出表，此表无数据，因本单位不涉及政府性基金，因此无数据；</w:t>
      </w:r>
    </w:p>
    <w:p>
      <w:pPr>
        <w:spacing w:before="0" w:after="0" w:line="240" w:lineRule="auto"/>
        <w:ind w:firstLine="560" w:firstLineChars="200"/>
        <w:jc w:val="both"/>
        <w:outlineLvl w:val="9"/>
      </w:pPr>
      <w:r>
        <w:rPr>
          <w:rFonts w:hint="eastAsia" w:ascii="Times New Roman" w:eastAsia="方正仿宋_GBK"/>
          <w:color w:val="000000" w:themeColor="text1"/>
          <w:sz w:val="28"/>
        </w:rPr>
        <w:t>部门预算国有资本经营预算财政拨款支出表，此表无数据，因本单位不涉及国有资本经营，因此无数据。</w:t>
      </w: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6" w:name="_Toc_4_4_0000000019"/>
      <w:r>
        <w:rPr>
          <w:rFonts w:ascii="方正小标宋_GBK" w:eastAsia="方正小标宋_GBK" w:cs="方正小标宋_GBK"/>
          <w:b w:val="0"/>
          <w:color w:val="000000"/>
          <w:sz w:val="44"/>
        </w:rPr>
        <w:t>一、中国共产党唐山市丰南区委员会党校本级收支预算</w:t>
      </w:r>
      <w:bookmarkEnd w:id="16"/>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489.78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353.33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489.78</w:t>
            </w:r>
          </w:p>
        </w:tc>
        <w:tc>
          <w:tcPr>
            <w:tcW w:w="4535" w:type="dxa"/>
            <w:vAlign w:val="center"/>
          </w:tcPr>
          <w:p>
            <w:pPr>
              <w:pStyle w:val="14"/>
            </w:pPr>
            <w:r>
              <w:t>本年支出合计</w:t>
            </w:r>
          </w:p>
        </w:tc>
        <w:tc>
          <w:tcPr>
            <w:tcW w:w="2126" w:type="dxa"/>
            <w:vAlign w:val="center"/>
          </w:tcPr>
          <w:p>
            <w:pPr>
              <w:pStyle w:val="15"/>
            </w:pPr>
            <w:r>
              <w:t>489.78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489.78</w:t>
            </w:r>
          </w:p>
        </w:tc>
        <w:tc>
          <w:tcPr>
            <w:tcW w:w="4535" w:type="dxa"/>
            <w:vAlign w:val="center"/>
          </w:tcPr>
          <w:p>
            <w:pPr>
              <w:pStyle w:val="14"/>
            </w:pPr>
            <w:r>
              <w:t>支出总计</w:t>
            </w:r>
          </w:p>
        </w:tc>
        <w:tc>
          <w:tcPr>
            <w:tcW w:w="2126" w:type="dxa"/>
            <w:vAlign w:val="center"/>
          </w:tcPr>
          <w:p>
            <w:pPr>
              <w:pStyle w:val="15"/>
            </w:pPr>
            <w:r>
              <w:t>489.78</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489.78</w:t>
            </w:r>
          </w:p>
        </w:tc>
        <w:tc>
          <w:tcPr>
            <w:tcW w:w="1134" w:type="dxa"/>
            <w:vAlign w:val="center"/>
          </w:tcPr>
          <w:p>
            <w:pPr>
              <w:pStyle w:val="15"/>
            </w:pPr>
            <w:r>
              <w:t>489.78</w:t>
            </w:r>
          </w:p>
        </w:tc>
        <w:tc>
          <w:tcPr>
            <w:tcW w:w="1134" w:type="dxa"/>
            <w:vAlign w:val="center"/>
          </w:tcPr>
          <w:p>
            <w:pPr>
              <w:pStyle w:val="15"/>
            </w:pPr>
            <w:r>
              <w:t>489.78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r>
              <w:t>353.33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r>
              <w:t>71.03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r>
              <w:t>32.70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38.33</w:t>
            </w:r>
          </w:p>
        </w:tc>
        <w:tc>
          <w:tcPr>
            <w:tcW w:w="1134" w:type="dxa"/>
            <w:vAlign w:val="center"/>
          </w:tcPr>
          <w:p>
            <w:pPr>
              <w:pStyle w:val="11"/>
            </w:pPr>
            <w:r>
              <w:t>38.33</w:t>
            </w:r>
          </w:p>
        </w:tc>
        <w:tc>
          <w:tcPr>
            <w:tcW w:w="1134" w:type="dxa"/>
            <w:vAlign w:val="center"/>
          </w:tcPr>
          <w:p>
            <w:pPr>
              <w:pStyle w:val="11"/>
            </w:pPr>
            <w:r>
              <w:t>38.33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r>
              <w:t>36.53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17.37</w:t>
            </w:r>
          </w:p>
        </w:tc>
        <w:tc>
          <w:tcPr>
            <w:tcW w:w="1134" w:type="dxa"/>
            <w:vAlign w:val="center"/>
          </w:tcPr>
          <w:p>
            <w:pPr>
              <w:pStyle w:val="11"/>
            </w:pPr>
            <w:r>
              <w:t>17.37</w:t>
            </w:r>
          </w:p>
        </w:tc>
        <w:tc>
          <w:tcPr>
            <w:tcW w:w="1134" w:type="dxa"/>
            <w:vAlign w:val="center"/>
          </w:tcPr>
          <w:p>
            <w:pPr>
              <w:pStyle w:val="11"/>
            </w:pPr>
            <w:r>
              <w:t>17.37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19.16</w:t>
            </w:r>
          </w:p>
        </w:tc>
        <w:tc>
          <w:tcPr>
            <w:tcW w:w="1134" w:type="dxa"/>
            <w:vAlign w:val="center"/>
          </w:tcPr>
          <w:p>
            <w:pPr>
              <w:pStyle w:val="11"/>
            </w:pPr>
            <w:r>
              <w:t>19.16</w:t>
            </w:r>
          </w:p>
        </w:tc>
        <w:tc>
          <w:tcPr>
            <w:tcW w:w="1134" w:type="dxa"/>
            <w:vAlign w:val="center"/>
          </w:tcPr>
          <w:p>
            <w:pPr>
              <w:pStyle w:val="11"/>
            </w:pPr>
            <w:r>
              <w:t>19.16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r>
              <w:t>28.89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489.78</w:t>
            </w:r>
          </w:p>
        </w:tc>
        <w:tc>
          <w:tcPr>
            <w:tcW w:w="1361" w:type="dxa"/>
            <w:vAlign w:val="center"/>
          </w:tcPr>
          <w:p>
            <w:pPr>
              <w:pStyle w:val="15"/>
            </w:pPr>
            <w:r>
              <w:t>445.78</w:t>
            </w:r>
          </w:p>
        </w:tc>
        <w:tc>
          <w:tcPr>
            <w:tcW w:w="1361" w:type="dxa"/>
            <w:vAlign w:val="center"/>
          </w:tcPr>
          <w:p>
            <w:pPr>
              <w:pStyle w:val="15"/>
            </w:pPr>
            <w:r>
              <w:t>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5" w:type="dxa"/>
            <w:vAlign w:val="center"/>
          </w:tcPr>
          <w:p>
            <w:pPr>
              <w:pStyle w:val="12"/>
            </w:pPr>
            <w:r>
              <w:t>干部教育</w:t>
            </w:r>
          </w:p>
        </w:tc>
        <w:tc>
          <w:tcPr>
            <w:tcW w:w="1361" w:type="dxa"/>
            <w:vAlign w:val="center"/>
          </w:tcPr>
          <w:p>
            <w:pPr>
              <w:pStyle w:val="11"/>
            </w:pPr>
            <w:r>
              <w:t>353.33</w:t>
            </w:r>
          </w:p>
        </w:tc>
        <w:tc>
          <w:tcPr>
            <w:tcW w:w="1361" w:type="dxa"/>
            <w:vAlign w:val="center"/>
          </w:tcPr>
          <w:p>
            <w:pPr>
              <w:pStyle w:val="11"/>
            </w:pPr>
            <w:r>
              <w:t>309.33</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71.03</w:t>
            </w:r>
          </w:p>
        </w:tc>
        <w:tc>
          <w:tcPr>
            <w:tcW w:w="1361" w:type="dxa"/>
            <w:vAlign w:val="center"/>
          </w:tcPr>
          <w:p>
            <w:pPr>
              <w:pStyle w:val="11"/>
            </w:pPr>
            <w:r>
              <w:t>71.03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71.03</w:t>
            </w:r>
          </w:p>
        </w:tc>
        <w:tc>
          <w:tcPr>
            <w:tcW w:w="1361" w:type="dxa"/>
            <w:vAlign w:val="center"/>
          </w:tcPr>
          <w:p>
            <w:pPr>
              <w:pStyle w:val="11"/>
            </w:pPr>
            <w:r>
              <w:t>71.03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32.70</w:t>
            </w:r>
          </w:p>
        </w:tc>
        <w:tc>
          <w:tcPr>
            <w:tcW w:w="1361" w:type="dxa"/>
            <w:vAlign w:val="center"/>
          </w:tcPr>
          <w:p>
            <w:pPr>
              <w:pStyle w:val="11"/>
            </w:pPr>
            <w:r>
              <w:t>32.70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38.33</w:t>
            </w:r>
          </w:p>
        </w:tc>
        <w:tc>
          <w:tcPr>
            <w:tcW w:w="1361" w:type="dxa"/>
            <w:vAlign w:val="center"/>
          </w:tcPr>
          <w:p>
            <w:pPr>
              <w:pStyle w:val="11"/>
            </w:pPr>
            <w:r>
              <w:t>38.33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36.53</w:t>
            </w:r>
          </w:p>
        </w:tc>
        <w:tc>
          <w:tcPr>
            <w:tcW w:w="1361" w:type="dxa"/>
            <w:vAlign w:val="center"/>
          </w:tcPr>
          <w:p>
            <w:pPr>
              <w:pStyle w:val="11"/>
            </w:pPr>
            <w:r>
              <w:t>36.53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36.53</w:t>
            </w:r>
          </w:p>
        </w:tc>
        <w:tc>
          <w:tcPr>
            <w:tcW w:w="1361" w:type="dxa"/>
            <w:vAlign w:val="center"/>
          </w:tcPr>
          <w:p>
            <w:pPr>
              <w:pStyle w:val="11"/>
            </w:pPr>
            <w:r>
              <w:t>36.53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17.37</w:t>
            </w:r>
          </w:p>
        </w:tc>
        <w:tc>
          <w:tcPr>
            <w:tcW w:w="1361" w:type="dxa"/>
            <w:vAlign w:val="center"/>
          </w:tcPr>
          <w:p>
            <w:pPr>
              <w:pStyle w:val="11"/>
            </w:pPr>
            <w:r>
              <w:t>17.37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19.16</w:t>
            </w:r>
          </w:p>
        </w:tc>
        <w:tc>
          <w:tcPr>
            <w:tcW w:w="1361" w:type="dxa"/>
            <w:vAlign w:val="center"/>
          </w:tcPr>
          <w:p>
            <w:pPr>
              <w:pStyle w:val="11"/>
            </w:pPr>
            <w:r>
              <w:t>19.16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28.89</w:t>
            </w:r>
          </w:p>
        </w:tc>
        <w:tc>
          <w:tcPr>
            <w:tcW w:w="1361" w:type="dxa"/>
            <w:vAlign w:val="center"/>
          </w:tcPr>
          <w:p>
            <w:pPr>
              <w:pStyle w:val="11"/>
            </w:pPr>
            <w:r>
              <w:t>28.89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353.33</w:t>
            </w:r>
          </w:p>
        </w:tc>
        <w:tc>
          <w:tcPr>
            <w:tcW w:w="1474" w:type="dxa"/>
            <w:vAlign w:val="center"/>
          </w:tcPr>
          <w:p>
            <w:pPr>
              <w:pStyle w:val="11"/>
            </w:pPr>
            <w:r>
              <w:t>353.33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71.03</w:t>
            </w:r>
          </w:p>
        </w:tc>
        <w:tc>
          <w:tcPr>
            <w:tcW w:w="1474" w:type="dxa"/>
            <w:vAlign w:val="center"/>
          </w:tcPr>
          <w:p>
            <w:pPr>
              <w:pStyle w:val="11"/>
            </w:pPr>
            <w:r>
              <w:t>71.03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36.53</w:t>
            </w:r>
          </w:p>
        </w:tc>
        <w:tc>
          <w:tcPr>
            <w:tcW w:w="1474" w:type="dxa"/>
            <w:vAlign w:val="center"/>
          </w:tcPr>
          <w:p>
            <w:pPr>
              <w:pStyle w:val="11"/>
            </w:pPr>
            <w:r>
              <w:t>36.53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28.89</w:t>
            </w:r>
          </w:p>
        </w:tc>
        <w:tc>
          <w:tcPr>
            <w:tcW w:w="1474" w:type="dxa"/>
            <w:vAlign w:val="center"/>
          </w:tcPr>
          <w:p>
            <w:pPr>
              <w:pStyle w:val="11"/>
            </w:pPr>
            <w:r>
              <w:t>28.89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489.78</w:t>
            </w:r>
          </w:p>
        </w:tc>
        <w:tc>
          <w:tcPr>
            <w:tcW w:w="3402" w:type="dxa"/>
            <w:vAlign w:val="center"/>
          </w:tcPr>
          <w:p>
            <w:pPr>
              <w:pStyle w:val="14"/>
            </w:pPr>
            <w:r>
              <w:t>本年支出合计</w:t>
            </w:r>
          </w:p>
        </w:tc>
        <w:tc>
          <w:tcPr>
            <w:tcW w:w="1474" w:type="dxa"/>
            <w:vAlign w:val="center"/>
          </w:tcPr>
          <w:p>
            <w:pPr>
              <w:pStyle w:val="15"/>
            </w:pPr>
            <w:r>
              <w:t>489.78</w:t>
            </w:r>
          </w:p>
        </w:tc>
        <w:tc>
          <w:tcPr>
            <w:tcW w:w="1474" w:type="dxa"/>
            <w:vAlign w:val="center"/>
          </w:tcPr>
          <w:p>
            <w:pPr>
              <w:pStyle w:val="15"/>
            </w:pPr>
            <w:r>
              <w:t>489.78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489.78</w:t>
            </w:r>
          </w:p>
        </w:tc>
        <w:tc>
          <w:tcPr>
            <w:tcW w:w="3402" w:type="dxa"/>
            <w:vAlign w:val="center"/>
          </w:tcPr>
          <w:p>
            <w:pPr>
              <w:pStyle w:val="14"/>
            </w:pPr>
            <w:r>
              <w:t>支出总计</w:t>
            </w:r>
          </w:p>
        </w:tc>
        <w:tc>
          <w:tcPr>
            <w:tcW w:w="1474" w:type="dxa"/>
            <w:vAlign w:val="center"/>
          </w:tcPr>
          <w:p>
            <w:pPr>
              <w:pStyle w:val="15"/>
            </w:pPr>
            <w:r>
              <w:t>489.78</w:t>
            </w:r>
          </w:p>
        </w:tc>
        <w:tc>
          <w:tcPr>
            <w:tcW w:w="1474" w:type="dxa"/>
            <w:vAlign w:val="center"/>
          </w:tcPr>
          <w:p>
            <w:pPr>
              <w:pStyle w:val="15"/>
            </w:pPr>
            <w:r>
              <w:t>489.78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489.78</w:t>
            </w:r>
          </w:p>
        </w:tc>
        <w:tc>
          <w:tcPr>
            <w:tcW w:w="2551" w:type="dxa"/>
            <w:vAlign w:val="center"/>
          </w:tcPr>
          <w:p>
            <w:pPr>
              <w:pStyle w:val="15"/>
            </w:pPr>
            <w:r>
              <w:t>445.78</w:t>
            </w:r>
          </w:p>
        </w:tc>
        <w:tc>
          <w:tcPr>
            <w:tcW w:w="2551" w:type="dxa"/>
            <w:vAlign w:val="center"/>
          </w:tcPr>
          <w:p>
            <w:pPr>
              <w:pStyle w:val="15"/>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pPr>
            <w:r>
              <w:t>353.33</w:t>
            </w:r>
          </w:p>
        </w:tc>
        <w:tc>
          <w:tcPr>
            <w:tcW w:w="2551" w:type="dxa"/>
            <w:vAlign w:val="center"/>
          </w:tcPr>
          <w:p>
            <w:pPr>
              <w:pStyle w:val="11"/>
            </w:pPr>
            <w:r>
              <w:t>309.33</w:t>
            </w: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71.03</w:t>
            </w:r>
          </w:p>
        </w:tc>
        <w:tc>
          <w:tcPr>
            <w:tcW w:w="2551" w:type="dxa"/>
            <w:vAlign w:val="center"/>
          </w:tcPr>
          <w:p>
            <w:pPr>
              <w:pStyle w:val="11"/>
            </w:pPr>
            <w:r>
              <w:t>71.03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71.03</w:t>
            </w:r>
          </w:p>
        </w:tc>
        <w:tc>
          <w:tcPr>
            <w:tcW w:w="2551" w:type="dxa"/>
            <w:vAlign w:val="center"/>
          </w:tcPr>
          <w:p>
            <w:pPr>
              <w:pStyle w:val="11"/>
            </w:pPr>
            <w:r>
              <w:t>71.03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32.70</w:t>
            </w:r>
          </w:p>
        </w:tc>
        <w:tc>
          <w:tcPr>
            <w:tcW w:w="2551" w:type="dxa"/>
            <w:vAlign w:val="center"/>
          </w:tcPr>
          <w:p>
            <w:pPr>
              <w:pStyle w:val="11"/>
            </w:pPr>
            <w:r>
              <w:t>32.70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38.33</w:t>
            </w:r>
          </w:p>
        </w:tc>
        <w:tc>
          <w:tcPr>
            <w:tcW w:w="2551" w:type="dxa"/>
            <w:vAlign w:val="center"/>
          </w:tcPr>
          <w:p>
            <w:pPr>
              <w:pStyle w:val="11"/>
            </w:pPr>
            <w:r>
              <w:t>38.33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36.53</w:t>
            </w:r>
          </w:p>
        </w:tc>
        <w:tc>
          <w:tcPr>
            <w:tcW w:w="2551" w:type="dxa"/>
            <w:vAlign w:val="center"/>
          </w:tcPr>
          <w:p>
            <w:pPr>
              <w:pStyle w:val="11"/>
            </w:pPr>
            <w:r>
              <w:t>36.53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36.53</w:t>
            </w:r>
          </w:p>
        </w:tc>
        <w:tc>
          <w:tcPr>
            <w:tcW w:w="2551" w:type="dxa"/>
            <w:vAlign w:val="center"/>
          </w:tcPr>
          <w:p>
            <w:pPr>
              <w:pStyle w:val="11"/>
            </w:pPr>
            <w:r>
              <w:t>36.53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17.37</w:t>
            </w:r>
          </w:p>
        </w:tc>
        <w:tc>
          <w:tcPr>
            <w:tcW w:w="2551" w:type="dxa"/>
            <w:vAlign w:val="center"/>
          </w:tcPr>
          <w:p>
            <w:pPr>
              <w:pStyle w:val="11"/>
            </w:pPr>
            <w:r>
              <w:t>17.37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19.16</w:t>
            </w:r>
          </w:p>
        </w:tc>
        <w:tc>
          <w:tcPr>
            <w:tcW w:w="2551" w:type="dxa"/>
            <w:vAlign w:val="center"/>
          </w:tcPr>
          <w:p>
            <w:pPr>
              <w:pStyle w:val="11"/>
            </w:pPr>
            <w:r>
              <w:t>19.16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445.78</w:t>
            </w:r>
          </w:p>
        </w:tc>
        <w:tc>
          <w:tcPr>
            <w:tcW w:w="2551" w:type="dxa"/>
            <w:vAlign w:val="center"/>
          </w:tcPr>
          <w:p>
            <w:pPr>
              <w:pStyle w:val="15"/>
            </w:pPr>
            <w:r>
              <w:t>395.54</w:t>
            </w:r>
          </w:p>
        </w:tc>
        <w:tc>
          <w:tcPr>
            <w:tcW w:w="2551" w:type="dxa"/>
            <w:vAlign w:val="center"/>
          </w:tcPr>
          <w:p>
            <w:pPr>
              <w:pStyle w:val="15"/>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361.78</w:t>
            </w:r>
          </w:p>
        </w:tc>
        <w:tc>
          <w:tcPr>
            <w:tcW w:w="2551" w:type="dxa"/>
            <w:vAlign w:val="center"/>
          </w:tcPr>
          <w:p>
            <w:pPr>
              <w:pStyle w:val="11"/>
            </w:pPr>
            <w:r>
              <w:t>361.78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127.28</w:t>
            </w:r>
          </w:p>
        </w:tc>
        <w:tc>
          <w:tcPr>
            <w:tcW w:w="2551" w:type="dxa"/>
            <w:vAlign w:val="center"/>
          </w:tcPr>
          <w:p>
            <w:pPr>
              <w:pStyle w:val="11"/>
            </w:pPr>
            <w:r>
              <w:t>127.28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52.41</w:t>
            </w:r>
          </w:p>
        </w:tc>
        <w:tc>
          <w:tcPr>
            <w:tcW w:w="2551" w:type="dxa"/>
            <w:vAlign w:val="center"/>
          </w:tcPr>
          <w:p>
            <w:pPr>
              <w:pStyle w:val="11"/>
            </w:pPr>
            <w:r>
              <w:t>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2.82</w:t>
            </w:r>
          </w:p>
        </w:tc>
        <w:tc>
          <w:tcPr>
            <w:tcW w:w="2551" w:type="dxa"/>
            <w:vAlign w:val="center"/>
          </w:tcPr>
          <w:p>
            <w:pPr>
              <w:pStyle w:val="11"/>
            </w:pPr>
            <w:r>
              <w:t>2.82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72.15</w:t>
            </w:r>
          </w:p>
        </w:tc>
        <w:tc>
          <w:tcPr>
            <w:tcW w:w="2551" w:type="dxa"/>
            <w:vAlign w:val="center"/>
          </w:tcPr>
          <w:p>
            <w:pPr>
              <w:pStyle w:val="11"/>
            </w:pPr>
            <w:r>
              <w:t>72.15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38.33</w:t>
            </w:r>
          </w:p>
        </w:tc>
        <w:tc>
          <w:tcPr>
            <w:tcW w:w="2551" w:type="dxa"/>
            <w:vAlign w:val="center"/>
          </w:tcPr>
          <w:p>
            <w:pPr>
              <w:pStyle w:val="11"/>
            </w:pPr>
            <w:r>
              <w:t>38.33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17.37</w:t>
            </w:r>
          </w:p>
        </w:tc>
        <w:tc>
          <w:tcPr>
            <w:tcW w:w="2551" w:type="dxa"/>
            <w:vAlign w:val="center"/>
          </w:tcPr>
          <w:p>
            <w:pPr>
              <w:pStyle w:val="11"/>
            </w:pPr>
            <w:r>
              <w:t>17.37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19.16</w:t>
            </w:r>
          </w:p>
        </w:tc>
        <w:tc>
          <w:tcPr>
            <w:tcW w:w="2551" w:type="dxa"/>
            <w:vAlign w:val="center"/>
          </w:tcPr>
          <w:p>
            <w:pPr>
              <w:pStyle w:val="11"/>
            </w:pPr>
            <w:r>
              <w:t>19.16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28.89</w:t>
            </w:r>
          </w:p>
        </w:tc>
        <w:tc>
          <w:tcPr>
            <w:tcW w:w="2551" w:type="dxa"/>
            <w:vAlign w:val="center"/>
          </w:tcPr>
          <w:p>
            <w:pPr>
              <w:pStyle w:val="11"/>
            </w:pPr>
            <w:r>
              <w:t>28.89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50.24</w:t>
            </w:r>
          </w:p>
        </w:tc>
        <w:tc>
          <w:tcPr>
            <w:tcW w:w="2551" w:type="dxa"/>
            <w:vAlign w:val="center"/>
          </w:tcPr>
          <w:p>
            <w:pPr>
              <w:pStyle w:val="11"/>
            </w:pPr>
          </w:p>
        </w:tc>
        <w:tc>
          <w:tcPr>
            <w:tcW w:w="2551" w:type="dxa"/>
            <w:vAlign w:val="center"/>
          </w:tcPr>
          <w:p>
            <w:pPr>
              <w:pStyle w:val="11"/>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4.28</w:t>
            </w:r>
          </w:p>
        </w:tc>
        <w:tc>
          <w:tcPr>
            <w:tcW w:w="2551" w:type="dxa"/>
            <w:vAlign w:val="center"/>
          </w:tcPr>
          <w:p>
            <w:pPr>
              <w:pStyle w:val="11"/>
            </w:pPr>
          </w:p>
        </w:tc>
        <w:tc>
          <w:tcPr>
            <w:tcW w:w="2551" w:type="dxa"/>
            <w:vAlign w:val="center"/>
          </w:tcPr>
          <w:p>
            <w:pPr>
              <w:pStyle w:val="11"/>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13.70</w:t>
            </w:r>
          </w:p>
        </w:tc>
        <w:tc>
          <w:tcPr>
            <w:tcW w:w="2551" w:type="dxa"/>
            <w:vAlign w:val="center"/>
          </w:tcPr>
          <w:p>
            <w:pPr>
              <w:pStyle w:val="11"/>
            </w:pPr>
          </w:p>
        </w:tc>
        <w:tc>
          <w:tcPr>
            <w:tcW w:w="2551" w:type="dxa"/>
            <w:vAlign w:val="center"/>
          </w:tcPr>
          <w:p>
            <w:pPr>
              <w:pStyle w:val="11"/>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2.28</w:t>
            </w:r>
          </w:p>
        </w:tc>
        <w:tc>
          <w:tcPr>
            <w:tcW w:w="2551" w:type="dxa"/>
            <w:vAlign w:val="center"/>
          </w:tcPr>
          <w:p>
            <w:pPr>
              <w:pStyle w:val="11"/>
            </w:pPr>
          </w:p>
        </w:tc>
        <w:tc>
          <w:tcPr>
            <w:tcW w:w="2551"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4.90</w:t>
            </w:r>
          </w:p>
        </w:tc>
        <w:tc>
          <w:tcPr>
            <w:tcW w:w="2551" w:type="dxa"/>
            <w:vAlign w:val="center"/>
          </w:tcPr>
          <w:p>
            <w:pPr>
              <w:pStyle w:val="11"/>
            </w:pPr>
          </w:p>
        </w:tc>
        <w:tc>
          <w:tcPr>
            <w:tcW w:w="2551" w:type="dxa"/>
            <w:vAlign w:val="center"/>
          </w:tcPr>
          <w:p>
            <w:pPr>
              <w:pStyle w:val="11"/>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3.29</w:t>
            </w:r>
          </w:p>
        </w:tc>
        <w:tc>
          <w:tcPr>
            <w:tcW w:w="2551" w:type="dxa"/>
            <w:vAlign w:val="center"/>
          </w:tcPr>
          <w:p>
            <w:pPr>
              <w:pStyle w:val="11"/>
            </w:pPr>
          </w:p>
        </w:tc>
        <w:tc>
          <w:tcPr>
            <w:tcW w:w="2551" w:type="dxa"/>
            <w:vAlign w:val="center"/>
          </w:tcPr>
          <w:p>
            <w:pPr>
              <w:pStyle w:val="11"/>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1.89</w:t>
            </w:r>
          </w:p>
        </w:tc>
        <w:tc>
          <w:tcPr>
            <w:tcW w:w="2551" w:type="dxa"/>
            <w:vAlign w:val="center"/>
          </w:tcPr>
          <w:p>
            <w:pPr>
              <w:pStyle w:val="11"/>
            </w:pPr>
          </w:p>
        </w:tc>
        <w:tc>
          <w:tcPr>
            <w:tcW w:w="2551" w:type="dxa"/>
            <w:vAlign w:val="center"/>
          </w:tcPr>
          <w:p>
            <w:pPr>
              <w:pStyle w:val="11"/>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33.76</w:t>
            </w:r>
          </w:p>
        </w:tc>
        <w:tc>
          <w:tcPr>
            <w:tcW w:w="2551" w:type="dxa"/>
            <w:vAlign w:val="center"/>
          </w:tcPr>
          <w:p>
            <w:pPr>
              <w:pStyle w:val="11"/>
            </w:pPr>
            <w:r>
              <w:t>33.76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32.70</w:t>
            </w:r>
          </w:p>
        </w:tc>
        <w:tc>
          <w:tcPr>
            <w:tcW w:w="2551" w:type="dxa"/>
            <w:vAlign w:val="center"/>
          </w:tcPr>
          <w:p>
            <w:pPr>
              <w:pStyle w:val="11"/>
            </w:pPr>
            <w:r>
              <w:t>32.70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9.40</w:t>
            </w:r>
          </w:p>
        </w:tc>
        <w:tc>
          <w:tcPr>
            <w:tcW w:w="2381" w:type="dxa"/>
            <w:vAlign w:val="center"/>
          </w:tcPr>
          <w:p>
            <w:pPr>
              <w:pStyle w:val="15"/>
            </w:pPr>
            <w:r>
              <w:t>9.40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6.40</w:t>
            </w:r>
          </w:p>
        </w:tc>
        <w:tc>
          <w:tcPr>
            <w:tcW w:w="2381" w:type="dxa"/>
            <w:vAlign w:val="center"/>
          </w:tcPr>
          <w:p>
            <w:pPr>
              <w:pStyle w:val="11"/>
            </w:pPr>
            <w:r>
              <w:t>6.40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中国共产党唐山市丰南区委员会党校本级2022年单位预算信息公开情况说明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按照《预算法》、《地方预决算公开操作规程》和《关于进一步推进预算公开工作的实施意见》规定，现将中国共产党唐山市丰南区委员会党校本级2022年单位预算公开如下：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5"/>
      </w:pPr>
      <w:r>
        <w:t>一、部门职责及机构设置情况</w:t>
      </w:r>
    </w:p>
    <w:p>
      <w:pPr>
        <w:pStyle w:val="25"/>
      </w:pPr>
      <w:r>
        <w:t>1、部门职责：根据《中国共产党唐山市丰南区委员会党校职能配置、内设机构和人员编制规定》， 中国共产党唐山市丰南区委员会党校的主要职责是：</w:t>
      </w:r>
    </w:p>
    <w:p>
      <w:pPr>
        <w:pStyle w:val="25"/>
      </w:pPr>
      <w:r>
        <w:t xml:space="preserve">（1）发挥干部教育培训主渠道作用，有计划地轮训、培训乡镇、街道、开发区副乡科级领导干部，中青年干部，区管后备干部及理论骨干，基层党员干部，提高广大干部党员的理论素质和业务素质。 </w:t>
      </w:r>
    </w:p>
    <w:p>
      <w:pPr>
        <w:pStyle w:val="25"/>
      </w:pPr>
      <w:r>
        <w:t xml:space="preserve">（2）对学员进行马克思列宁主义、毛泽东思想、邓小平理论、“三个代表”重要思想、科学发展观、习近平新时代中国特色社会主义思想教育和党性教育，引导学员增强“四个意识”，坚定“四个自信”，坚决维护以习近平同志为核心的党中央权威和集中统一领导，自觉在思想上政治上行动上同党中央保持高度一致。 </w:t>
      </w:r>
    </w:p>
    <w:p>
      <w:pPr>
        <w:pStyle w:val="25"/>
      </w:pPr>
      <w:r>
        <w:t xml:space="preserve">（3）紧紧围绕区委、区政府中心工作，坚持面向实际，面向丰南发展大局，深入研究和准确把握全区改革和建设中具有全面性、战略性、前瞻性的重大问题，努力搞好科研工作，发挥新型智库作用，为区委、区政府决策服务。 </w:t>
      </w:r>
    </w:p>
    <w:p>
      <w:pPr>
        <w:pStyle w:val="25"/>
      </w:pPr>
      <w:r>
        <w:t>（4）完成区委交办的其他任务。</w:t>
      </w:r>
    </w:p>
    <w:p>
      <w:pPr>
        <w:pStyle w:val="25"/>
      </w:pPr>
      <w:r>
        <w:t xml:space="preserve">2、机构设置： </w:t>
      </w:r>
    </w:p>
    <w:p>
      <w:pPr>
        <w:pStyle w:val="25"/>
      </w:pPr>
      <w:r>
        <w:t>单位名称：中国共产党唐山市丰南区委员会党校</w:t>
      </w:r>
    </w:p>
    <w:p>
      <w:pPr>
        <w:pStyle w:val="25"/>
      </w:pPr>
      <w:r>
        <w:t>单位性质：事业单位</w:t>
      </w:r>
    </w:p>
    <w:p>
      <w:pPr>
        <w:pStyle w:val="25"/>
      </w:pPr>
      <w:r>
        <w:t>单位规格：正科级单位</w:t>
      </w:r>
    </w:p>
    <w:p>
      <w:pPr>
        <w:pStyle w:val="25"/>
      </w:pPr>
      <w:r>
        <w:t>经费保障形式：财政拨款</w:t>
      </w:r>
      <w:r>
        <w:tab/>
      </w:r>
      <w:r>
        <w:tab/>
      </w:r>
      <w:r>
        <w:tab/>
      </w:r>
      <w:r>
        <w:tab/>
      </w:r>
    </w:p>
    <w:p>
      <w:pPr>
        <w:pStyle w:val="25"/>
      </w:pPr>
      <w:r>
        <w:t>注：我部门纳入预算管理的核算单位有1个单位，单位规格及性质为财政拨款的事业单位，机构规格为正科级单位，经费保障形式为财政拨款</w:t>
      </w:r>
    </w:p>
    <w:p>
      <w:pPr>
        <w:pStyle w:val="25"/>
      </w:pPr>
      <w:r>
        <w:t>内设7个行政机构，具体包括：综合办公室，教务科，政治理论教研室，经济教研室，后勤保障科，财务科，信息资料室。</w:t>
      </w:r>
    </w:p>
    <w:p>
      <w:pPr>
        <w:pStyle w:val="25"/>
      </w:pPr>
      <w:r>
        <w:t>3、人员构成</w:t>
      </w:r>
    </w:p>
    <w:p>
      <w:pPr>
        <w:pStyle w:val="25"/>
      </w:pPr>
      <w:r>
        <w:t>我部门财政供养实有在职27人，其中事业编制21人、人事代理4人、聘任制2人。离退休人员20人。劳务派遣人员8人。</w:t>
      </w:r>
    </w:p>
    <w:p>
      <w:pPr>
        <w:pStyle w:val="25"/>
      </w:pPr>
      <w:r>
        <w:t>二、部门预算安排的总体情况</w:t>
      </w:r>
    </w:p>
    <w:p>
      <w:pPr>
        <w:pStyle w:val="25"/>
      </w:pPr>
      <w:r>
        <w:t>1、收入预算说明</w:t>
      </w:r>
    </w:p>
    <w:p>
      <w:pPr>
        <w:pStyle w:val="25"/>
      </w:pPr>
      <w:r>
        <w:t>2022年部门收入预算489.77万元，其中：一般公共预算拨款489.77万元，政府性基金预算拨款0万元，国有资本经营预算拨款0万元，财政专户核拨0万元，其它来源收入0万元。</w:t>
      </w:r>
    </w:p>
    <w:p>
      <w:pPr>
        <w:pStyle w:val="25"/>
      </w:pPr>
      <w:r>
        <w:t xml:space="preserve">2、支出预算说明 </w:t>
      </w:r>
    </w:p>
    <w:p>
      <w:pPr>
        <w:pStyle w:val="25"/>
      </w:pPr>
      <w:r>
        <w:t>2022年支出预算489.77万元，其中：人员经费支出395.53万元，日常公用经费支出50.24万元；项目支出44万元，主要用于师资与教学项目建设、教学事物管理等专项业务活动。</w:t>
      </w:r>
    </w:p>
    <w:p>
      <w:pPr>
        <w:pStyle w:val="25"/>
      </w:pPr>
      <w:r>
        <w:t>3、部门预算较上年增减情况</w:t>
      </w:r>
    </w:p>
    <w:p>
      <w:pPr>
        <w:pStyle w:val="25"/>
      </w:pPr>
      <w:r>
        <w:t>2022年收入预算较2021年减少3.17万元，主要是项目经费减少。</w:t>
      </w:r>
    </w:p>
    <w:p>
      <w:pPr>
        <w:pStyle w:val="25"/>
      </w:pPr>
      <w:r>
        <w:t>2022年支出预算较2021年减少3.17万元，其中：基本支出增长8.23万元，主要是人员经费增加；项目支出减少11.4万元，主要是项目经费减少。</w:t>
      </w:r>
    </w:p>
    <w:p>
      <w:pPr>
        <w:pStyle w:val="25"/>
      </w:pPr>
      <w:r>
        <w:t>三、机关运行经费安排情况</w:t>
      </w:r>
    </w:p>
    <w:p>
      <w:pPr>
        <w:pStyle w:val="25"/>
      </w:pPr>
      <w:r>
        <w:t>2022年机关运行经费50.24万元，包括办公费4.28万元、水费0.8万元、邮电费0.2万元、维修（护）费2.28万元、公务用车运行维护费2.5万元、办公用房取暖费13.7万元、工会费4.9万元（含区工会1.96万元）、福利费3.29万元、移动通讯补贴4万元、交通补贴11万元、离退休福利费1.69万元、公务接待费0.5万元、租赁费0.9万元、离退休干部报刊费0.2万元。</w:t>
      </w:r>
    </w:p>
    <w:p>
      <w:pPr>
        <w:pStyle w:val="25"/>
      </w:pPr>
      <w:r>
        <w:t>四、财政拨款“三公”经费预算情况及增减变化原因</w:t>
      </w:r>
    </w:p>
    <w:p>
      <w:pPr>
        <w:pStyle w:val="25"/>
      </w:pPr>
      <w:r>
        <w:t>2022年，财政拨款“三公”经费预算安排3万元，比2021年无变化。其中：①因公出国（境）费0万元，比2021年增加0万元，无增减变化；②公务用车购置及运行费2.5万元，其中：公务用车购置费为0万元，比2021年增加0万元，无增减变化；公务用车运行费2.5万元，比2021年增加0万元，无增减变化；③公务接待费0.5万元，比2021年增加0万元，无增减变化。</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中国共产党唐山市丰南区委员会党校本级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6"/>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560" w:firstLineChars="200"/>
        <w:jc w:val="left"/>
      </w:pPr>
      <w:r>
        <w:rPr>
          <w:rFonts w:hint="eastAsia" w:ascii="Times New Roman" w:eastAsia="方正仿宋_GBK"/>
          <w:color w:val="000000" w:themeColor="text1"/>
          <w:sz w:val="28"/>
        </w:rPr>
        <w:t>2022年机关运行经费共计安排</w:t>
      </w:r>
      <w:r>
        <w:rPr>
          <w:rFonts w:hint="eastAsia" w:eastAsia="方正仿宋_GBK"/>
          <w:color w:val="000000" w:themeColor="text1"/>
          <w:sz w:val="28"/>
          <w:lang w:val="en-US" w:eastAsia="zh-CN"/>
        </w:rPr>
        <w:t>50.24</w:t>
      </w:r>
      <w:r>
        <w:rPr>
          <w:rFonts w:hint="eastAsia" w:ascii="Times New Roman" w:eastAsia="方正仿宋_GBK"/>
          <w:color w:val="000000" w:themeColor="text1"/>
          <w:sz w:val="28"/>
        </w:rPr>
        <w:t>万元，主要包括用于保证机关正常运转的办公费、</w:t>
      </w:r>
      <w:r>
        <w:rPr>
          <w:rFonts w:hint="eastAsia" w:eastAsia="方正仿宋_GBK"/>
          <w:color w:val="000000" w:themeColor="text1"/>
          <w:sz w:val="28"/>
          <w:lang w:val="en-US" w:eastAsia="zh-CN"/>
        </w:rPr>
        <w:t>水费、</w:t>
      </w:r>
      <w:r>
        <w:rPr>
          <w:rFonts w:hint="eastAsia" w:ascii="Times New Roman" w:eastAsia="方正仿宋_GBK"/>
          <w:color w:val="000000" w:themeColor="text1"/>
          <w:sz w:val="28"/>
        </w:rPr>
        <w:t>邮电费、维修（护）费</w:t>
      </w:r>
      <w:r>
        <w:rPr>
          <w:rFonts w:hint="eastAsia" w:eastAsia="方正仿宋_GBK"/>
          <w:color w:val="000000" w:themeColor="text1"/>
          <w:sz w:val="28"/>
          <w:lang w:eastAsia="zh-CN"/>
        </w:rPr>
        <w:t>、</w:t>
      </w:r>
      <w:r>
        <w:rPr>
          <w:rFonts w:hint="eastAsia" w:ascii="Times New Roman" w:eastAsia="方正仿宋_GBK"/>
          <w:color w:val="000000" w:themeColor="text1"/>
          <w:sz w:val="28"/>
        </w:rPr>
        <w:t>公务用车运行维护费、</w:t>
      </w:r>
      <w:r>
        <w:rPr>
          <w:rFonts w:hint="eastAsia" w:eastAsia="方正仿宋_GBK"/>
          <w:color w:val="000000" w:themeColor="text1"/>
          <w:sz w:val="28"/>
          <w:lang w:val="en-US" w:eastAsia="zh-CN"/>
        </w:rPr>
        <w:t>公务接待费、</w:t>
      </w:r>
      <w:r>
        <w:rPr>
          <w:rFonts w:hint="eastAsia" w:ascii="Times New Roman" w:eastAsia="方正仿宋_GBK"/>
          <w:color w:val="000000" w:themeColor="text1"/>
          <w:sz w:val="28"/>
        </w:rPr>
        <w:t>办公用房取暖费、工会费、福利费、</w:t>
      </w:r>
      <w:r>
        <w:rPr>
          <w:rFonts w:hint="eastAsia" w:eastAsia="方正仿宋_GBK"/>
          <w:color w:val="000000" w:themeColor="text1"/>
          <w:sz w:val="28"/>
          <w:lang w:val="en-US" w:eastAsia="zh-CN"/>
        </w:rPr>
        <w:t>租赁费、离退休干部报刊费、</w:t>
      </w:r>
      <w:r>
        <w:rPr>
          <w:rFonts w:hint="eastAsia" w:ascii="Times New Roman" w:eastAsia="方正仿宋_GBK"/>
          <w:color w:val="000000" w:themeColor="text1"/>
          <w:sz w:val="28"/>
        </w:rPr>
        <w:t>移动通讯补贴、交通补贴支出。</w:t>
      </w:r>
    </w:p>
    <w:p>
      <w:pPr>
        <w:spacing w:before="10" w:after="10" w:line="360" w:lineRule="auto"/>
        <w:ind w:firstLine="640"/>
        <w:jc w:val="left"/>
        <w:outlineLvl w:val="2"/>
      </w:pPr>
      <w:r>
        <w:rPr>
          <w:rFonts w:ascii="黑体" w:eastAsia="黑体" w:cs="黑体"/>
          <w:color w:val="000000"/>
          <w:sz w:val="32"/>
        </w:rPr>
        <w:t>四、财政拨款“三公”经费预算情况及增减变化原因</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2022年部门“三公”经费预算安排</w:t>
      </w:r>
      <w:r>
        <w:rPr>
          <w:rFonts w:hint="eastAsia" w:eastAsia="方正仿宋_GBK"/>
          <w:color w:val="000000" w:themeColor="text1"/>
          <w:sz w:val="28"/>
          <w:lang w:val="en-US" w:eastAsia="zh-CN"/>
        </w:rPr>
        <w:t>9.4</w:t>
      </w:r>
      <w:r>
        <w:rPr>
          <w:rFonts w:hint="eastAsia" w:ascii="Times New Roman" w:eastAsia="方正仿宋_GBK"/>
          <w:color w:val="000000" w:themeColor="text1"/>
          <w:sz w:val="28"/>
        </w:rPr>
        <w:t>万元，比2021年</w:t>
      </w:r>
      <w:r>
        <w:rPr>
          <w:rFonts w:hint="eastAsia" w:eastAsia="方正仿宋_GBK"/>
          <w:color w:val="000000" w:themeColor="text1"/>
          <w:sz w:val="28"/>
          <w:lang w:val="en-US" w:eastAsia="zh-CN"/>
        </w:rPr>
        <w:t>无增减变化</w:t>
      </w:r>
      <w:r>
        <w:rPr>
          <w:rFonts w:hint="eastAsia" w:ascii="Times New Roman" w:eastAsia="方正仿宋_GBK"/>
          <w:color w:val="000000" w:themeColor="text1"/>
          <w:sz w:val="28"/>
        </w:rPr>
        <w:t>。具体增减情况为：</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（一）公务用车购置及运行费</w:t>
      </w:r>
      <w:r>
        <w:rPr>
          <w:rFonts w:hint="eastAsia" w:eastAsia="方正仿宋_GBK"/>
          <w:color w:val="000000" w:themeColor="text1"/>
          <w:sz w:val="28"/>
          <w:lang w:val="en-US" w:eastAsia="zh-CN"/>
        </w:rPr>
        <w:t>2.5</w:t>
      </w:r>
      <w:r>
        <w:rPr>
          <w:rFonts w:hint="eastAsia" w:ascii="Times New Roman" w:eastAsia="方正仿宋_GBK"/>
          <w:color w:val="000000" w:themeColor="text1"/>
          <w:sz w:val="28"/>
        </w:rPr>
        <w:t>万元，比2021年无增减变化</w:t>
      </w:r>
    </w:p>
    <w:p>
      <w:pPr>
        <w:spacing w:line="360" w:lineRule="auto"/>
        <w:ind w:firstLine="560" w:firstLineChars="200"/>
        <w:jc w:val="left"/>
        <w:rPr>
          <w:rFonts w:ascii="Times New Roman" w:eastAsia="方正仿宋_GBK"/>
          <w:color w:val="000000" w:themeColor="text1"/>
          <w:sz w:val="28"/>
        </w:rPr>
      </w:pPr>
      <w:r>
        <w:rPr>
          <w:rFonts w:hint="eastAsia" w:ascii="Times New Roman" w:eastAsia="方正仿宋_GBK"/>
          <w:color w:val="000000" w:themeColor="text1"/>
          <w:sz w:val="28"/>
        </w:rPr>
        <w:t>（二）公务接待费</w:t>
      </w:r>
      <w:r>
        <w:rPr>
          <w:rFonts w:hint="eastAsia" w:eastAsia="方正仿宋_GBK"/>
          <w:color w:val="000000" w:themeColor="text1"/>
          <w:sz w:val="28"/>
          <w:lang w:val="en-US" w:eastAsia="zh-CN"/>
        </w:rPr>
        <w:t>0.5</w:t>
      </w:r>
      <w:r>
        <w:rPr>
          <w:rFonts w:hint="eastAsia" w:ascii="Times New Roman" w:eastAsia="方正仿宋_GBK"/>
          <w:color w:val="000000" w:themeColor="text1"/>
          <w:sz w:val="28"/>
        </w:rPr>
        <w:t>万元，比2021年无增减变化</w:t>
      </w:r>
    </w:p>
    <w:p>
      <w:pPr>
        <w:spacing w:line="360" w:lineRule="auto"/>
        <w:ind w:firstLine="560" w:firstLineChars="200"/>
        <w:jc w:val="left"/>
        <w:rPr>
          <w:rFonts w:hint="eastAsia" w:ascii="Times New Roman" w:eastAsia="方正仿宋_GBK"/>
          <w:color w:val="000000" w:themeColor="text1"/>
          <w:sz w:val="28"/>
        </w:rPr>
      </w:pPr>
      <w:r>
        <w:rPr>
          <w:rFonts w:hint="eastAsia" w:ascii="Times New Roman" w:eastAsia="方正仿宋_GBK"/>
          <w:color w:val="000000" w:themeColor="text1"/>
          <w:sz w:val="28"/>
        </w:rPr>
        <w:t>（三）因公出国（境）费</w:t>
      </w:r>
      <w:r>
        <w:rPr>
          <w:rFonts w:hint="eastAsia" w:eastAsia="方正仿宋_GBK"/>
          <w:color w:val="000000" w:themeColor="text1"/>
          <w:sz w:val="28"/>
          <w:lang w:val="en-US" w:eastAsia="zh-CN"/>
        </w:rPr>
        <w:t>0</w:t>
      </w:r>
      <w:r>
        <w:rPr>
          <w:rFonts w:hint="eastAsia" w:ascii="Times New Roman" w:eastAsia="方正仿宋_GBK"/>
          <w:color w:val="000000" w:themeColor="text1"/>
          <w:sz w:val="28"/>
        </w:rPr>
        <w:t>万元，比2021年无增减变化</w:t>
      </w:r>
    </w:p>
    <w:p>
      <w:pPr>
        <w:spacing w:line="360" w:lineRule="auto"/>
        <w:ind w:firstLine="560" w:firstLineChars="200"/>
        <w:jc w:val="left"/>
      </w:pPr>
      <w:r>
        <w:rPr>
          <w:rFonts w:hint="eastAsia" w:ascii="Times New Roman" w:eastAsia="方正仿宋_GBK"/>
          <w:color w:val="000000" w:themeColor="text1"/>
          <w:sz w:val="28"/>
        </w:rPr>
        <w:t>（</w:t>
      </w:r>
      <w:r>
        <w:rPr>
          <w:rFonts w:hint="eastAsia" w:eastAsia="方正仿宋_GBK"/>
          <w:color w:val="000000" w:themeColor="text1"/>
          <w:sz w:val="28"/>
          <w:lang w:val="en-US" w:eastAsia="zh-CN"/>
        </w:rPr>
        <w:t>四</w:t>
      </w:r>
      <w:r>
        <w:rPr>
          <w:rFonts w:hint="eastAsia" w:ascii="Times New Roman" w:eastAsia="方正仿宋_GBK"/>
          <w:color w:val="000000" w:themeColor="text1"/>
          <w:sz w:val="28"/>
        </w:rPr>
        <w:t>）</w:t>
      </w:r>
      <w:r>
        <w:rPr>
          <w:rFonts w:hint="eastAsia" w:eastAsia="方正仿宋_GBK"/>
          <w:color w:val="000000" w:themeColor="text1"/>
          <w:sz w:val="28"/>
          <w:lang w:val="en-US" w:eastAsia="zh-CN"/>
        </w:rPr>
        <w:t>培训</w:t>
      </w:r>
      <w:r>
        <w:rPr>
          <w:rFonts w:hint="eastAsia" w:ascii="Times New Roman" w:eastAsia="方正仿宋_GBK"/>
          <w:color w:val="000000" w:themeColor="text1"/>
          <w:sz w:val="28"/>
        </w:rPr>
        <w:t>费</w:t>
      </w:r>
      <w:r>
        <w:rPr>
          <w:rFonts w:hint="eastAsia" w:eastAsia="方正仿宋_GBK"/>
          <w:color w:val="000000" w:themeColor="text1"/>
          <w:sz w:val="28"/>
          <w:lang w:val="en-US" w:eastAsia="zh-CN"/>
        </w:rPr>
        <w:t>6.4</w:t>
      </w:r>
      <w:r>
        <w:rPr>
          <w:rFonts w:hint="eastAsia" w:ascii="Times New Roman" w:eastAsia="方正仿宋_GBK"/>
          <w:color w:val="000000" w:themeColor="text1"/>
          <w:sz w:val="28"/>
        </w:rPr>
        <w:t>万元，比2021年无增减变化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1、机关运转经费（劳务费）绩效目标表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后勤服务保障率。</w:t>
            </w:r>
          </w:p>
        </w:tc>
        <w:tc>
          <w:tcPr>
            <w:tcW w:w="2835" w:type="dxa"/>
            <w:vAlign w:val="center"/>
          </w:tcPr>
          <w:p>
            <w:pPr>
              <w:pStyle w:val="12"/>
            </w:pPr>
            <w:r>
              <w:t>后勤服务保障率。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后勤保障工作完成率</w:t>
            </w:r>
          </w:p>
        </w:tc>
        <w:tc>
          <w:tcPr>
            <w:tcW w:w="2835" w:type="dxa"/>
            <w:vAlign w:val="center"/>
          </w:tcPr>
          <w:p>
            <w:pPr>
              <w:pStyle w:val="12"/>
            </w:pPr>
            <w:r>
              <w:t>后勤保障工作完成率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2、教师外出培训费绩效目标表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1.选送教师到外地学习深造，加强重点教学项目建设，形成党史、党建等党校优秀教学项目。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优势教学项目数</w:t>
            </w:r>
          </w:p>
        </w:tc>
        <w:tc>
          <w:tcPr>
            <w:tcW w:w="2835" w:type="dxa"/>
            <w:vAlign w:val="center"/>
          </w:tcPr>
          <w:p>
            <w:pPr>
              <w:pStyle w:val="12"/>
            </w:pPr>
            <w:r>
              <w:t>培育和建设的具有党校教育特色的优势学科门数</w:t>
            </w:r>
          </w:p>
        </w:tc>
        <w:tc>
          <w:tcPr>
            <w:tcW w:w="2551" w:type="dxa"/>
            <w:vAlign w:val="center"/>
          </w:tcPr>
          <w:p>
            <w:pPr>
              <w:pStyle w:val="12"/>
            </w:pPr>
            <w:r>
              <w:t>≥3个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科研立项数</w:t>
            </w:r>
          </w:p>
        </w:tc>
        <w:tc>
          <w:tcPr>
            <w:tcW w:w="2835" w:type="dxa"/>
            <w:vAlign w:val="center"/>
          </w:tcPr>
          <w:p>
            <w:pPr>
              <w:pStyle w:val="12"/>
            </w:pPr>
            <w:r>
              <w:t>全年科研课题立项数目</w:t>
            </w:r>
          </w:p>
        </w:tc>
        <w:tc>
          <w:tcPr>
            <w:tcW w:w="2551" w:type="dxa"/>
            <w:vAlign w:val="center"/>
          </w:tcPr>
          <w:p>
            <w:pPr>
              <w:pStyle w:val="12"/>
            </w:pPr>
            <w:r>
              <w:t>≥1个</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2835" w:type="dxa"/>
            <w:vAlign w:val="center"/>
          </w:tcPr>
          <w:p>
            <w:pPr>
              <w:pStyle w:val="12"/>
            </w:pPr>
            <w:r>
              <w:t>完成及时率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数据共享率</w:t>
            </w:r>
          </w:p>
        </w:tc>
        <w:tc>
          <w:tcPr>
            <w:tcW w:w="2835" w:type="dxa"/>
            <w:vAlign w:val="center"/>
          </w:tcPr>
          <w:p>
            <w:pPr>
              <w:pStyle w:val="12"/>
            </w:pPr>
            <w:r>
              <w:t>数据共享率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服务效率</w:t>
            </w:r>
          </w:p>
        </w:tc>
        <w:tc>
          <w:tcPr>
            <w:tcW w:w="2835" w:type="dxa"/>
            <w:vAlign w:val="center"/>
          </w:tcPr>
          <w:p>
            <w:pPr>
              <w:pStyle w:val="12"/>
            </w:pPr>
            <w:r>
              <w:t>服务效率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2835" w:type="dxa"/>
            <w:vAlign w:val="center"/>
          </w:tcPr>
          <w:p>
            <w:pPr>
              <w:pStyle w:val="12"/>
            </w:pPr>
            <w:r>
              <w:t>持续服务率(%)</w:t>
            </w:r>
          </w:p>
        </w:tc>
        <w:tc>
          <w:tcPr>
            <w:tcW w:w="2551" w:type="dxa"/>
            <w:vAlign w:val="center"/>
          </w:tcPr>
          <w:p>
            <w:pPr>
              <w:pStyle w:val="12"/>
            </w:pPr>
            <w:r>
              <w:t>≥90%</w:t>
            </w:r>
          </w:p>
        </w:tc>
        <w:tc>
          <w:tcPr>
            <w:tcW w:w="2268"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3、亮化经费绩效目标表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1.优化后勤服务管理水平，加强与教学活动和学员培训相关的办公设施、教学设施和水、电、暖、亮化等基础设施的综合管理和后勤保障事务管理。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后勤服务保障率。</w:t>
            </w:r>
          </w:p>
        </w:tc>
        <w:tc>
          <w:tcPr>
            <w:tcW w:w="2835" w:type="dxa"/>
            <w:vAlign w:val="center"/>
          </w:tcPr>
          <w:p>
            <w:pPr>
              <w:pStyle w:val="12"/>
            </w:pPr>
            <w:r>
              <w:t>后勤服务保障率。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后勤保障工作完成率</w:t>
            </w:r>
          </w:p>
        </w:tc>
        <w:tc>
          <w:tcPr>
            <w:tcW w:w="2835" w:type="dxa"/>
            <w:vAlign w:val="center"/>
          </w:tcPr>
          <w:p>
            <w:pPr>
              <w:pStyle w:val="12"/>
            </w:pPr>
            <w:r>
              <w:t>后勤保障工作完成率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设施完好率(％)</w:t>
            </w:r>
          </w:p>
        </w:tc>
        <w:tc>
          <w:tcPr>
            <w:tcW w:w="2835" w:type="dxa"/>
            <w:vAlign w:val="center"/>
          </w:tcPr>
          <w:p>
            <w:pPr>
              <w:pStyle w:val="12"/>
            </w:pPr>
            <w:r>
              <w:t>设施完好率(％)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提供优质服务</w:t>
            </w:r>
          </w:p>
        </w:tc>
        <w:tc>
          <w:tcPr>
            <w:tcW w:w="2835" w:type="dxa"/>
            <w:vAlign w:val="center"/>
          </w:tcPr>
          <w:p>
            <w:pPr>
              <w:pStyle w:val="12"/>
            </w:pPr>
            <w:r>
              <w:t>提供优质服务</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p>
            <w:pPr>
              <w:pStyle w:val="12"/>
            </w:pPr>
          </w:p>
        </w:tc>
        <w:tc>
          <w:tcPr>
            <w:tcW w:w="2835" w:type="dxa"/>
            <w:vAlign w:val="center"/>
          </w:tcPr>
          <w:p>
            <w:pPr>
              <w:pStyle w:val="12"/>
            </w:pPr>
            <w:r>
              <w:t>设备完好数量市场价值总额占设备总数量市场价值总额的比率</w:t>
            </w:r>
          </w:p>
        </w:tc>
        <w:tc>
          <w:tcPr>
            <w:tcW w:w="2551" w:type="dxa"/>
            <w:vAlign w:val="center"/>
          </w:tcPr>
          <w:p>
            <w:pPr>
              <w:pStyle w:val="12"/>
            </w:pPr>
            <w:r>
              <w:t>≥90%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2022年，中国共产党唐山市丰南区委员会党校本级安排政府采购预算0.00万元。具体内容见下表。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中国共产党唐山市丰南区委员会党校本级上年末固定资产金额为264.68万元（详见下表）。本年度拟购置固定资产总额为0.00万元，已按要求列入政府采购预算，详见政府采购预算表。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403001中国共产党唐山市丰南区委员会党校本级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3815</w:t>
            </w:r>
          </w:p>
        </w:tc>
        <w:tc>
          <w:tcPr>
            <w:tcW w:w="2835" w:type="dxa"/>
            <w:vAlign w:val="center"/>
          </w:tcPr>
          <w:p>
            <w:pPr>
              <w:pStyle w:val="11"/>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360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234</w:t>
            </w:r>
          </w:p>
        </w:tc>
        <w:tc>
          <w:tcPr>
            <w:tcW w:w="2835" w:type="dxa"/>
            <w:vAlign w:val="center"/>
          </w:tcPr>
          <w:p>
            <w:pPr>
              <w:pStyle w:val="11"/>
            </w:pPr>
            <w:r>
              <w:t>94.70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182910C5"/>
    <w:rsid w:val="262025C5"/>
    <w:rsid w:val="31453866"/>
    <w:rsid w:val="36D3768B"/>
    <w:rsid w:val="6DF66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7">
    <w:name w:val="单元格样式22"/>
    <w:basedOn w:val="1"/>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33">
    <w:name w:val="单元格样式1_6db3a769-412b-42ec-8448-d13d7bf6e018"/>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34">
    <w:name w:val="单元格样式2_08c983b4-e966-4dfa-835a-ff8508c075a4"/>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35">
    <w:name w:val="Normal_0f54a9a6-f06c-4077-8207-fc8bd9aac1a6"/>
    <w:qFormat/>
    <w:uiPriority w:val="0"/>
    <w:rPr>
      <w:rFonts w:ascii="Times New Roman" w:hAnsi="Times New Roman" w:eastAsia="Times New Roman" w:cs="Times New Roman"/>
      <w:kern w:val="0"/>
      <w:sz w:val="24"/>
      <w:szCs w:val="24"/>
      <w:lang w:val="en-US" w:eastAsia="uk-UA" w:bidi="ar-SA"/>
    </w:rPr>
  </w:style>
  <w:style w:type="paragraph" w:customStyle="1" w:styleId="36">
    <w:name w:val="单元格样式3_92d12691-88a4-460c-8caa-dca90405eb54"/>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49</Pages>
  <Words>14553</Words>
  <Characters>17643</Characters>
  <Lines>3437</Lines>
  <Paragraphs>2133</Paragraphs>
  <TotalTime>8</TotalTime>
  <ScaleCrop>false</ScaleCrop>
  <LinksUpToDate>false</LinksUpToDate>
  <CharactersWithSpaces>17949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2022-02-24T13:33:00Z</dcterms:created>
  <dc:creator>fndx2019</dc:creator>
  <cp:lastModifiedBy>郑昉</cp:lastModifiedBy>
  <dcterms:modified xsi:type="dcterms:W3CDTF">2022-03-01T01:34:14Z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5ABF503CBFEF496DACFC6051E69D043E</vt:lpwstr>
  </property>
</Properties>
</file>