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w:t>
      </w:r>
      <w:r>
        <w:rPr>
          <w:rFonts w:hint="eastAsia" w:ascii="黑体" w:eastAsia="黑体" w:cs="黑体"/>
          <w:b/>
          <w:color w:val="000000"/>
          <w:sz w:val="44"/>
          <w:lang w:eastAsia="zh-CN"/>
        </w:rPr>
        <w:t>单位预算</w:t>
      </w:r>
      <w:r>
        <w:rPr>
          <w:rFonts w:ascii="黑体" w:eastAsia="黑体" w:cs="黑体"/>
          <w:b/>
          <w:color w:val="000000"/>
          <w:sz w:val="44"/>
        </w:rPr>
        <w:t>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eastAsia="黑体" w:cs="黑体"/>
          <w:b/>
          <w:color w:val="000000"/>
          <w:sz w:val="30"/>
        </w:rPr>
        <w:t>第</w:t>
      </w:r>
      <w:r>
        <w:rPr>
          <w:rFonts w:hint="eastAsia" w:ascii="黑体" w:eastAsia="黑体" w:cs="黑体"/>
          <w:b/>
          <w:color w:val="000000"/>
          <w:sz w:val="30"/>
          <w:lang w:val="en-US" w:eastAsia="zh-CN"/>
        </w:rPr>
        <w:t>二</w:t>
      </w:r>
      <w:r>
        <w:rPr>
          <w:rFonts w:ascii="黑体" w:eastAsia="黑体" w:cs="黑体"/>
          <w:b/>
          <w:color w:val="000000"/>
          <w:sz w:val="30"/>
        </w:rPr>
        <w:t xml:space="preserve">部分  </w:t>
      </w:r>
      <w:r>
        <w:rPr>
          <w:rFonts w:hint="eastAsia" w:ascii="黑体" w:eastAsia="黑体" w:cs="黑体"/>
          <w:b/>
          <w:color w:val="000000"/>
          <w:sz w:val="30"/>
          <w:lang w:eastAsia="zh-CN"/>
        </w:rPr>
        <w:t>单位预算</w:t>
      </w:r>
    </w:p>
    <w:p>
      <w:pPr>
        <w:spacing w:before="0" w:after="0" w:line="240" w:lineRule="auto"/>
        <w:ind w:firstLine="0"/>
        <w:jc w:val="left"/>
        <w:outlineLvl w:val="9"/>
      </w:pPr>
      <w:r>
        <w:rPr>
          <w:rFonts w:hint="eastAsia" w:ascii="方正楷体_GBK" w:eastAsia="方正楷体_GBK" w:cs="方正楷体_GBK"/>
          <w:b/>
          <w:color w:val="000000"/>
          <w:sz w:val="28"/>
          <w:lang w:eastAsia="zh-CN"/>
        </w:rPr>
        <w:t>单位预算</w:t>
      </w:r>
      <w:r>
        <w:rPr>
          <w:rFonts w:ascii="方正楷体_GBK" w:eastAsia="方正楷体_GBK" w:cs="方正楷体_GBK"/>
          <w:b/>
          <w:color w:val="000000"/>
          <w:sz w:val="28"/>
        </w:rPr>
        <w:t>公开表</w:t>
      </w:r>
    </w:p>
    <w:p>
      <w:pPr>
        <w:pStyle w:val="33"/>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Hyperlink \l "_Toc_2_2_0000000002"</w:instrText>
      </w:r>
      <w:r>
        <w:fldChar w:fldCharType="separate"/>
      </w:r>
      <w:r>
        <w:rPr>
          <w:rFonts w:hint="eastAsia"/>
          <w:lang w:eastAsia="zh-CN"/>
        </w:rPr>
        <w:t>单位预算</w:t>
      </w:r>
      <w:r>
        <w:t>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Hyperlink \l "_Toc_2_2_0000000003"</w:instrText>
      </w:r>
      <w:r>
        <w:fldChar w:fldCharType="separate"/>
      </w:r>
      <w:r>
        <w:rPr>
          <w:rFonts w:hint="eastAsia"/>
          <w:lang w:eastAsia="zh-CN"/>
        </w:rPr>
        <w:t>单位预算</w:t>
      </w:r>
      <w:r>
        <w:t>支出总表</w:t>
      </w:r>
      <w:r>
        <w:tab/>
      </w:r>
      <w:r>
        <w:fldChar w:fldCharType="begin"/>
      </w:r>
      <w:r>
        <w:instrText xml:space="preserve">PAGEREF _Toc_2_2_0000000003 \h</w:instrText>
      </w:r>
      <w:r>
        <w:fldChar w:fldCharType="separate"/>
      </w:r>
      <w:r>
        <w:t>5</w:t>
      </w:r>
      <w:r>
        <w:fldChar w:fldCharType="end"/>
      </w:r>
      <w:r>
        <w:fldChar w:fldCharType="end"/>
      </w:r>
    </w:p>
    <w:p>
      <w:pPr>
        <w:pStyle w:val="33"/>
        <w:tabs>
          <w:tab w:val="right" w:leader="dot" w:pos="14562"/>
        </w:tabs>
      </w:pPr>
      <w:r>
        <w:fldChar w:fldCharType="begin"/>
      </w:r>
      <w:r>
        <w:instrText xml:space="preserve">Hyperlink \l "_Toc_2_2_0000000004"</w:instrText>
      </w:r>
      <w:r>
        <w:fldChar w:fldCharType="separate"/>
      </w:r>
      <w:r>
        <w:rPr>
          <w:rFonts w:hint="eastAsia"/>
          <w:lang w:eastAsia="zh-CN"/>
        </w:rPr>
        <w:t>单位预算</w:t>
      </w:r>
      <w:r>
        <w:t>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3"/>
        <w:tabs>
          <w:tab w:val="right" w:leader="dot" w:pos="14562"/>
        </w:tabs>
      </w:pPr>
      <w:r>
        <w:fldChar w:fldCharType="begin"/>
      </w:r>
      <w:r>
        <w:instrText xml:space="preserve">Hyperlink \l "_Toc_2_2_0000000005"</w:instrText>
      </w:r>
      <w:r>
        <w:fldChar w:fldCharType="separate"/>
      </w:r>
      <w:r>
        <w:rPr>
          <w:rFonts w:hint="eastAsia"/>
          <w:lang w:eastAsia="zh-CN"/>
        </w:rPr>
        <w:t>单位预算</w:t>
      </w:r>
      <w:r>
        <w:t>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3"/>
        <w:tabs>
          <w:tab w:val="right" w:leader="dot" w:pos="14562"/>
        </w:tabs>
      </w:pPr>
      <w:r>
        <w:fldChar w:fldCharType="begin"/>
      </w:r>
      <w:r>
        <w:instrText xml:space="preserve">Hyperlink \l "_Toc_2_2_0000000006"</w:instrText>
      </w:r>
      <w:r>
        <w:fldChar w:fldCharType="separate"/>
      </w:r>
      <w:r>
        <w:rPr>
          <w:rFonts w:hint="eastAsia"/>
          <w:lang w:eastAsia="zh-CN"/>
        </w:rPr>
        <w:t>单位预算</w:t>
      </w:r>
      <w:r>
        <w:t>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3"/>
        <w:tabs>
          <w:tab w:val="right" w:leader="dot" w:pos="14562"/>
        </w:tabs>
      </w:pPr>
      <w:r>
        <w:fldChar w:fldCharType="begin"/>
      </w:r>
      <w:r>
        <w:instrText xml:space="preserve">Hyperlink \l "_Toc_2_2_0000000007"</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3"/>
        <w:tabs>
          <w:tab w:val="right" w:leader="dot" w:pos="14562"/>
        </w:tabs>
      </w:pPr>
      <w:r>
        <w:fldChar w:fldCharType="begin"/>
      </w:r>
      <w:r>
        <w:instrText xml:space="preserve">Hyperlink \l "_Toc_2_2_0000000008"</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3"/>
        <w:tabs>
          <w:tab w:val="right" w:leader="dot" w:pos="14562"/>
        </w:tabs>
      </w:pPr>
      <w:r>
        <w:fldChar w:fldCharType="begin"/>
      </w:r>
      <w:r>
        <w:instrText xml:space="preserve">Hyperlink \l "_Toc_2_2_0000000009"</w:instrText>
      </w:r>
      <w:r>
        <w:fldChar w:fldCharType="separate"/>
      </w:r>
      <w:r>
        <w:rPr>
          <w:rFonts w:hint="eastAsia"/>
          <w:lang w:eastAsia="zh-CN"/>
        </w:rPr>
        <w:t>单位预算</w:t>
      </w:r>
      <w:r>
        <w:t>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eastAsia="方正楷体_GBK" w:cs="方正楷体_GBK"/>
          <w:b/>
          <w:color w:val="000000"/>
          <w:sz w:val="28"/>
          <w:lang w:eastAsia="zh-CN"/>
        </w:rPr>
        <w:t>单位预算</w:t>
      </w:r>
      <w:r>
        <w:rPr>
          <w:rFonts w:ascii="方正楷体_GBK" w:eastAsia="方正楷体_GBK" w:cs="方正楷体_GBK"/>
          <w:b/>
          <w:color w:val="000000"/>
          <w:sz w:val="28"/>
        </w:rPr>
        <w:t>信息公开情况说明</w:t>
      </w:r>
    </w:p>
    <w:p>
      <w:pPr>
        <w:pStyle w:val="33"/>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3"/>
        <w:tabs>
          <w:tab w:val="right" w:leader="dot" w:pos="14562"/>
        </w:tabs>
      </w:pPr>
      <w:r>
        <w:fldChar w:fldCharType="begin"/>
      </w:r>
      <w:r>
        <w:instrText xml:space="preserve">Hyperlink \l "_Toc_3_3_0000000011"</w:instrText>
      </w:r>
      <w:r>
        <w:fldChar w:fldCharType="separate"/>
      </w:r>
      <w:r>
        <w:t>二、</w:t>
      </w:r>
      <w:r>
        <w:rPr>
          <w:rFonts w:hint="eastAsia"/>
          <w:lang w:eastAsia="zh-CN"/>
        </w:rPr>
        <w:t>单位预算</w:t>
      </w:r>
      <w:r>
        <w:t>安排的总体情况</w:t>
      </w:r>
      <w:r>
        <w:tab/>
      </w:r>
      <w:r>
        <w:fldChar w:fldCharType="begin"/>
      </w:r>
      <w:r>
        <w:instrText xml:space="preserve">PAGEREF _Toc_3_3_0000000011 \h</w:instrText>
      </w:r>
      <w:r>
        <w:fldChar w:fldCharType="separate"/>
      </w:r>
      <w:r>
        <w:t>14</w:t>
      </w:r>
      <w:r>
        <w:fldChar w:fldCharType="end"/>
      </w:r>
      <w:r>
        <w:fldChar w:fldCharType="end"/>
      </w:r>
    </w:p>
    <w:p>
      <w:pPr>
        <w:pStyle w:val="33"/>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3"/>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3"/>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3"/>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3"/>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3"/>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3"/>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rPr>
          <w:rFonts w:ascii="方正小标宋_GBK" w:eastAsia="方正小标宋_GBK" w:cs="方正小标宋_GBK"/>
          <w:color w:val="000000"/>
          <w:sz w:val="44"/>
        </w:rPr>
      </w:pPr>
    </w:p>
    <w:p>
      <w:pPr>
        <w:spacing w:before="0" w:after="0" w:line="240" w:lineRule="auto"/>
        <w:ind w:firstLine="0"/>
        <w:jc w:val="both"/>
        <w:outlineLvl w:val="9"/>
      </w:pPr>
      <w:r>
        <w:rPr>
          <w:rFonts w:ascii="方正小标宋_GBK" w:eastAsia="方正小标宋_GBK" w:cs="方正小标宋_GBK"/>
          <w:color w:val="000000"/>
          <w:sz w:val="44"/>
        </w:rPr>
        <w:t xml:space="preserve"> </w:t>
      </w:r>
    </w:p>
    <w:p>
      <w:pPr>
        <w:pStyle w:val="2"/>
        <w:rPr>
          <w:color w:val="000000" w:themeColor="text1"/>
        </w:rPr>
      </w:pPr>
      <w:bookmarkStart w:id="0" w:name="_Toc66803473"/>
      <w:bookmarkStart w:id="1" w:name="_Toc_2_2_0000000001"/>
      <w:r>
        <w:rPr>
          <w:rFonts w:hint="eastAsia"/>
          <w:color w:val="000000" w:themeColor="text1"/>
        </w:rPr>
        <w:t>一、</w:t>
      </w:r>
      <w:r>
        <w:rPr>
          <w:rFonts w:hint="eastAsia" w:eastAsia="宋体"/>
          <w:color w:val="000000" w:themeColor="text1"/>
          <w:lang w:val="en-US" w:eastAsia="zh-CN"/>
        </w:rPr>
        <w:t>中国共产党唐山市丰南区委员会党校</w:t>
      </w:r>
      <w:r>
        <w:rPr>
          <w:rFonts w:hint="eastAsia"/>
          <w:color w:val="000000" w:themeColor="text1"/>
        </w:rPr>
        <w:t>本级收支预算</w:t>
      </w:r>
      <w:bookmarkEnd w:id="0"/>
    </w:p>
    <w:p>
      <w:pPr>
        <w:spacing w:line="300" w:lineRule="exact"/>
        <w:jc w:val="left"/>
        <w:rPr>
          <w:color w:val="000000" w:themeColor="text1"/>
        </w:rPr>
        <w:sectPr>
          <w:footerReference r:id="rId3" w:type="default"/>
          <w:pgSz w:w="16839" w:h="11907" w:orient="landscape"/>
          <w:pgMar w:top="1361" w:right="1020" w:bottom="1361" w:left="1020" w:header="851" w:footer="992" w:gutter="0"/>
          <w:cols w:space="425" w:num="1"/>
          <w:docGrid w:type="lines" w:linePitch="312" w:charSpace="0"/>
        </w:sectPr>
      </w:pPr>
    </w:p>
    <w:p>
      <w:pPr>
        <w:spacing w:before="0" w:after="0" w:line="240" w:lineRule="auto"/>
        <w:ind w:firstLine="0"/>
        <w:jc w:val="center"/>
        <w:outlineLvl w:val="1"/>
      </w:pPr>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489.78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353.33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489.78</w:t>
            </w:r>
          </w:p>
        </w:tc>
        <w:tc>
          <w:tcPr>
            <w:tcW w:w="4535" w:type="dxa"/>
            <w:vAlign w:val="center"/>
          </w:tcPr>
          <w:p>
            <w:pPr>
              <w:pStyle w:val="15"/>
            </w:pPr>
            <w:r>
              <w:t>本年支出合计</w:t>
            </w:r>
          </w:p>
        </w:tc>
        <w:tc>
          <w:tcPr>
            <w:tcW w:w="2126" w:type="dxa"/>
            <w:vAlign w:val="center"/>
          </w:tcPr>
          <w:p>
            <w:pPr>
              <w:pStyle w:val="16"/>
            </w:pPr>
            <w:r>
              <w:t>489.78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489.78</w:t>
            </w:r>
          </w:p>
        </w:tc>
        <w:tc>
          <w:tcPr>
            <w:tcW w:w="4535" w:type="dxa"/>
            <w:vAlign w:val="center"/>
          </w:tcPr>
          <w:p>
            <w:pPr>
              <w:pStyle w:val="15"/>
            </w:pPr>
            <w:r>
              <w:t>支出总计</w:t>
            </w:r>
          </w:p>
        </w:tc>
        <w:tc>
          <w:tcPr>
            <w:tcW w:w="2126" w:type="dxa"/>
            <w:vAlign w:val="center"/>
          </w:tcPr>
          <w:p>
            <w:pPr>
              <w:pStyle w:val="16"/>
            </w:pPr>
            <w:r>
              <w:t>489.78</w:t>
            </w:r>
          </w:p>
        </w:tc>
      </w:tr>
    </w:tbl>
    <w:p>
      <w:pPr>
        <w:sectPr>
          <w:footerReference r:id="rId4" w:type="default"/>
          <w:footerReference r:id="rId5"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2"/>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489.78</w:t>
            </w:r>
          </w:p>
        </w:tc>
        <w:tc>
          <w:tcPr>
            <w:tcW w:w="1134" w:type="dxa"/>
            <w:vAlign w:val="center"/>
          </w:tcPr>
          <w:p>
            <w:pPr>
              <w:pStyle w:val="16"/>
            </w:pPr>
            <w:r>
              <w:t>489.78</w:t>
            </w:r>
          </w:p>
        </w:tc>
        <w:tc>
          <w:tcPr>
            <w:tcW w:w="1134" w:type="dxa"/>
            <w:vAlign w:val="center"/>
          </w:tcPr>
          <w:p>
            <w:pPr>
              <w:pStyle w:val="16"/>
            </w:pPr>
            <w:r>
              <w:t>489.78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2050802</w:t>
            </w:r>
          </w:p>
        </w:tc>
        <w:tc>
          <w:tcPr>
            <w:tcW w:w="1559" w:type="dxa"/>
            <w:vAlign w:val="center"/>
          </w:tcPr>
          <w:p>
            <w:pPr>
              <w:pStyle w:val="13"/>
            </w:pPr>
            <w:r>
              <w:t>干部教育</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r>
              <w:t>353.33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71.03</w:t>
            </w:r>
          </w:p>
        </w:tc>
        <w:tc>
          <w:tcPr>
            <w:tcW w:w="1134" w:type="dxa"/>
            <w:vAlign w:val="center"/>
          </w:tcPr>
          <w:p>
            <w:pPr>
              <w:pStyle w:val="12"/>
            </w:pPr>
            <w:r>
              <w:t>71.03</w:t>
            </w:r>
          </w:p>
        </w:tc>
        <w:tc>
          <w:tcPr>
            <w:tcW w:w="1134" w:type="dxa"/>
            <w:vAlign w:val="center"/>
          </w:tcPr>
          <w:p>
            <w:pPr>
              <w:pStyle w:val="12"/>
            </w:pPr>
            <w:r>
              <w:t>71.03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71.03</w:t>
            </w:r>
          </w:p>
        </w:tc>
        <w:tc>
          <w:tcPr>
            <w:tcW w:w="1134" w:type="dxa"/>
            <w:vAlign w:val="center"/>
          </w:tcPr>
          <w:p>
            <w:pPr>
              <w:pStyle w:val="12"/>
            </w:pPr>
            <w:r>
              <w:t>71.03</w:t>
            </w:r>
          </w:p>
        </w:tc>
        <w:tc>
          <w:tcPr>
            <w:tcW w:w="1134" w:type="dxa"/>
            <w:vAlign w:val="center"/>
          </w:tcPr>
          <w:p>
            <w:pPr>
              <w:pStyle w:val="12"/>
            </w:pPr>
            <w:r>
              <w:t>71.03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32.70</w:t>
            </w:r>
          </w:p>
        </w:tc>
        <w:tc>
          <w:tcPr>
            <w:tcW w:w="1134" w:type="dxa"/>
            <w:vAlign w:val="center"/>
          </w:tcPr>
          <w:p>
            <w:pPr>
              <w:pStyle w:val="12"/>
            </w:pPr>
            <w:r>
              <w:t>32.70</w:t>
            </w:r>
          </w:p>
        </w:tc>
        <w:tc>
          <w:tcPr>
            <w:tcW w:w="1134" w:type="dxa"/>
            <w:vAlign w:val="center"/>
          </w:tcPr>
          <w:p>
            <w:pPr>
              <w:pStyle w:val="12"/>
            </w:pPr>
            <w:r>
              <w:t>32.70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38.33</w:t>
            </w:r>
          </w:p>
        </w:tc>
        <w:tc>
          <w:tcPr>
            <w:tcW w:w="1134" w:type="dxa"/>
            <w:vAlign w:val="center"/>
          </w:tcPr>
          <w:p>
            <w:pPr>
              <w:pStyle w:val="12"/>
            </w:pPr>
            <w:r>
              <w:t>38.33</w:t>
            </w:r>
          </w:p>
        </w:tc>
        <w:tc>
          <w:tcPr>
            <w:tcW w:w="1134" w:type="dxa"/>
            <w:vAlign w:val="center"/>
          </w:tcPr>
          <w:p>
            <w:pPr>
              <w:pStyle w:val="12"/>
            </w:pPr>
            <w:r>
              <w:t>38.33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36.53</w:t>
            </w:r>
          </w:p>
        </w:tc>
        <w:tc>
          <w:tcPr>
            <w:tcW w:w="1134" w:type="dxa"/>
            <w:vAlign w:val="center"/>
          </w:tcPr>
          <w:p>
            <w:pPr>
              <w:pStyle w:val="12"/>
            </w:pPr>
            <w:r>
              <w:t>36.53</w:t>
            </w:r>
          </w:p>
        </w:tc>
        <w:tc>
          <w:tcPr>
            <w:tcW w:w="1134" w:type="dxa"/>
            <w:vAlign w:val="center"/>
          </w:tcPr>
          <w:p>
            <w:pPr>
              <w:pStyle w:val="12"/>
            </w:pPr>
            <w:r>
              <w:t>36.53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36.53</w:t>
            </w:r>
          </w:p>
        </w:tc>
        <w:tc>
          <w:tcPr>
            <w:tcW w:w="1134" w:type="dxa"/>
            <w:vAlign w:val="center"/>
          </w:tcPr>
          <w:p>
            <w:pPr>
              <w:pStyle w:val="12"/>
            </w:pPr>
            <w:r>
              <w:t>36.53</w:t>
            </w:r>
          </w:p>
        </w:tc>
        <w:tc>
          <w:tcPr>
            <w:tcW w:w="1134" w:type="dxa"/>
            <w:vAlign w:val="center"/>
          </w:tcPr>
          <w:p>
            <w:pPr>
              <w:pStyle w:val="12"/>
            </w:pPr>
            <w:r>
              <w:t>36.53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17.37</w:t>
            </w:r>
          </w:p>
        </w:tc>
        <w:tc>
          <w:tcPr>
            <w:tcW w:w="1134" w:type="dxa"/>
            <w:vAlign w:val="center"/>
          </w:tcPr>
          <w:p>
            <w:pPr>
              <w:pStyle w:val="12"/>
            </w:pPr>
            <w:r>
              <w:t>17.37</w:t>
            </w:r>
          </w:p>
        </w:tc>
        <w:tc>
          <w:tcPr>
            <w:tcW w:w="1134" w:type="dxa"/>
            <w:vAlign w:val="center"/>
          </w:tcPr>
          <w:p>
            <w:pPr>
              <w:pStyle w:val="12"/>
            </w:pPr>
            <w:r>
              <w:t>17.37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19.16</w:t>
            </w:r>
          </w:p>
        </w:tc>
        <w:tc>
          <w:tcPr>
            <w:tcW w:w="1134" w:type="dxa"/>
            <w:vAlign w:val="center"/>
          </w:tcPr>
          <w:p>
            <w:pPr>
              <w:pStyle w:val="12"/>
            </w:pPr>
            <w:r>
              <w:t>19.16</w:t>
            </w:r>
          </w:p>
        </w:tc>
        <w:tc>
          <w:tcPr>
            <w:tcW w:w="1134" w:type="dxa"/>
            <w:vAlign w:val="center"/>
          </w:tcPr>
          <w:p>
            <w:pPr>
              <w:pStyle w:val="12"/>
            </w:pPr>
            <w:r>
              <w:t>19.16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3"/>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489.78</w:t>
            </w:r>
          </w:p>
        </w:tc>
        <w:tc>
          <w:tcPr>
            <w:tcW w:w="1361" w:type="dxa"/>
            <w:vAlign w:val="center"/>
          </w:tcPr>
          <w:p>
            <w:pPr>
              <w:pStyle w:val="16"/>
            </w:pPr>
            <w:r>
              <w:t>445.78</w:t>
            </w:r>
          </w:p>
        </w:tc>
        <w:tc>
          <w:tcPr>
            <w:tcW w:w="1361" w:type="dxa"/>
            <w:vAlign w:val="center"/>
          </w:tcPr>
          <w:p>
            <w:pPr>
              <w:pStyle w:val="16"/>
            </w:pPr>
            <w:r>
              <w:t>44.00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353.33</w:t>
            </w:r>
          </w:p>
        </w:tc>
        <w:tc>
          <w:tcPr>
            <w:tcW w:w="1361" w:type="dxa"/>
            <w:vAlign w:val="center"/>
          </w:tcPr>
          <w:p>
            <w:pPr>
              <w:pStyle w:val="12"/>
            </w:pPr>
            <w:r>
              <w:t>309.33</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353.33</w:t>
            </w:r>
          </w:p>
        </w:tc>
        <w:tc>
          <w:tcPr>
            <w:tcW w:w="1361" w:type="dxa"/>
            <w:vAlign w:val="center"/>
          </w:tcPr>
          <w:p>
            <w:pPr>
              <w:pStyle w:val="12"/>
            </w:pPr>
            <w:r>
              <w:t>309.33</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2050802</w:t>
            </w:r>
          </w:p>
        </w:tc>
        <w:tc>
          <w:tcPr>
            <w:tcW w:w="4535" w:type="dxa"/>
            <w:vAlign w:val="center"/>
          </w:tcPr>
          <w:p>
            <w:pPr>
              <w:pStyle w:val="13"/>
            </w:pPr>
            <w:r>
              <w:t>干部教育</w:t>
            </w:r>
          </w:p>
        </w:tc>
        <w:tc>
          <w:tcPr>
            <w:tcW w:w="1361" w:type="dxa"/>
            <w:vAlign w:val="center"/>
          </w:tcPr>
          <w:p>
            <w:pPr>
              <w:pStyle w:val="12"/>
            </w:pPr>
            <w:r>
              <w:t>353.33</w:t>
            </w:r>
          </w:p>
        </w:tc>
        <w:tc>
          <w:tcPr>
            <w:tcW w:w="1361" w:type="dxa"/>
            <w:vAlign w:val="center"/>
          </w:tcPr>
          <w:p>
            <w:pPr>
              <w:pStyle w:val="12"/>
            </w:pPr>
            <w:r>
              <w:t>309.33</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71.03</w:t>
            </w:r>
          </w:p>
        </w:tc>
        <w:tc>
          <w:tcPr>
            <w:tcW w:w="1361" w:type="dxa"/>
            <w:vAlign w:val="center"/>
          </w:tcPr>
          <w:p>
            <w:pPr>
              <w:pStyle w:val="12"/>
            </w:pPr>
            <w:r>
              <w:t>71.03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71.03</w:t>
            </w:r>
          </w:p>
        </w:tc>
        <w:tc>
          <w:tcPr>
            <w:tcW w:w="1361" w:type="dxa"/>
            <w:vAlign w:val="center"/>
          </w:tcPr>
          <w:p>
            <w:pPr>
              <w:pStyle w:val="12"/>
            </w:pPr>
            <w:r>
              <w:t>71.03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32.70</w:t>
            </w:r>
          </w:p>
        </w:tc>
        <w:tc>
          <w:tcPr>
            <w:tcW w:w="1361" w:type="dxa"/>
            <w:vAlign w:val="center"/>
          </w:tcPr>
          <w:p>
            <w:pPr>
              <w:pStyle w:val="12"/>
            </w:pPr>
            <w:r>
              <w:t>32.70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38.33</w:t>
            </w:r>
          </w:p>
        </w:tc>
        <w:tc>
          <w:tcPr>
            <w:tcW w:w="1361" w:type="dxa"/>
            <w:vAlign w:val="center"/>
          </w:tcPr>
          <w:p>
            <w:pPr>
              <w:pStyle w:val="12"/>
            </w:pPr>
            <w:r>
              <w:t>38.33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36.53</w:t>
            </w:r>
          </w:p>
        </w:tc>
        <w:tc>
          <w:tcPr>
            <w:tcW w:w="1361" w:type="dxa"/>
            <w:vAlign w:val="center"/>
          </w:tcPr>
          <w:p>
            <w:pPr>
              <w:pStyle w:val="12"/>
            </w:pPr>
            <w:r>
              <w:t>36.53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36.53</w:t>
            </w:r>
          </w:p>
        </w:tc>
        <w:tc>
          <w:tcPr>
            <w:tcW w:w="1361" w:type="dxa"/>
            <w:vAlign w:val="center"/>
          </w:tcPr>
          <w:p>
            <w:pPr>
              <w:pStyle w:val="12"/>
            </w:pPr>
            <w:r>
              <w:t>36.53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17.37</w:t>
            </w:r>
          </w:p>
        </w:tc>
        <w:tc>
          <w:tcPr>
            <w:tcW w:w="1361" w:type="dxa"/>
            <w:vAlign w:val="center"/>
          </w:tcPr>
          <w:p>
            <w:pPr>
              <w:pStyle w:val="12"/>
            </w:pPr>
            <w:r>
              <w:t>17.37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19.16</w:t>
            </w:r>
          </w:p>
        </w:tc>
        <w:tc>
          <w:tcPr>
            <w:tcW w:w="1361" w:type="dxa"/>
            <w:vAlign w:val="center"/>
          </w:tcPr>
          <w:p>
            <w:pPr>
              <w:pStyle w:val="12"/>
            </w:pPr>
            <w:r>
              <w:t>19.16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4"/>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489.78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353.33</w:t>
            </w:r>
          </w:p>
        </w:tc>
        <w:tc>
          <w:tcPr>
            <w:tcW w:w="1474" w:type="dxa"/>
            <w:vAlign w:val="center"/>
          </w:tcPr>
          <w:p>
            <w:pPr>
              <w:pStyle w:val="12"/>
            </w:pPr>
            <w:r>
              <w:t>353.33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71.03</w:t>
            </w:r>
          </w:p>
        </w:tc>
        <w:tc>
          <w:tcPr>
            <w:tcW w:w="1474" w:type="dxa"/>
            <w:vAlign w:val="center"/>
          </w:tcPr>
          <w:p>
            <w:pPr>
              <w:pStyle w:val="12"/>
            </w:pPr>
            <w:r>
              <w:t>71.03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36.53</w:t>
            </w:r>
          </w:p>
        </w:tc>
        <w:tc>
          <w:tcPr>
            <w:tcW w:w="1474" w:type="dxa"/>
            <w:vAlign w:val="center"/>
          </w:tcPr>
          <w:p>
            <w:pPr>
              <w:pStyle w:val="12"/>
            </w:pPr>
            <w:r>
              <w:t>36.53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28.89</w:t>
            </w:r>
          </w:p>
        </w:tc>
        <w:tc>
          <w:tcPr>
            <w:tcW w:w="1474" w:type="dxa"/>
            <w:vAlign w:val="center"/>
          </w:tcPr>
          <w:p>
            <w:pPr>
              <w:pStyle w:val="12"/>
            </w:pPr>
            <w:r>
              <w:t>28.89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489.78</w:t>
            </w:r>
          </w:p>
        </w:tc>
        <w:tc>
          <w:tcPr>
            <w:tcW w:w="3402" w:type="dxa"/>
            <w:vAlign w:val="center"/>
          </w:tcPr>
          <w:p>
            <w:pPr>
              <w:pStyle w:val="15"/>
            </w:pPr>
            <w:r>
              <w:t>本年支出合计</w:t>
            </w:r>
          </w:p>
        </w:tc>
        <w:tc>
          <w:tcPr>
            <w:tcW w:w="1474" w:type="dxa"/>
            <w:vAlign w:val="center"/>
          </w:tcPr>
          <w:p>
            <w:pPr>
              <w:pStyle w:val="16"/>
            </w:pPr>
            <w:r>
              <w:t>489.78</w:t>
            </w:r>
          </w:p>
        </w:tc>
        <w:tc>
          <w:tcPr>
            <w:tcW w:w="1474" w:type="dxa"/>
            <w:vAlign w:val="center"/>
          </w:tcPr>
          <w:p>
            <w:pPr>
              <w:pStyle w:val="16"/>
            </w:pPr>
            <w:r>
              <w:t>489.78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489.78</w:t>
            </w:r>
          </w:p>
        </w:tc>
        <w:tc>
          <w:tcPr>
            <w:tcW w:w="3402" w:type="dxa"/>
            <w:vAlign w:val="center"/>
          </w:tcPr>
          <w:p>
            <w:pPr>
              <w:pStyle w:val="15"/>
            </w:pPr>
            <w:r>
              <w:t>支出总计</w:t>
            </w:r>
          </w:p>
        </w:tc>
        <w:tc>
          <w:tcPr>
            <w:tcW w:w="1474" w:type="dxa"/>
            <w:vAlign w:val="center"/>
          </w:tcPr>
          <w:p>
            <w:pPr>
              <w:pStyle w:val="16"/>
            </w:pPr>
            <w:r>
              <w:t>489.78</w:t>
            </w:r>
          </w:p>
        </w:tc>
        <w:tc>
          <w:tcPr>
            <w:tcW w:w="1474" w:type="dxa"/>
            <w:vAlign w:val="center"/>
          </w:tcPr>
          <w:p>
            <w:pPr>
              <w:pStyle w:val="16"/>
            </w:pPr>
            <w:r>
              <w:t>489.78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5"/>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489.78</w:t>
            </w:r>
          </w:p>
        </w:tc>
        <w:tc>
          <w:tcPr>
            <w:tcW w:w="2551" w:type="dxa"/>
            <w:vAlign w:val="center"/>
          </w:tcPr>
          <w:p>
            <w:pPr>
              <w:pStyle w:val="16"/>
            </w:pPr>
            <w:r>
              <w:t>445.78</w:t>
            </w:r>
          </w:p>
        </w:tc>
        <w:tc>
          <w:tcPr>
            <w:tcW w:w="2551" w:type="dxa"/>
            <w:vAlign w:val="center"/>
          </w:tcPr>
          <w:p>
            <w:pPr>
              <w:pStyle w:val="16"/>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353.33</w:t>
            </w:r>
          </w:p>
        </w:tc>
        <w:tc>
          <w:tcPr>
            <w:tcW w:w="2551" w:type="dxa"/>
            <w:vAlign w:val="center"/>
          </w:tcPr>
          <w:p>
            <w:pPr>
              <w:pStyle w:val="12"/>
            </w:pPr>
            <w:r>
              <w:t>309.33</w:t>
            </w:r>
          </w:p>
        </w:tc>
        <w:tc>
          <w:tcPr>
            <w:tcW w:w="2551" w:type="dxa"/>
            <w:vAlign w:val="center"/>
          </w:tcPr>
          <w:p>
            <w:pPr>
              <w:pStyle w:val="12"/>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353.33</w:t>
            </w:r>
          </w:p>
        </w:tc>
        <w:tc>
          <w:tcPr>
            <w:tcW w:w="2551" w:type="dxa"/>
            <w:vAlign w:val="center"/>
          </w:tcPr>
          <w:p>
            <w:pPr>
              <w:pStyle w:val="12"/>
            </w:pPr>
            <w:r>
              <w:t>309.33</w:t>
            </w:r>
          </w:p>
        </w:tc>
        <w:tc>
          <w:tcPr>
            <w:tcW w:w="2551" w:type="dxa"/>
            <w:vAlign w:val="center"/>
          </w:tcPr>
          <w:p>
            <w:pPr>
              <w:pStyle w:val="12"/>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2050802</w:t>
            </w:r>
          </w:p>
        </w:tc>
        <w:tc>
          <w:tcPr>
            <w:tcW w:w="4535" w:type="dxa"/>
            <w:vAlign w:val="center"/>
          </w:tcPr>
          <w:p>
            <w:pPr>
              <w:pStyle w:val="13"/>
            </w:pPr>
            <w:r>
              <w:t>干部教育</w:t>
            </w:r>
          </w:p>
        </w:tc>
        <w:tc>
          <w:tcPr>
            <w:tcW w:w="2551" w:type="dxa"/>
            <w:vAlign w:val="center"/>
          </w:tcPr>
          <w:p>
            <w:pPr>
              <w:pStyle w:val="12"/>
            </w:pPr>
            <w:r>
              <w:t>353.33</w:t>
            </w:r>
          </w:p>
        </w:tc>
        <w:tc>
          <w:tcPr>
            <w:tcW w:w="2551" w:type="dxa"/>
            <w:vAlign w:val="center"/>
          </w:tcPr>
          <w:p>
            <w:pPr>
              <w:pStyle w:val="12"/>
            </w:pPr>
            <w:r>
              <w:t>309.33</w:t>
            </w:r>
          </w:p>
        </w:tc>
        <w:tc>
          <w:tcPr>
            <w:tcW w:w="2551" w:type="dxa"/>
            <w:vAlign w:val="center"/>
          </w:tcPr>
          <w:p>
            <w:pPr>
              <w:pStyle w:val="12"/>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71.03</w:t>
            </w:r>
          </w:p>
        </w:tc>
        <w:tc>
          <w:tcPr>
            <w:tcW w:w="2551" w:type="dxa"/>
            <w:vAlign w:val="center"/>
          </w:tcPr>
          <w:p>
            <w:pPr>
              <w:pStyle w:val="12"/>
            </w:pPr>
            <w:r>
              <w:t>71.03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71.03</w:t>
            </w:r>
          </w:p>
        </w:tc>
        <w:tc>
          <w:tcPr>
            <w:tcW w:w="2551" w:type="dxa"/>
            <w:vAlign w:val="center"/>
          </w:tcPr>
          <w:p>
            <w:pPr>
              <w:pStyle w:val="12"/>
            </w:pPr>
            <w:r>
              <w:t>71.03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32.70</w:t>
            </w:r>
          </w:p>
        </w:tc>
        <w:tc>
          <w:tcPr>
            <w:tcW w:w="2551" w:type="dxa"/>
            <w:vAlign w:val="center"/>
          </w:tcPr>
          <w:p>
            <w:pPr>
              <w:pStyle w:val="12"/>
            </w:pPr>
            <w:r>
              <w:t>32.70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38.33</w:t>
            </w:r>
          </w:p>
        </w:tc>
        <w:tc>
          <w:tcPr>
            <w:tcW w:w="2551" w:type="dxa"/>
            <w:vAlign w:val="center"/>
          </w:tcPr>
          <w:p>
            <w:pPr>
              <w:pStyle w:val="12"/>
            </w:pPr>
            <w:r>
              <w:t>38.33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36.53</w:t>
            </w:r>
          </w:p>
        </w:tc>
        <w:tc>
          <w:tcPr>
            <w:tcW w:w="2551" w:type="dxa"/>
            <w:vAlign w:val="center"/>
          </w:tcPr>
          <w:p>
            <w:pPr>
              <w:pStyle w:val="12"/>
            </w:pPr>
            <w:r>
              <w:t>36.53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36.53</w:t>
            </w:r>
          </w:p>
        </w:tc>
        <w:tc>
          <w:tcPr>
            <w:tcW w:w="2551" w:type="dxa"/>
            <w:vAlign w:val="center"/>
          </w:tcPr>
          <w:p>
            <w:pPr>
              <w:pStyle w:val="12"/>
            </w:pPr>
            <w:r>
              <w:t>36.53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17.37</w:t>
            </w:r>
          </w:p>
        </w:tc>
        <w:tc>
          <w:tcPr>
            <w:tcW w:w="2551" w:type="dxa"/>
            <w:vAlign w:val="center"/>
          </w:tcPr>
          <w:p>
            <w:pPr>
              <w:pStyle w:val="12"/>
            </w:pPr>
            <w:r>
              <w:t>17.37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19.16</w:t>
            </w:r>
          </w:p>
        </w:tc>
        <w:tc>
          <w:tcPr>
            <w:tcW w:w="2551" w:type="dxa"/>
            <w:vAlign w:val="center"/>
          </w:tcPr>
          <w:p>
            <w:pPr>
              <w:pStyle w:val="12"/>
            </w:pPr>
            <w:r>
              <w:t>19.16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6"/>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445.78</w:t>
            </w:r>
          </w:p>
        </w:tc>
        <w:tc>
          <w:tcPr>
            <w:tcW w:w="2551" w:type="dxa"/>
            <w:vAlign w:val="center"/>
          </w:tcPr>
          <w:p>
            <w:pPr>
              <w:pStyle w:val="16"/>
            </w:pPr>
            <w:r>
              <w:t>395.54</w:t>
            </w:r>
          </w:p>
        </w:tc>
        <w:tc>
          <w:tcPr>
            <w:tcW w:w="2551" w:type="dxa"/>
            <w:vAlign w:val="center"/>
          </w:tcPr>
          <w:p>
            <w:pPr>
              <w:pStyle w:val="16"/>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361.78</w:t>
            </w:r>
          </w:p>
        </w:tc>
        <w:tc>
          <w:tcPr>
            <w:tcW w:w="2551" w:type="dxa"/>
            <w:vAlign w:val="center"/>
          </w:tcPr>
          <w:p>
            <w:pPr>
              <w:pStyle w:val="12"/>
            </w:pPr>
            <w:r>
              <w:t>361.78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127.28</w:t>
            </w:r>
          </w:p>
        </w:tc>
        <w:tc>
          <w:tcPr>
            <w:tcW w:w="2551" w:type="dxa"/>
            <w:vAlign w:val="center"/>
          </w:tcPr>
          <w:p>
            <w:pPr>
              <w:pStyle w:val="12"/>
            </w:pPr>
            <w:r>
              <w:t>127.28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52.41</w:t>
            </w:r>
          </w:p>
        </w:tc>
        <w:tc>
          <w:tcPr>
            <w:tcW w:w="2551" w:type="dxa"/>
            <w:vAlign w:val="center"/>
          </w:tcPr>
          <w:p>
            <w:pPr>
              <w:pStyle w:val="12"/>
            </w:pPr>
            <w:r>
              <w:t>52.41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2.82</w:t>
            </w:r>
          </w:p>
        </w:tc>
        <w:tc>
          <w:tcPr>
            <w:tcW w:w="2551" w:type="dxa"/>
            <w:vAlign w:val="center"/>
          </w:tcPr>
          <w:p>
            <w:pPr>
              <w:pStyle w:val="12"/>
            </w:pPr>
            <w:r>
              <w:t>2.82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72.15</w:t>
            </w:r>
          </w:p>
        </w:tc>
        <w:tc>
          <w:tcPr>
            <w:tcW w:w="2551" w:type="dxa"/>
            <w:vAlign w:val="center"/>
          </w:tcPr>
          <w:p>
            <w:pPr>
              <w:pStyle w:val="12"/>
            </w:pPr>
            <w:r>
              <w:t>72.15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38.33</w:t>
            </w:r>
          </w:p>
        </w:tc>
        <w:tc>
          <w:tcPr>
            <w:tcW w:w="2551" w:type="dxa"/>
            <w:vAlign w:val="center"/>
          </w:tcPr>
          <w:p>
            <w:pPr>
              <w:pStyle w:val="12"/>
            </w:pPr>
            <w:r>
              <w:t>38.33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17.37</w:t>
            </w:r>
          </w:p>
        </w:tc>
        <w:tc>
          <w:tcPr>
            <w:tcW w:w="2551" w:type="dxa"/>
            <w:vAlign w:val="center"/>
          </w:tcPr>
          <w:p>
            <w:pPr>
              <w:pStyle w:val="12"/>
            </w:pPr>
            <w:r>
              <w:t>17.37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19.16</w:t>
            </w:r>
          </w:p>
        </w:tc>
        <w:tc>
          <w:tcPr>
            <w:tcW w:w="2551" w:type="dxa"/>
            <w:vAlign w:val="center"/>
          </w:tcPr>
          <w:p>
            <w:pPr>
              <w:pStyle w:val="12"/>
            </w:pPr>
            <w:r>
              <w:t>19.16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3.37</w:t>
            </w:r>
          </w:p>
        </w:tc>
        <w:tc>
          <w:tcPr>
            <w:tcW w:w="2551" w:type="dxa"/>
            <w:vAlign w:val="center"/>
          </w:tcPr>
          <w:p>
            <w:pPr>
              <w:pStyle w:val="12"/>
            </w:pPr>
            <w:r>
              <w:t>3.37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50.24</w:t>
            </w:r>
          </w:p>
        </w:tc>
        <w:tc>
          <w:tcPr>
            <w:tcW w:w="2551" w:type="dxa"/>
            <w:vAlign w:val="center"/>
          </w:tcPr>
          <w:p>
            <w:pPr>
              <w:pStyle w:val="12"/>
            </w:pPr>
          </w:p>
        </w:tc>
        <w:tc>
          <w:tcPr>
            <w:tcW w:w="2551" w:type="dxa"/>
            <w:vAlign w:val="center"/>
          </w:tcPr>
          <w:p>
            <w:pPr>
              <w:pStyle w:val="12"/>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4.28</w:t>
            </w:r>
          </w:p>
        </w:tc>
        <w:tc>
          <w:tcPr>
            <w:tcW w:w="2551" w:type="dxa"/>
            <w:vAlign w:val="center"/>
          </w:tcPr>
          <w:p>
            <w:pPr>
              <w:pStyle w:val="12"/>
            </w:pPr>
          </w:p>
        </w:tc>
        <w:tc>
          <w:tcPr>
            <w:tcW w:w="2551" w:type="dxa"/>
            <w:vAlign w:val="center"/>
          </w:tcPr>
          <w:p>
            <w:pPr>
              <w:pStyle w:val="12"/>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2.28</w:t>
            </w:r>
          </w:p>
        </w:tc>
        <w:tc>
          <w:tcPr>
            <w:tcW w:w="2551" w:type="dxa"/>
            <w:vAlign w:val="center"/>
          </w:tcPr>
          <w:p>
            <w:pPr>
              <w:pStyle w:val="12"/>
            </w:pPr>
          </w:p>
        </w:tc>
        <w:tc>
          <w:tcPr>
            <w:tcW w:w="2551" w:type="dxa"/>
            <w:vAlign w:val="center"/>
          </w:tcPr>
          <w:p>
            <w:pPr>
              <w:pStyle w:val="12"/>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4.90</w:t>
            </w:r>
          </w:p>
        </w:tc>
        <w:tc>
          <w:tcPr>
            <w:tcW w:w="2551" w:type="dxa"/>
            <w:vAlign w:val="center"/>
          </w:tcPr>
          <w:p>
            <w:pPr>
              <w:pStyle w:val="12"/>
            </w:pPr>
          </w:p>
        </w:tc>
        <w:tc>
          <w:tcPr>
            <w:tcW w:w="2551" w:type="dxa"/>
            <w:vAlign w:val="center"/>
          </w:tcPr>
          <w:p>
            <w:pPr>
              <w:pStyle w:val="12"/>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3.29</w:t>
            </w:r>
          </w:p>
        </w:tc>
        <w:tc>
          <w:tcPr>
            <w:tcW w:w="2551" w:type="dxa"/>
            <w:vAlign w:val="center"/>
          </w:tcPr>
          <w:p>
            <w:pPr>
              <w:pStyle w:val="12"/>
            </w:pPr>
          </w:p>
        </w:tc>
        <w:tc>
          <w:tcPr>
            <w:tcW w:w="2551" w:type="dxa"/>
            <w:vAlign w:val="center"/>
          </w:tcPr>
          <w:p>
            <w:pPr>
              <w:pStyle w:val="12"/>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1.89</w:t>
            </w:r>
          </w:p>
        </w:tc>
        <w:tc>
          <w:tcPr>
            <w:tcW w:w="2551" w:type="dxa"/>
            <w:vAlign w:val="center"/>
          </w:tcPr>
          <w:p>
            <w:pPr>
              <w:pStyle w:val="12"/>
            </w:pPr>
          </w:p>
        </w:tc>
        <w:tc>
          <w:tcPr>
            <w:tcW w:w="2551" w:type="dxa"/>
            <w:vAlign w:val="center"/>
          </w:tcPr>
          <w:p>
            <w:pPr>
              <w:pStyle w:val="12"/>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33.76</w:t>
            </w:r>
          </w:p>
        </w:tc>
        <w:tc>
          <w:tcPr>
            <w:tcW w:w="2551" w:type="dxa"/>
            <w:vAlign w:val="center"/>
          </w:tcPr>
          <w:p>
            <w:pPr>
              <w:pStyle w:val="12"/>
            </w:pPr>
            <w:r>
              <w:t>33.76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32.70</w:t>
            </w:r>
          </w:p>
        </w:tc>
        <w:tc>
          <w:tcPr>
            <w:tcW w:w="2551" w:type="dxa"/>
            <w:vAlign w:val="center"/>
          </w:tcPr>
          <w:p>
            <w:pPr>
              <w:pStyle w:val="12"/>
            </w:pPr>
            <w:r>
              <w:t>32.70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1.02</w:t>
            </w:r>
          </w:p>
        </w:tc>
        <w:tc>
          <w:tcPr>
            <w:tcW w:w="2551" w:type="dxa"/>
            <w:vAlign w:val="center"/>
          </w:tcPr>
          <w:p>
            <w:pPr>
              <w:pStyle w:val="12"/>
            </w:pPr>
            <w:r>
              <w:t>1.02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7" w:name="_Toc_2_2_0000000007"/>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政府基金预算财政拨款支出表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eastAsia="方正小标宋_GBK" w:cs="方正小标宋_GBK"/>
          <w:color w:val="000000"/>
          <w:sz w:val="36"/>
          <w:lang w:eastAsia="zh-CN"/>
        </w:rPr>
        <w:t>单位预算</w:t>
      </w:r>
      <w:r>
        <w:rPr>
          <w:rFonts w:ascii="方正小标宋_GBK" w:eastAsia="方正小标宋_GBK" w:cs="方正小标宋_GBK"/>
          <w:color w:val="000000"/>
          <w:sz w:val="36"/>
        </w:rPr>
        <w:t>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9.40</w:t>
            </w:r>
          </w:p>
        </w:tc>
        <w:tc>
          <w:tcPr>
            <w:tcW w:w="2381" w:type="dxa"/>
            <w:vAlign w:val="center"/>
          </w:tcPr>
          <w:p>
            <w:pPr>
              <w:pStyle w:val="16"/>
            </w:pPr>
            <w:r>
              <w:t>9.40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3.00</w:t>
            </w:r>
          </w:p>
        </w:tc>
        <w:tc>
          <w:tcPr>
            <w:tcW w:w="2381" w:type="dxa"/>
            <w:vAlign w:val="center"/>
          </w:tcPr>
          <w:p>
            <w:pPr>
              <w:pStyle w:val="12"/>
            </w:pPr>
            <w:r>
              <w:t>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其中：教学科研人员因公出国（境）</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t>6.40</w:t>
            </w:r>
          </w:p>
        </w:tc>
        <w:tc>
          <w:tcPr>
            <w:tcW w:w="2381" w:type="dxa"/>
            <w:vAlign w:val="center"/>
          </w:tcPr>
          <w:p>
            <w:pPr>
              <w:pStyle w:val="12"/>
            </w:pPr>
            <w:r>
              <w:t>6.40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中国共产党唐山市丰南区委员会党校2022年</w:t>
      </w:r>
      <w:r>
        <w:rPr>
          <w:rFonts w:hint="eastAsia" w:ascii="方正书宋_GBK" w:eastAsia="方正书宋_GBK" w:cs="方正书宋_GBK"/>
          <w:color w:val="FFFFFF"/>
          <w:sz w:val="21"/>
          <w:lang w:eastAsia="zh-CN"/>
        </w:rPr>
        <w:t>单位预算</w:t>
      </w:r>
      <w:r>
        <w:rPr>
          <w:rFonts w:ascii="方正书宋_GBK" w:eastAsia="方正书宋_GBK" w:cs="方正书宋_GBK"/>
          <w:color w:val="FFFFFF"/>
          <w:sz w:val="21"/>
        </w:rPr>
        <w:t>信息公开情况说明</w:t>
      </w:r>
    </w:p>
    <w:p>
      <w:pPr>
        <w:spacing w:before="0" w:after="0" w:line="240" w:lineRule="auto"/>
        <w:ind w:firstLine="0"/>
        <w:jc w:val="center"/>
        <w:outlineLvl w:val="9"/>
      </w:pPr>
      <w:r>
        <w:rPr>
          <w:rFonts w:ascii="方正小标宋_GBK" w:eastAsia="方正小标宋_GBK" w:cs="方正小标宋_GBK"/>
          <w:color w:val="000000"/>
          <w:sz w:val="44"/>
        </w:rPr>
        <w:t>中国共产党唐山市丰南区委员会党校</w:t>
      </w:r>
      <w:r>
        <w:rPr>
          <w:rFonts w:hint="eastAsia" w:ascii="方正小标宋_GBK" w:eastAsia="方正小标宋_GBK"/>
          <w:color w:val="000000" w:themeColor="text1"/>
          <w:sz w:val="44"/>
        </w:rPr>
        <w:t>2022年单位预算信息公开情况说明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按照《预算法》、《地方预决算公开操作规程》和《关于进一步推进预算公开工作的实施意见》规定，现将中国共产党唐山市丰南区委员会党校2022年</w:t>
      </w:r>
      <w:r>
        <w:rPr>
          <w:rFonts w:hint="eastAsia" w:eastAsia="方正仿宋_GBK" w:cs="Times New Roman"/>
          <w:color w:val="000000"/>
          <w:sz w:val="28"/>
          <w:lang w:eastAsia="zh-CN"/>
        </w:rPr>
        <w:t>单位预算</w:t>
      </w:r>
      <w:r>
        <w:rPr>
          <w:rFonts w:ascii="Times New Roman" w:hAnsi="Times New Roman" w:eastAsia="方正仿宋_GBK" w:cs="Times New Roman"/>
          <w:color w:val="000000"/>
          <w:sz w:val="28"/>
        </w:rPr>
        <w:t>公开如下：</w:t>
      </w:r>
    </w:p>
    <w:p>
      <w:pPr>
        <w:spacing w:before="10" w:after="10" w:line="360" w:lineRule="auto"/>
        <w:ind w:firstLine="640"/>
        <w:jc w:val="left"/>
        <w:outlineLvl w:val="2"/>
      </w:pPr>
      <w:bookmarkStart w:id="10" w:name="_Toc_3_3_0000000010"/>
      <w:r>
        <w:rPr>
          <w:rFonts w:ascii="黑体" w:eastAsia="黑体" w:cs="黑体"/>
          <w:color w:val="000000"/>
          <w:sz w:val="32"/>
        </w:rPr>
        <w:t>一、</w:t>
      </w:r>
      <w:r>
        <w:rPr>
          <w:rFonts w:hint="eastAsia" w:ascii="黑体" w:eastAsia="黑体" w:cs="黑体"/>
          <w:color w:val="000000"/>
          <w:sz w:val="32"/>
          <w:lang w:val="en-US" w:eastAsia="zh-CN"/>
        </w:rPr>
        <w:t>单位</w:t>
      </w:r>
      <w:r>
        <w:rPr>
          <w:rFonts w:asci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eastAsia="方正楷体_GBK" w:cs="方正楷体_GBK"/>
          <w:b/>
          <w:color w:val="000000"/>
          <w:sz w:val="32"/>
          <w:lang w:val="en-US" w:eastAsia="zh-CN"/>
        </w:rPr>
        <w:t>单位</w:t>
      </w:r>
      <w:r>
        <w:rPr>
          <w:rFonts w:ascii="方正楷体_GBK" w:eastAsia="方正楷体_GBK" w:cs="方正楷体_GBK"/>
          <w:b/>
          <w:color w:val="000000"/>
          <w:sz w:val="32"/>
        </w:rPr>
        <w:t>职责：</w:t>
      </w:r>
    </w:p>
    <w:p>
      <w:pPr>
        <w:pStyle w:val="18"/>
      </w:pPr>
      <w:r>
        <w:t>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eastAsia="方正小标宋_GBK" w:cs="方正小标宋_GBK"/>
          <w:color w:val="000000"/>
          <w:sz w:val="32"/>
          <w:lang w:val="en-US" w:eastAsia="zh-CN"/>
        </w:rPr>
        <w:t>单位</w:t>
      </w:r>
      <w:r>
        <w:rPr>
          <w:rFonts w:asci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中国共产党唐山市丰南区委员会党校本级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1" w:name="_Toc_3_3_0000000011"/>
      <w:r>
        <w:rPr>
          <w:rFonts w:ascii="黑体" w:eastAsia="黑体" w:cs="黑体"/>
          <w:color w:val="000000"/>
          <w:sz w:val="32"/>
        </w:rPr>
        <w:t>二、</w:t>
      </w:r>
      <w:r>
        <w:rPr>
          <w:rFonts w:hint="eastAsia" w:ascii="黑体" w:eastAsia="黑体" w:cs="黑体"/>
          <w:color w:val="000000"/>
          <w:sz w:val="32"/>
          <w:lang w:eastAsia="zh-CN"/>
        </w:rPr>
        <w:t>单位预算</w:t>
      </w:r>
      <w:r>
        <w:rPr>
          <w:rFonts w:ascii="黑体" w:eastAsia="黑体" w:cs="黑体"/>
          <w:color w:val="000000"/>
          <w:sz w:val="32"/>
        </w:rPr>
        <w:t>安排的总体情况</w:t>
      </w:r>
      <w:bookmarkEnd w:id="11"/>
    </w:p>
    <w:p>
      <w:pPr>
        <w:pStyle w:val="19"/>
      </w:pPr>
      <w:r>
        <w:t>1、收入预算说明</w:t>
      </w:r>
    </w:p>
    <w:p>
      <w:pPr>
        <w:pStyle w:val="19"/>
      </w:pPr>
      <w:r>
        <w:t>2022年</w:t>
      </w:r>
      <w:r>
        <w:rPr>
          <w:rFonts w:hint="eastAsia"/>
          <w:lang w:val="en-US" w:eastAsia="zh-CN"/>
        </w:rPr>
        <w:t>单位</w:t>
      </w:r>
      <w:r>
        <w:t>收入预算489.77万元，其中：一般公共预算拨款489.77万元，政府性基金预算拨款0万元，国有资本经营预算拨款0万元，财政专户核拨0万元，其它来源收入0万元。</w:t>
      </w:r>
    </w:p>
    <w:p>
      <w:pPr>
        <w:pStyle w:val="19"/>
      </w:pPr>
      <w:r>
        <w:t xml:space="preserve">2、支出预算说明 </w:t>
      </w:r>
    </w:p>
    <w:p>
      <w:pPr>
        <w:pStyle w:val="19"/>
      </w:pPr>
      <w:r>
        <w:t>2022年支出预算489.77万元，其中：人员经费支出395.53万元，日常公用经费支出50.24万元；项目支出44万元，主要用于师资与教学项目建设、教学事物管理等专项业务活动。</w:t>
      </w:r>
    </w:p>
    <w:p>
      <w:pPr>
        <w:pStyle w:val="19"/>
      </w:pPr>
      <w:r>
        <w:t>3、</w:t>
      </w:r>
      <w:r>
        <w:rPr>
          <w:rFonts w:hint="eastAsia"/>
          <w:lang w:eastAsia="zh-CN"/>
        </w:rPr>
        <w:t>单位预算</w:t>
      </w:r>
      <w:r>
        <w:t>较上年增减情况</w:t>
      </w:r>
    </w:p>
    <w:p>
      <w:pPr>
        <w:pStyle w:val="19"/>
      </w:pPr>
      <w:r>
        <w:t>2022年收入预算较2021年减少3.17万元，主要是项目经费减少。</w:t>
      </w:r>
    </w:p>
    <w:p>
      <w:pPr>
        <w:pStyle w:val="19"/>
      </w:pPr>
      <w:r>
        <w:t>2022年支出预算较2021年减少3.17万元，其中：基本支出增长8.23万元，主要是人员经费增加；项目支出减少11.4万元，主要是项目经费减少。</w:t>
      </w:r>
    </w:p>
    <w:p>
      <w:pPr>
        <w:pStyle w:val="19"/>
        <w:rPr>
          <w:b/>
          <w:bCs/>
        </w:rPr>
      </w:pPr>
      <w:r>
        <w:rPr>
          <w:b/>
          <w:bCs/>
        </w:rPr>
        <w:t>三、机关运行经费安排情况</w:t>
      </w:r>
    </w:p>
    <w:p>
      <w:pPr>
        <w:pStyle w:val="19"/>
      </w:pPr>
      <w:r>
        <w:t>2022年机关运行经费50.24万元，包括办公费4.28万元、水费0.8万元、邮电费0.2万元、维修（护）费2.28万元、公务用车运行维护费2.5万元、办公用房取暖费13.7万元、工会费4.9万元（含区工会1.96万元）、福利费3.29万元、移动通讯补贴4万元、交通补贴11万元、离退休福利费1.69万元、公务接待费0.5万元、租赁费0.9万元、离退休干部报刊费0.2万元。</w:t>
      </w:r>
    </w:p>
    <w:p>
      <w:pPr>
        <w:pStyle w:val="19"/>
        <w:rPr>
          <w:b/>
          <w:bCs/>
        </w:rPr>
      </w:pPr>
      <w:r>
        <w:rPr>
          <w:b/>
          <w:bCs/>
        </w:rPr>
        <w:t>四、财政拨款“三公”经费预算情况及增减变化原因</w:t>
      </w:r>
    </w:p>
    <w:p>
      <w:pPr>
        <w:pStyle w:val="19"/>
      </w:pPr>
      <w:r>
        <w:t>2022年，财政拨款“三公”经费预算安排3万元，比2021年无变化。其中：①因公出国（境）费0万元，比2021年增加0万元，无增减变化；②公务用车购置及运行费2.5万元，其中：公务用车购置费为0万元，比2021年增加0万元，无增减变化；公务用车运行费2.5万元，比2021年增加0万元，无增减变化；③公务接待费0.5万元，比2021年增加0万元，无增减变化。</w:t>
      </w:r>
    </w:p>
    <w:p>
      <w:pPr>
        <w:spacing w:before="10" w:after="10" w:line="360" w:lineRule="auto"/>
        <w:ind w:firstLine="640"/>
        <w:jc w:val="left"/>
        <w:outlineLvl w:val="2"/>
      </w:pPr>
      <w:bookmarkStart w:id="12" w:name="_Toc_3_3_0000000014"/>
      <w:r>
        <w:rPr>
          <w:rFonts w:ascii="黑体" w:eastAsia="黑体" w:cs="黑体"/>
          <w:color w:val="000000"/>
          <w:sz w:val="32"/>
        </w:rPr>
        <w:t>五、预算绩效信息</w:t>
      </w:r>
      <w:bookmarkEnd w:id="12"/>
    </w:p>
    <w:p>
      <w:pPr>
        <w:spacing w:before="0" w:after="0" w:line="240" w:lineRule="auto"/>
        <w:ind w:firstLine="640"/>
        <w:jc w:val="left"/>
        <w:outlineLvl w:val="9"/>
      </w:pPr>
      <w:r>
        <w:rPr>
          <w:rFonts w:ascii="方正楷体_GBK" w:eastAsia="方正楷体_GBK" w:cs="方正楷体_GBK"/>
          <w:b/>
          <w:color w:val="000000"/>
          <w:sz w:val="32"/>
        </w:rPr>
        <w:t xml:space="preserve">第一部分 </w:t>
      </w:r>
      <w:r>
        <w:rPr>
          <w:rFonts w:hint="eastAsia" w:ascii="方正楷体_GBK" w:eastAsia="方正楷体_GBK" w:cs="方正楷体_GBK"/>
          <w:b/>
          <w:color w:val="000000"/>
          <w:sz w:val="32"/>
          <w:lang w:val="en-US" w:eastAsia="zh-CN"/>
        </w:rPr>
        <w:t>单位</w:t>
      </w:r>
      <w:r>
        <w:rPr>
          <w:rFonts w:asci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（一）按照实事求是、与时俱进、艰苦奋斗、执政为民的要求，培养忠诚于新时代中国特色社会主义事业、德才兼备的党员领导干部和理论干部，有效提高干部的政策理论水平、思想觉悟和执政能力。</w:t>
      </w:r>
    </w:p>
    <w:p>
      <w:pPr>
        <w:pStyle w:val="23"/>
      </w:pPr>
      <w:r>
        <w:t>绩效目标：通过重点培育和建设，形成有党校特色的优势学科。</w:t>
      </w:r>
    </w:p>
    <w:p>
      <w:pPr>
        <w:pStyle w:val="23"/>
      </w:pPr>
      <w:r>
        <w:t>绩效指标：培育和建设的具有党校教育特色的优势学科门数大于等于3门</w:t>
      </w:r>
    </w:p>
    <w:p>
      <w:pPr>
        <w:pStyle w:val="23"/>
      </w:pPr>
      <w:r>
        <w:t>（二）围绕党的中心任务、重大战略部署及相关重大现实理论问题开展调查研究，有效推进理论创新，拿出一批有质量的成果为领导决策服务；通过对党的路线方针政策的宣传和重大理论问题的分析解读，使党员领导干部和群众掌握马克思主义的立场、观点、方法，坚定理想信念，始终和党中央保持一致。</w:t>
      </w:r>
    </w:p>
    <w:p>
      <w:pPr>
        <w:pStyle w:val="23"/>
      </w:pPr>
      <w:r>
        <w:t>绩效目标：积极组织教师参加省、市级以上的理论研讨会，推动教研人员的科研交流和理论探索，产出高质量的理论成果。</w:t>
      </w:r>
    </w:p>
    <w:p>
      <w:pPr>
        <w:pStyle w:val="23"/>
      </w:pPr>
      <w:r>
        <w:t>绩效指标：全年科研课题立项数目大于等于3个。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（一）完善制度建设。制定完善预算绩效管理制度、资金管理办法、工作保障制度，为全年预算绩效目标的实现奠定制度基础。；</w:t>
      </w:r>
    </w:p>
    <w:p>
      <w:pPr>
        <w:pStyle w:val="24"/>
      </w:pPr>
      <w:r>
        <w:t>（二）加强支出管理。优化支出结构、编细编实预算、加快履行政府采购手续、尽快启动项目、及时支付资金，确保支出进度达标；</w:t>
      </w:r>
    </w:p>
    <w:p>
      <w:pPr>
        <w:pStyle w:val="24"/>
      </w:pPr>
      <w:r>
        <w:t>（三）加强绩效运行监控。按要求开展绩效运行监控，发现问题及时采取措施，确保绩效目标如期保质实现；</w:t>
      </w:r>
    </w:p>
    <w:p>
      <w:pPr>
        <w:pStyle w:val="24"/>
      </w:pPr>
      <w:r>
        <w:t>（四）做好绩效自评。按要求开展上年度</w:t>
      </w:r>
      <w:r>
        <w:rPr>
          <w:rFonts w:hint="eastAsia"/>
          <w:lang w:eastAsia="zh-CN"/>
        </w:rPr>
        <w:t>单位预算</w:t>
      </w:r>
      <w:r>
        <w:t>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w:t>
      </w:r>
      <w:r>
        <w:rPr>
          <w:rFonts w:hint="eastAsia"/>
          <w:lang w:val="en-US" w:eastAsia="zh-CN"/>
        </w:rPr>
        <w:t>单位</w:t>
      </w:r>
      <w:r>
        <w:t>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adjustRightInd w:val="0"/>
        <w:snapToGrid w:val="0"/>
        <w:spacing w:line="560" w:lineRule="exact"/>
        <w:ind w:firstLine="640" w:firstLineChars="200"/>
        <w:jc w:val="left"/>
        <w:outlineLvl w:val="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无</w:t>
      </w:r>
    </w:p>
    <w:p>
      <w:pPr>
        <w:spacing w:before="0" w:after="0" w:line="240" w:lineRule="auto"/>
        <w:jc w:val="left"/>
        <w:outlineLvl w:val="9"/>
        <w:rPr>
          <w:rFonts w:hint="eastAsia" w:asci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docGrid w:linePitch="326" w:charSpace="0"/>
        </w:sectPr>
      </w:pPr>
      <w:bookmarkStart w:id="17" w:name="_GoBack"/>
      <w:bookmarkEnd w:id="17"/>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1、机关运转经费（劳务费）绩效目标表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后勤服务保障率。</w:t>
            </w:r>
          </w:p>
        </w:tc>
        <w:tc>
          <w:tcPr>
            <w:tcW w:w="2835" w:type="dxa"/>
            <w:vAlign w:val="center"/>
          </w:tcPr>
          <w:p>
            <w:pPr>
              <w:pStyle w:val="13"/>
            </w:pPr>
            <w:r>
              <w:t>后勤服务保障率。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2835" w:type="dxa"/>
            <w:vAlign w:val="center"/>
          </w:tcPr>
          <w:p>
            <w:pPr>
              <w:pStyle w:val="13"/>
            </w:pPr>
            <w:r>
              <w:t>设备维修及时率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后勤保障工作完成率</w:t>
            </w:r>
          </w:p>
        </w:tc>
        <w:tc>
          <w:tcPr>
            <w:tcW w:w="2835" w:type="dxa"/>
            <w:vAlign w:val="center"/>
          </w:tcPr>
          <w:p>
            <w:pPr>
              <w:pStyle w:val="13"/>
            </w:pPr>
            <w:r>
              <w:t>后勤保障工作完成率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成本控制率(%)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设施完好率(％)</w:t>
            </w:r>
          </w:p>
        </w:tc>
        <w:tc>
          <w:tcPr>
            <w:tcW w:w="2835" w:type="dxa"/>
            <w:vAlign w:val="center"/>
          </w:tcPr>
          <w:p>
            <w:pPr>
              <w:pStyle w:val="13"/>
            </w:pPr>
            <w:r>
              <w:t>设施完好率(％)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基础设施完好率（%）</w:t>
            </w:r>
          </w:p>
          <w:p>
            <w:pPr>
              <w:pStyle w:val="13"/>
            </w:pPr>
          </w:p>
          <w:p>
            <w:pPr>
              <w:pStyle w:val="13"/>
            </w:pPr>
          </w:p>
        </w:tc>
        <w:tc>
          <w:tcPr>
            <w:tcW w:w="2835" w:type="dxa"/>
            <w:vAlign w:val="center"/>
          </w:tcPr>
          <w:p>
            <w:pPr>
              <w:pStyle w:val="13"/>
            </w:pPr>
            <w:r>
              <w:t>设备完好数量市场价值总额占设备总数量市场价值总额的比率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2、教师外出培训费绩效目标表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1.选送教师到外地学习深造，加强重点教学项目建设，形成党史、党建等党校优秀教学项目。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优势教学项目数</w:t>
            </w:r>
          </w:p>
        </w:tc>
        <w:tc>
          <w:tcPr>
            <w:tcW w:w="2835" w:type="dxa"/>
            <w:vAlign w:val="center"/>
          </w:tcPr>
          <w:p>
            <w:pPr>
              <w:pStyle w:val="13"/>
            </w:pPr>
            <w:r>
              <w:t>培育和建设的具有党校教育特色的优势学科门数</w:t>
            </w:r>
          </w:p>
        </w:tc>
        <w:tc>
          <w:tcPr>
            <w:tcW w:w="2551" w:type="dxa"/>
            <w:vAlign w:val="center"/>
          </w:tcPr>
          <w:p>
            <w:pPr>
              <w:pStyle w:val="13"/>
            </w:pPr>
            <w:r>
              <w:t>≥3个</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科研立项数</w:t>
            </w:r>
          </w:p>
        </w:tc>
        <w:tc>
          <w:tcPr>
            <w:tcW w:w="2835" w:type="dxa"/>
            <w:vAlign w:val="center"/>
          </w:tcPr>
          <w:p>
            <w:pPr>
              <w:pStyle w:val="13"/>
            </w:pPr>
            <w:r>
              <w:t>全年科研课题立项数目</w:t>
            </w:r>
          </w:p>
        </w:tc>
        <w:tc>
          <w:tcPr>
            <w:tcW w:w="2551" w:type="dxa"/>
            <w:vAlign w:val="center"/>
          </w:tcPr>
          <w:p>
            <w:pPr>
              <w:pStyle w:val="13"/>
            </w:pPr>
            <w:r>
              <w:t>≥1个</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完成及时率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完成率</w:t>
            </w:r>
          </w:p>
        </w:tc>
        <w:tc>
          <w:tcPr>
            <w:tcW w:w="2835" w:type="dxa"/>
            <w:vAlign w:val="center"/>
          </w:tcPr>
          <w:p>
            <w:pPr>
              <w:pStyle w:val="13"/>
            </w:pPr>
            <w:r>
              <w:t>完成率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数据共享率</w:t>
            </w:r>
          </w:p>
        </w:tc>
        <w:tc>
          <w:tcPr>
            <w:tcW w:w="2835" w:type="dxa"/>
            <w:vAlign w:val="center"/>
          </w:tcPr>
          <w:p>
            <w:pPr>
              <w:pStyle w:val="13"/>
            </w:pPr>
            <w:r>
              <w:t>数据共享率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2835" w:type="dxa"/>
            <w:vAlign w:val="center"/>
          </w:tcPr>
          <w:p>
            <w:pPr>
              <w:pStyle w:val="13"/>
            </w:pPr>
            <w:r>
              <w:t>服务效率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2835" w:type="dxa"/>
            <w:vAlign w:val="center"/>
          </w:tcPr>
          <w:p>
            <w:pPr>
              <w:pStyle w:val="13"/>
            </w:pPr>
            <w:r>
              <w:t>持续服务率(%)</w:t>
            </w:r>
          </w:p>
        </w:tc>
        <w:tc>
          <w:tcPr>
            <w:tcW w:w="2551" w:type="dxa"/>
            <w:vAlign w:val="center"/>
          </w:tcPr>
          <w:p>
            <w:pPr>
              <w:pStyle w:val="13"/>
            </w:pPr>
            <w:r>
              <w:t>≥90%</w:t>
            </w:r>
          </w:p>
        </w:tc>
        <w:tc>
          <w:tcPr>
            <w:tcW w:w="2268"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2835" w:type="dxa"/>
            <w:vAlign w:val="center"/>
          </w:tcPr>
          <w:p>
            <w:pPr>
              <w:pStyle w:val="13"/>
            </w:pPr>
            <w:r>
              <w:t>满意率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3、亮化经费绩效目标表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后勤服务保障率。</w:t>
            </w:r>
          </w:p>
        </w:tc>
        <w:tc>
          <w:tcPr>
            <w:tcW w:w="2835" w:type="dxa"/>
            <w:vAlign w:val="center"/>
          </w:tcPr>
          <w:p>
            <w:pPr>
              <w:pStyle w:val="13"/>
            </w:pPr>
            <w:r>
              <w:t>后勤服务保障率。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2835" w:type="dxa"/>
            <w:vAlign w:val="center"/>
          </w:tcPr>
          <w:p>
            <w:pPr>
              <w:pStyle w:val="13"/>
            </w:pPr>
            <w:r>
              <w:t>设备维修及时率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后勤保障工作完成率</w:t>
            </w:r>
          </w:p>
        </w:tc>
        <w:tc>
          <w:tcPr>
            <w:tcW w:w="2835" w:type="dxa"/>
            <w:vAlign w:val="center"/>
          </w:tcPr>
          <w:p>
            <w:pPr>
              <w:pStyle w:val="13"/>
            </w:pPr>
            <w:r>
              <w:t>后勤保障工作完成率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2835" w:type="dxa"/>
            <w:vAlign w:val="center"/>
          </w:tcPr>
          <w:p>
            <w:pPr>
              <w:pStyle w:val="13"/>
            </w:pPr>
            <w:r>
              <w:t>成本控制率(%)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设施完好率(％)</w:t>
            </w:r>
          </w:p>
        </w:tc>
        <w:tc>
          <w:tcPr>
            <w:tcW w:w="2835" w:type="dxa"/>
            <w:vAlign w:val="center"/>
          </w:tcPr>
          <w:p>
            <w:pPr>
              <w:pStyle w:val="13"/>
            </w:pPr>
            <w:r>
              <w:t>设施完好率(％)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2835" w:type="dxa"/>
            <w:vAlign w:val="center"/>
          </w:tcPr>
          <w:p>
            <w:pPr>
              <w:pStyle w:val="13"/>
            </w:pPr>
            <w:r>
              <w:t>提供优质服务</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基础设施完好率（%）</w:t>
            </w:r>
          </w:p>
          <w:p>
            <w:pPr>
              <w:pStyle w:val="13"/>
            </w:pPr>
          </w:p>
          <w:p>
            <w:pPr>
              <w:pStyle w:val="13"/>
            </w:pPr>
          </w:p>
        </w:tc>
        <w:tc>
          <w:tcPr>
            <w:tcW w:w="2835" w:type="dxa"/>
            <w:vAlign w:val="center"/>
          </w:tcPr>
          <w:p>
            <w:pPr>
              <w:pStyle w:val="13"/>
            </w:pPr>
            <w:r>
              <w:t>设备完好数量市场价值总额占设备总数量市场价值总额的比率</w:t>
            </w:r>
          </w:p>
        </w:tc>
        <w:tc>
          <w:tcPr>
            <w:tcW w:w="2551" w:type="dxa"/>
            <w:vAlign w:val="center"/>
          </w:tcPr>
          <w:p>
            <w:pPr>
              <w:pStyle w:val="13"/>
            </w:pPr>
            <w:r>
              <w:t>≥90%</w:t>
            </w:r>
          </w:p>
        </w:tc>
        <w:tc>
          <w:tcPr>
            <w:tcW w:w="2268"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3" w:name="_Toc_3_3_0000000015"/>
      <w:r>
        <w:rPr>
          <w:rFonts w:asci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2022年，中国共产党唐山市丰南区委员会党校安排政府采购预算0.00万元。具体内容见下表。</w:t>
      </w:r>
    </w:p>
    <w:p>
      <w:pPr>
        <w:spacing w:before="0" w:after="0" w:line="240" w:lineRule="auto"/>
        <w:ind w:firstLine="0"/>
        <w:jc w:val="center"/>
        <w:outlineLvl w:val="9"/>
      </w:pPr>
      <w:r>
        <w:rPr>
          <w:rFonts w:hint="eastAsia" w:ascii="方正小标宋_GBK" w:eastAsia="方正小标宋_GBK" w:cs="方正小标宋_GBK"/>
          <w:color w:val="000000"/>
          <w:sz w:val="36"/>
          <w:lang w:val="en-US" w:eastAsia="zh-CN"/>
        </w:rPr>
        <w:t>单位</w:t>
      </w:r>
      <w:r>
        <w:rPr>
          <w:rFonts w:asci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w:t>
            </w:r>
            <w:r>
              <w:rPr>
                <w:rFonts w:hint="eastAsia"/>
                <w:lang w:eastAsia="zh-CN"/>
              </w:rPr>
              <w:t>单位预算</w:t>
            </w:r>
            <w:r>
              <w:t>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中国共产党唐山市丰南区委员会党校（含所属单位）上年末固定资产金额为264.68万元（详见下表）。本年度拟购置固定资产总额为0.00万元，已按要求列入政府采购预算，详见政府采购预算表。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eastAsia="方正小标宋_GBK" w:cs="方正小标宋_GBK"/>
          <w:color w:val="000000"/>
          <w:sz w:val="36"/>
          <w:lang w:val="en-US" w:eastAsia="zh-CN"/>
        </w:rPr>
        <w:t>单位</w:t>
      </w:r>
      <w:r>
        <w:rPr>
          <w:rFonts w:asci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403中国共产党唐山市丰南区委员会党校</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3815</w:t>
            </w:r>
          </w:p>
        </w:tc>
        <w:tc>
          <w:tcPr>
            <w:tcW w:w="2835" w:type="dxa"/>
            <w:vAlign w:val="center"/>
          </w:tcPr>
          <w:p>
            <w:pPr>
              <w:pStyle w:val="12"/>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360</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234</w:t>
            </w:r>
          </w:p>
        </w:tc>
        <w:tc>
          <w:tcPr>
            <w:tcW w:w="2835" w:type="dxa"/>
            <w:vAlign w:val="center"/>
          </w:tcPr>
          <w:p>
            <w:pPr>
              <w:pStyle w:val="12"/>
            </w:pPr>
            <w:r>
              <w:t>94.70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区级单位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eastAsia="黑体" w:cs="黑体"/>
          <w:color w:val="000000"/>
          <w:sz w:val="32"/>
        </w:rPr>
        <w:t>九、其他需要说明的事项</w:t>
      </w:r>
      <w:bookmarkEnd w:id="16"/>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单位预算政府性基金预算财政拨款支出表，此表无数据，因本单位不涉及政府性基金，因此无数据；</w:t>
      </w:r>
    </w:p>
    <w:p>
      <w:pPr>
        <w:spacing w:line="500" w:lineRule="exact"/>
        <w:ind w:firstLine="560" w:firstLineChars="200"/>
        <w:jc w:val="left"/>
      </w:pPr>
      <w:r>
        <w:rPr>
          <w:rFonts w:hint="eastAsia" w:ascii="Times New Roman" w:eastAsia="方正仿宋_GBK"/>
          <w:color w:val="000000" w:themeColor="text1"/>
          <w:sz w:val="28"/>
        </w:rPr>
        <w:t>单位预算国有资本经营预算财政拨款支出表，此表无数据，因本单位不涉及国有资本经营，因此无数据。</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176F39C4"/>
    <w:rsid w:val="262025C5"/>
    <w:rsid w:val="32362488"/>
    <w:rsid w:val="6DF66BE9"/>
    <w:rsid w:val="7C273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34">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5">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6">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37">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14553</Words>
  <Characters>17643</Characters>
  <Lines>3437</Lines>
  <Paragraphs>2133</Paragraphs>
  <TotalTime>35</TotalTime>
  <ScaleCrop>false</ScaleCrop>
  <LinksUpToDate>false</LinksUpToDate>
  <CharactersWithSpaces>17949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2022-02-24T13:33:00Z</dcterms:created>
  <dc:creator>fndx2019</dc:creator>
  <cp:lastModifiedBy>郑昉</cp:lastModifiedBy>
  <dcterms:modified xsi:type="dcterms:W3CDTF">2022-03-01T02:00:48Z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5ABF503CBFEF496DACFC6051E69D043E</vt:lpwstr>
  </property>
</Properties>
</file>