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lang w:val="uk-UA"/>
        </w:rPr>
        <w:t>2016</w:t>
      </w:r>
      <w:r>
        <w:rPr>
          <w:rFonts w:ascii="黑体" w:eastAsia="黑体" w:cs="黑体" w:hAnsi="黑体"/>
          <w:b/>
          <w:color w:val="000000"/>
          <w:sz w:val="44"/>
        </w:rPr>
        <w:t>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hAnsi="方正小标宋_GBK"/>
          <w:color w:val="000000"/>
          <w:sz w:val="44"/>
        </w:rPr>
        <w:t>中国共产党唐山市丰南区委员会党校2016年部门预算信息公开情况说明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按照《中华人民共和国预算法》、《地方预决算公开操作规程》和《关于进一步推进预算公开工作的实施意见》规定，现将中国共产党唐山市丰南区委员会党校2016</w:t>
      </w:r>
      <w:bookmarkStart w:id="0" w:name="_GoBack"/>
      <w:bookmarkEnd w:id="0"/>
      <w:r>
        <w:rPr>
          <w:rFonts w:eastAsia="方正仿宋_GBK"/>
          <w:color w:val="000000"/>
          <w:sz w:val="28"/>
        </w:rPr>
        <w:t>年部门预算公开如下：</w:t>
      </w:r>
    </w:p>
    <w:p>
      <w:pPr>
        <w:spacing w:before="10" w:after="10" w:line="360" w:lineRule="auto"/>
        <w:ind w:firstLine="640"/>
        <w:outlineLvl w:val="2"/>
      </w:pPr>
      <w:bookmarkStart w:id="1" w:name="_Toc_3_3_0000000010"/>
      <w:r>
        <w:rPr>
          <w:rFonts w:ascii="黑体" w:eastAsia="黑体" w:cs="黑体" w:hAnsi="黑体"/>
          <w:color w:val="000000"/>
          <w:sz w:val="32"/>
        </w:rPr>
        <w:t>一、部门职责及机构设置情况</w:t>
      </w:r>
      <w:bookmarkEnd w:id="1"/>
    </w:p>
    <w:p>
      <w:pPr>
        <w:ind w:firstLine="640"/>
      </w:pPr>
      <w:r>
        <w:rPr>
          <w:rFonts w:ascii="方正楷体_GBK" w:eastAsia="方正楷体_GBK" w:cs="方正楷体_GBK" w:hAnsi="方正楷体_GBK"/>
          <w:b/>
          <w:color w:val="000000"/>
          <w:sz w:val="32"/>
        </w:rPr>
        <w:t>部门职责：</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培训和轮训全区乡科级干部和基层党员干部党员干部。坚持马列主义、毛泽东思想、邓小平理论、科学发展观和伟大复兴中国梦为指导，坚持面向实际，面向丰南深入研究和准确把握全区改革和建设中具有全面性、战略性、前瞻性重大问题，努力搞好科研工作，为区委、区政府决策服务。具体讲有两项：</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1、培训教育。围绕区委、区政府中心工作，有计划地培训、轮训党员领导干部和宣传骨干；结合全区经济社会发展实际，举办各种专题研讨班;利用教学资源进行干部短期培训，培养党的理论、业务骨干。共包括以下三项活动任务：</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1）组织培训班。根据区委组织部的干训计划，培训、轮训领导干部和理论骨干；受区委、区政府及有关职能部门委托，结合全区经济社会发展实际，举办卫生系统乡村医生培训班、离退休干部培训班、司法局人民调解员培训班等各种专题培训、研讨班。达到的绩效目标任务是：培训、轮训工作完成率达到100％以上。二是特色教学百分比占教学总量的20％以上。三是委托单位的满意率达到95％以上。四是学院教学的满意率达到95％以上。</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2）师资与学科建设。加强师资培训、交流、培养，引进高水平人才，加强学科建设和学科培育，形成有党校特色的优势学科和教学基地。选送骨干教师到外地学习深造，加强重点学科建设，形成党史、党建等党校特色学科。达到绩效目标的任务是：一是特色优势学科的门数达到3科以上。二是党校特色教材教案比率20％以上。三是教师对外出学习培训的满意度达到95％以上。</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3）教学事务管理。优化后勤服务管理水平，组织实施与教学活动和学员培训相关的办公设施、教学设施和水、电、暖、亮化等基础设施的综合管理、后勤保障事务。通过严格的行政后勤管理，为学员培训和教学科研活动创造良好的硬件环境和后勤保障。达到的绩效目标任务是：一是年度内已完成的后勤保障事务量占计划量的比例100％。二是受训学员对党校硬件设施和后勤管理的综合满意程度达到95％以上。</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2、理论研究和决策咨询。组织开展理论科研和调查研究，为推进党的理论创新服务，为区委、区政府及有关部门决策咨询服务。围绕党的中心任务、重大战略部署及相关重大现实理论问题开展调查研究，有效推进理论创新，拿出一批有质量的成果为领导决策服务；通过对党的路线方针政策的宣传和重大理论问题的分析解读，使党员领导干部和群众掌握马克思主义的立场、观点、方法，坚定理想信念，始终和党中央保持一致。</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1）理论研究。制定科研成果奖励办法，对优秀科研成果和成绩突出的优秀科研人才进行奖励和资助。宣传党和国家的路线方针政策，推进理论和实践创新。积极组织教师参加省、市级以上的理论研讨会，推动教研人员的科研交流和理论探索，产出高质量的理论成果。达到的绩效目标任务是：全年科研课题立项数目达2项以上。</w:t>
      </w:r>
    </w:p>
    <w:p>
      <w:pPr>
        <w:pBdr>
          <w:top w:val="none" w:sz="0" w:space="0" w:color="auto"/>
          <w:left w:val="none" w:sz="0" w:space="0" w:color="auto"/>
          <w:bottom w:val="none" w:sz="0" w:space="0" w:color="auto"/>
          <w:right w:val="none" w:sz="0" w:space="0" w:color="auto"/>
        </w:pBdr>
        <w:ind w:firstLine="560"/>
        <w:rPr>
          <w:rFonts w:ascii="方正仿宋_GBK" w:eastAsia="方正仿宋_GBK" w:hint="eastAsia"/>
          <w:vanish w:val="0"/>
          <w:kern w:val="2"/>
          <w:sz w:val="28"/>
          <w:szCs w:val="28"/>
        </w:rPr>
      </w:pPr>
      <w:r>
        <w:rPr>
          <w:rFonts w:ascii="方正仿宋_GBK" w:eastAsia="方正仿宋_GBK" w:hint="eastAsia"/>
          <w:vanish w:val="0"/>
          <w:kern w:val="2"/>
          <w:sz w:val="28"/>
          <w:szCs w:val="28"/>
        </w:rPr>
        <w:t>（2）决策咨询和政策宣讲.。承担区领导交办的调研任务，围绕区委区政府中心工作，开展决策咨询研究；组织有关领导、教师到各乡镇及相关部门进行政策宣讲。通过决策咨询研究，设立一批有质量的决策咨询服务项目，拿出一批优秀的决策咨询成果，为领导决策咨询服务，发挥思想库和智囊团的作用。</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pPr>
            <w:r>
              <w:t>单位名称</w:t>
            </w:r>
          </w:p>
        </w:tc>
        <w:tc>
          <w:tcPr>
            <w:tcW w:w="1843" w:type="dxa"/>
            <w:vAlign w:val="center"/>
          </w:tcPr>
          <w:p>
            <w:pPr>
              <w:pStyle w:val="23"/>
            </w:pPr>
            <w:r>
              <w:t>单位性质</w:t>
            </w:r>
          </w:p>
        </w:tc>
        <w:tc>
          <w:tcPr>
            <w:tcW w:w="2126" w:type="dxa"/>
            <w:vAlign w:val="center"/>
          </w:tcPr>
          <w:p>
            <w:pPr>
              <w:pStyle w:val="23"/>
            </w:pPr>
            <w:r>
              <w:t>单位规格</w:t>
            </w:r>
          </w:p>
        </w:tc>
        <w:tc>
          <w:tcPr>
            <w:tcW w:w="3827" w:type="dxa"/>
            <w:vAlign w:val="center"/>
          </w:tcPr>
          <w:p>
            <w:pPr>
              <w:pStyle w:val="23"/>
            </w:pPr>
            <w:r>
              <w:t>经费保障形式</w:t>
            </w:r>
          </w:p>
        </w:tc>
      </w:tr>
      <w:tr>
        <w:trPr>
          <w:trHeight w:val="369"/>
        </w:trPr>
        <w:tc>
          <w:tcPr>
            <w:tcW w:w="5669" w:type="dxa"/>
            <w:vAlign w:val="center"/>
          </w:tcPr>
          <w:p>
            <w:pPr>
              <w:pStyle w:val="25"/>
            </w:pPr>
            <w:r>
              <w:rPr>
                <w:rFonts w:eastAsia="方正仿宋_GBK"/>
                <w:color w:val="000000"/>
                <w:sz w:val="28"/>
              </w:rPr>
              <w:t>中国共产党唐山市丰南区委员会党校</w:t>
            </w:r>
          </w:p>
        </w:tc>
        <w:tc>
          <w:tcPr>
            <w:tcW w:w="1843" w:type="dxa"/>
            <w:tcBorders>
              <w:left w:val="single" w:sz="6" w:space="0" w:color="000000"/>
              <w:right w:val="single" w:sz="6" w:space="0" w:color="000000"/>
            </w:tcBorders>
            <w:vAlign w:val="center"/>
          </w:tcPr>
          <w:p>
            <w:pPr>
              <w:pStyle w:val="26"/>
            </w:pPr>
            <w:r>
              <w:t>事业</w:t>
            </w:r>
          </w:p>
        </w:tc>
        <w:tc>
          <w:tcPr>
            <w:tcW w:w="2126" w:type="dxa"/>
            <w:tcBorders>
              <w:left w:val="single" w:sz="6" w:space="0" w:color="000000"/>
              <w:right w:val="single" w:sz="6" w:space="0" w:color="000000"/>
            </w:tcBorders>
            <w:vAlign w:val="center"/>
          </w:tcPr>
          <w:p>
            <w:pPr>
              <w:pStyle w:val="26"/>
            </w:pPr>
            <w:r>
              <w:t>正科级</w:t>
            </w:r>
          </w:p>
        </w:tc>
        <w:tc>
          <w:tcPr>
            <w:tcW w:w="3827" w:type="dxa"/>
            <w:vAlign w:val="center"/>
          </w:tcPr>
          <w:p>
            <w:pPr>
              <w:pStyle w:val="26"/>
            </w:pPr>
            <w:r>
              <w:t>财政拨款</w:t>
            </w:r>
          </w:p>
        </w:tc>
      </w:tr>
    </w:tbl>
    <w:p>
      <w:pPr>
        <w:spacing w:before="10" w:after="10" w:line="360" w:lineRule="auto"/>
        <w:ind w:firstLine="640"/>
        <w:outlineLvl w:val="2"/>
      </w:pPr>
      <w:bookmarkStart w:id="2" w:name="_Toc_3_3_0000000011"/>
      <w:r>
        <w:rPr>
          <w:rFonts w:ascii="黑体" w:eastAsia="黑体" w:cs="黑体" w:hAnsi="黑体"/>
          <w:color w:val="000000"/>
          <w:sz w:val="32"/>
        </w:rPr>
        <w:t>二、部门预算安排的总体情况</w:t>
      </w:r>
      <w:bookmarkEnd w:id="2"/>
    </w:p>
    <w:p>
      <w:pPr>
        <w:pStyle w:val="31"/>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pPr>
        <w:pStyle w:val="31"/>
      </w:pPr>
      <w:r>
        <w:t>1、收入说明</w:t>
      </w:r>
    </w:p>
    <w:p>
      <w:pPr>
        <w:pStyle w:val="31"/>
      </w:pPr>
      <w:r>
        <w:t>反映本部门当年全部收入。</w:t>
      </w:r>
      <w:r>
        <w:rPr>
          <w:lang w:eastAsia="zh-CN"/>
        </w:rPr>
        <w:t>2016</w:t>
      </w:r>
      <w:r>
        <w:t>年预算收入330.64万元，其中：一般公共预算收入330.64万元，基金预算收入0万元，国有资本经营预算收入0万元，财政专户核拨收入0万元，单位资金收入0万元，上年结转结余0万元。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收支预算总表支出栏、基本支出表、项目支出表按经济分类和支出功能分类科目编制，反映唐山市丰南区</w:t>
      </w:r>
      <w:r>
        <w:rPr>
          <w:rFonts w:hint="eastAsia"/>
          <w:lang w:eastAsia="zh-CN"/>
        </w:rPr>
        <w:t>全称</w:t>
      </w:r>
      <w:r>
        <w:t>年度部门预算中支出预算的总体情况。2016年支出预算330.64万元，其中基本支出318.97万元，包括人员经费288.81万元和日常公用经费30.16万元；项目支出11.67万元，主要为</w:t>
      </w:r>
      <w:r>
        <w:rPr>
          <w:rFonts w:hint="eastAsia"/>
        </w:rPr>
        <w:t>教师外出培训费6.4万元，机关亮化经费3.2万元，政府网网络租赁经费0.72万元，电视收视费1.35万元。</w:t>
      </w:r>
    </w:p>
    <w:p>
      <w:pPr>
        <w:pStyle w:val="31"/>
      </w:pPr>
      <w:r>
        <w:t>3、比上年增减情况</w:t>
      </w:r>
    </w:p>
    <w:p>
      <w:pPr>
        <w:pStyle w:val="31"/>
      </w:pPr>
      <w:r>
        <w:t>2016年预算收支安排330.64万元，较</w:t>
      </w:r>
      <w:r>
        <w:rPr>
          <w:lang w:eastAsia="zh-CN"/>
        </w:rPr>
        <w:t>2015</w:t>
      </w:r>
      <w:r>
        <w:t>年预算增加20.44万元，其中：基本支出增加28.11万元，主要为人员经费。项目支出减少7.67万元。</w:t>
      </w:r>
    </w:p>
    <w:p>
      <w:pPr>
        <w:spacing w:before="10" w:after="10" w:line="360" w:lineRule="auto"/>
        <w:ind w:firstLine="640"/>
        <w:outlineLvl w:val="2"/>
      </w:pPr>
      <w:bookmarkStart w:id="3" w:name="_Toc_3_3_0000000012"/>
      <w:r>
        <w:rPr>
          <w:rFonts w:ascii="黑体" w:eastAsia="黑体" w:cs="黑体" w:hAnsi="黑体"/>
          <w:color w:val="000000"/>
          <w:sz w:val="32"/>
        </w:rPr>
        <w:t>三、机关运行经费安排情况</w:t>
      </w:r>
      <w:bookmarkEnd w:id="3"/>
    </w:p>
    <w:p>
      <w:pPr>
        <w:pStyle w:val="32"/>
      </w:pPr>
      <w:r>
        <w:rPr>
          <w:lang w:eastAsia="zh-CN"/>
        </w:rPr>
        <w:t>2016</w:t>
      </w:r>
      <w:r>
        <w:t>年，我部门机关运行经费共计安排30.16万元，主要用于日常维修、办公用房水电费、办公用房取暖费、办公用房物业管理费等日常运行支出。</w:t>
      </w:r>
    </w:p>
    <w:p>
      <w:pPr>
        <w:spacing w:before="10" w:after="10" w:line="360" w:lineRule="auto"/>
        <w:ind w:firstLine="640"/>
        <w:outlineLvl w:val="2"/>
      </w:pPr>
      <w:bookmarkStart w:id="4" w:name="_Toc_3_3_0000000013"/>
      <w:r>
        <w:rPr>
          <w:rFonts w:ascii="黑体" w:eastAsia="黑体" w:cs="黑体" w:hAnsi="黑体"/>
          <w:color w:val="000000"/>
          <w:sz w:val="32"/>
        </w:rPr>
        <w:t>四、财政拨款“三公”经费预算情况及增减变化原因</w:t>
      </w:r>
      <w:bookmarkEnd w:id="4"/>
    </w:p>
    <w:p>
      <w:pPr>
        <w:pStyle w:val="38"/>
      </w:pPr>
      <w:bookmarkStart w:id="5" w:name="_Toc_3_3_0000000014"/>
      <w:r>
        <w:rPr>
          <w:lang w:eastAsia="zh-CN"/>
        </w:rPr>
        <w:t>2016</w:t>
      </w:r>
      <w:r>
        <w:t>年，我单位财政拨款“三公”经费预算安排5万元，其中因公出国（境）费0万元；公务用车购置及运维费5万元（其中：公务用车购置费为0万元，公务用车运维费5万元)；公务接待费0万元，培训费6.4万元。与2015持平。</w:t>
      </w:r>
    </w:p>
    <w:p>
      <w:pPr>
        <w:spacing w:line="360" w:lineRule="auto"/>
        <w:ind w:firstLine="630"/>
        <w:rPr>
          <w:rFonts w:ascii="黑体" w:eastAsia="黑体" w:hAnsi="黑体"/>
          <w:sz w:val="32"/>
          <w:szCs w:val="32"/>
        </w:rPr>
      </w:pPr>
      <w:bookmarkEnd w:id="5"/>
      <w:r>
        <w:rPr>
          <w:rFonts w:ascii="黑体" w:eastAsia="黑体" w:hAnsi="黑体" w:hint="eastAsia"/>
          <w:sz w:val="32"/>
          <w:szCs w:val="32"/>
        </w:rPr>
        <w:t>五、绩效预算信息</w:t>
      </w:r>
    </w:p>
    <w:p>
      <w:pPr>
        <w:pStyle w:val="38"/>
      </w:pPr>
      <w:r>
        <w:t>（一）总体绩效目标</w:t>
      </w:r>
    </w:p>
    <w:p>
      <w:pPr>
        <w:pStyle w:val="38"/>
        <w:rPr>
          <w:rFonts w:hint="eastAsia"/>
        </w:rPr>
      </w:pPr>
      <w:r>
        <w:rPr>
          <w:rFonts w:hint="eastAsia"/>
        </w:rPr>
        <w:t>根据全区工作中心和发展大局，有计划地组织党员干部开展理论业务培训；优化教学管理，组织开展理论科研和调查研究。按照实事求是、与时俱进、艰苦奋斗、执政为民的要求，培养忠诚于中国特色社会主义事业、德才兼备的党员领导干部、理论干部和各类人才，有效提高党员干部的政策理论水平、思想觉悟和执政能力。</w:t>
      </w:r>
    </w:p>
    <w:p>
      <w:pPr>
        <w:pStyle w:val="38"/>
        <w:rPr>
          <w:rFonts w:hAnsi="楷体"/>
          <w:lang w:eastAsia="zh-CN"/>
        </w:rPr>
      </w:pPr>
      <w:bookmarkStart w:id="6" w:name="_Toc_3_3_0000000017"/>
    </w:p>
    <w:p>
      <w:pPr>
        <w:pStyle w:val="38"/>
        <w:rPr>
          <w:rFonts w:cs="仿宋" w:hAnsi="仿宋"/>
          <w:bCs/>
        </w:rPr>
      </w:pPr>
      <w:r>
        <w:rPr>
          <w:rFonts w:cs="仿宋" w:hAnsi="仿宋" w:hint="eastAsia"/>
          <w:bCs/>
          <w:lang w:eastAsia="zh-CN"/>
        </w:rPr>
        <w:t>（二）</w:t>
      </w:r>
      <w:r>
        <w:rPr>
          <w:rFonts w:cs="仿宋" w:hAnsi="仿宋" w:hint="eastAsia"/>
          <w:bCs/>
        </w:rPr>
        <w:t>实现年度发展规划目标的保障措施</w:t>
      </w:r>
    </w:p>
    <w:p>
      <w:pPr>
        <w:pStyle w:val="38"/>
        <w:rPr>
          <w:rFonts w:hint="eastAsia"/>
        </w:rPr>
      </w:pPr>
      <w:r>
        <w:rPr>
          <w:rFonts w:hint="eastAsia"/>
        </w:rPr>
        <w:t>1、根据区委组织部的党员干部培训计划，培训、轮训党员领导干部和理论骨干；受区委、区政府及有关职能部门委托，推进合作办学，举办各种专题培训、技能培训。</w:t>
      </w:r>
    </w:p>
    <w:p>
      <w:pPr>
        <w:pStyle w:val="38"/>
        <w:rPr>
          <w:rFonts w:hint="eastAsia"/>
        </w:rPr>
      </w:pPr>
      <w:r>
        <w:rPr>
          <w:rFonts w:hint="eastAsia"/>
        </w:rPr>
        <w:t>2、站在党的理论前沿和全区发展大局，精选一批理论和教学业务科研课题，组织骨干力量，开展调查研究和理论研修。</w:t>
      </w:r>
    </w:p>
    <w:p>
      <w:pPr>
        <w:pStyle w:val="38"/>
        <w:rPr>
          <w:rFonts w:hint="eastAsia"/>
        </w:rPr>
      </w:pPr>
      <w:r>
        <w:rPr>
          <w:rFonts w:hint="eastAsia"/>
        </w:rPr>
        <w:t>3、推进勤俭办学、精细化管理，探索市场化管理新途径，优化培训后勤管理服务，为学员提供良好的学习环境。</w:t>
      </w:r>
    </w:p>
    <w:p>
      <w:pPr>
        <w:pStyle w:val="38"/>
        <w:rPr>
          <w:rFonts w:cs="仿宋" w:hAnsi="仿宋"/>
        </w:rPr>
      </w:pPr>
    </w:p>
    <w:p>
      <w:pPr>
        <w:pStyle w:val="38"/>
        <w:rPr>
          <w:rFonts w:cs="仿宋" w:hAnsi="仿宋"/>
        </w:rPr>
      </w:pPr>
    </w:p>
    <w:p>
      <w:pPr>
        <w:pStyle w:val="38"/>
        <w:rPr>
          <w:rFonts w:hAnsi="楷体"/>
        </w:rPr>
      </w:pPr>
      <w:r>
        <w:rPr>
          <w:rFonts w:hAnsi="楷体" w:hint="eastAsia"/>
        </w:rPr>
        <w:t>（三）部门职责及工作活动绩效目标指标</w:t>
      </w:r>
    </w:p>
    <w:p>
      <w:pPr>
        <w:jc w:val="center"/>
        <w:outlineLvl w:val="0"/>
        <w:rPr>
          <w:rFonts w:ascii="方正小标宋_GBK" w:eastAsia="方正小标宋_GBK"/>
          <w:sz w:val="32"/>
        </w:rPr>
      </w:pPr>
      <w:bookmarkStart w:id="7" w:name="_Toc441303271"/>
    </w:p>
    <w:p>
      <w:pPr>
        <w:jc w:val="center"/>
        <w:outlineLvl w:val="0"/>
        <w:rPr>
          <w:rFonts w:ascii="方正小标宋_GBK" w:eastAsia="方正小标宋_GBK"/>
          <w:sz w:val="32"/>
        </w:rPr>
      </w:pPr>
      <w:r>
        <w:rPr>
          <w:rFonts w:ascii="方正小标宋_GBK" w:eastAsia="方正小标宋_GBK" w:hint="eastAsia"/>
          <w:sz w:val="32"/>
        </w:rPr>
        <w:t>部门职责-工作活动绩效目标</w:t>
      </w:r>
      <w:bookmarkEnd w:id="7"/>
    </w:p>
    <w:tbl>
      <w:tblPr>
        <w:jc w:val="cente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0"/>
        <w:gridCol w:w="1097"/>
        <w:gridCol w:w="2940"/>
        <w:gridCol w:w="3178"/>
        <w:gridCol w:w="1410"/>
        <w:gridCol w:w="735"/>
        <w:gridCol w:w="735"/>
        <w:gridCol w:w="735"/>
        <w:gridCol w:w="735"/>
      </w:tblGrid>
      <w:tr>
        <w:trPr>
          <w:trHeight w:val="227"/>
          <w:tblHeader/>
        </w:trPr>
        <w:tc>
          <w:tcPr>
            <w:tcW w:w="13904" w:type="dxa"/>
            <w:gridSpan w:val="9"/>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rPr>
                <w:rFonts w:ascii="方正小标宋_GBK" w:eastAsia="方正小标宋_GBK"/>
                <w:lang w:eastAsia="zh-CN"/>
              </w:rPr>
            </w:pPr>
            <w:r>
              <w:rPr>
                <w:rFonts w:eastAsia="方正仿宋_GBK"/>
                <w:color w:val="000000"/>
                <w:sz w:val="28"/>
              </w:rPr>
              <w:t>中国共产党唐山市丰南区委员会党校</w:t>
            </w:r>
          </w:p>
        </w:tc>
      </w:tr>
      <w:tr>
        <w:trPr>
          <w:trHeight w:val="227"/>
          <w:tblHeader/>
        </w:trPr>
        <w:tc>
          <w:tcPr>
            <w:tcW w:w="2340"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09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40"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3178"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0"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6"/>
        </w:trPr>
        <w:tc>
          <w:tcPr>
            <w:tcW w:w="2340" w:type="dxa"/>
            <w:tcBorders>
              <w:top w:val="nil"/>
              <w:left w:val="single" w:sz="8" w:space="0" w:color="auto"/>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Style w:val="46"/>
                <w:rFonts w:ascii="微软雅黑" w:eastAsia="微软雅黑" w:hint="eastAsia"/>
                <w:b/>
                <w:bCs w:val="0"/>
                <w:vanish w:val="0"/>
                <w:color w:val="333333"/>
                <w:sz w:val="24"/>
                <w:szCs w:val="24"/>
              </w:rPr>
              <w:t>培训教育</w:t>
            </w:r>
          </w:p>
        </w:tc>
        <w:tc>
          <w:tcPr>
            <w:tcW w:w="1097"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11.67</w:t>
            </w:r>
          </w:p>
        </w:tc>
        <w:tc>
          <w:tcPr>
            <w:tcW w:w="294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根据全区工作中心和发展大局中，有计划地组织党员干部主体培训班和专题班，培养党的理论、业务骨干；优化教学管理，组织开展理论科研和调查研究。</w:t>
            </w:r>
          </w:p>
        </w:tc>
        <w:tc>
          <w:tcPr>
            <w:tcW w:w="3178"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按照实事求是、与时俱进、艰苦奋斗、执政为民的要求，培养忠诚于中国特色社会主义事业、德才兼备的党员领导干部、理论干部和各类人才，有效提高党员干部的政策理论水平、思想觉悟和执政能力。</w:t>
            </w:r>
          </w:p>
        </w:tc>
        <w:tc>
          <w:tcPr>
            <w:tcW w:w="141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 </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 </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 </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 </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 </w:t>
            </w:r>
          </w:p>
        </w:tc>
      </w:tr>
      <w:tr>
        <w:trPr>
          <w:trHeight w:val="226"/>
        </w:trPr>
        <w:tc>
          <w:tcPr>
            <w:tcW w:w="2340" w:type="dxa"/>
            <w:vMerge w:val="restart"/>
            <w:tcBorders>
              <w:top w:val="nil"/>
              <w:left w:val="single" w:sz="8" w:space="0" w:color="auto"/>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Style w:val="46"/>
                <w:rFonts w:ascii="微软雅黑" w:eastAsia="微软雅黑" w:hint="eastAsia"/>
                <w:b/>
                <w:bCs w:val="0"/>
                <w:vanish w:val="0"/>
                <w:color w:val="333333"/>
                <w:sz w:val="24"/>
                <w:szCs w:val="24"/>
              </w:rPr>
              <w:t>组织培训班</w:t>
            </w:r>
          </w:p>
        </w:tc>
        <w:tc>
          <w:tcPr>
            <w:tcW w:w="1097" w:type="dxa"/>
            <w:vMerge w:val="restart"/>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1.35</w:t>
            </w:r>
          </w:p>
        </w:tc>
        <w:tc>
          <w:tcPr>
            <w:tcW w:w="2940" w:type="dxa"/>
            <w:vMerge w:val="restart"/>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根据区委组织部的党员干部培训计划，培训、轮训党员领导干部和理论骨干；受区委、区政府及有关职能部门委托，推进合作办学，举办各种专题培训、技能培训。</w:t>
            </w:r>
          </w:p>
        </w:tc>
        <w:tc>
          <w:tcPr>
            <w:tcW w:w="3178" w:type="dxa"/>
            <w:vMerge w:val="restart"/>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通过外请专家、学者授课，开拓学员思路；通过开展现场教学、情景模拟教学、案例教学等，提高培训教学质量，提高学员解决实际问题的能力。</w:t>
            </w:r>
          </w:p>
        </w:tc>
        <w:tc>
          <w:tcPr>
            <w:tcW w:w="141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培训任务完成率</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98%以上</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85%以下</w:t>
            </w:r>
          </w:p>
        </w:tc>
      </w:tr>
      <w:tr>
        <w:trPr>
          <w:trHeight w:val="226"/>
        </w:trPr>
        <w:tc>
          <w:tcPr>
            <w:tcW w:w="2340" w:type="dxa"/>
            <w:vMerge/>
            <w:tcBorders>
              <w:top w:val="nil"/>
              <w:left w:val="single" w:sz="8" w:space="0" w:color="auto"/>
              <w:bottom w:val="single" w:sz="8" w:space="0" w:color="auto"/>
              <w:right w:val="single" w:sz="8" w:space="0" w:color="auto"/>
              <w:tl2br w:val="nil"/>
              <w:tr2bl w:val="nil"/>
            </w:tcBorders>
            <w:vAlign w:val="center"/>
          </w:tcPr>
          <w:p/>
        </w:tc>
        <w:tc>
          <w:tcPr>
            <w:tcW w:w="1097" w:type="dxa"/>
            <w:vMerge/>
            <w:tcBorders>
              <w:top w:val="nil"/>
              <w:left w:val="nil"/>
              <w:bottom w:val="single" w:sz="8" w:space="0" w:color="auto"/>
              <w:right w:val="single" w:sz="8" w:space="0" w:color="auto"/>
              <w:tl2br w:val="nil"/>
              <w:tr2bl w:val="nil"/>
            </w:tcBorders>
            <w:vAlign w:val="center"/>
          </w:tcPr>
          <w:p/>
        </w:tc>
        <w:tc>
          <w:tcPr>
            <w:tcW w:w="2940" w:type="dxa"/>
            <w:vMerge/>
            <w:tcBorders>
              <w:top w:val="nil"/>
              <w:left w:val="nil"/>
              <w:bottom w:val="single" w:sz="8" w:space="0" w:color="auto"/>
              <w:right w:val="single" w:sz="8" w:space="0" w:color="auto"/>
              <w:tl2br w:val="nil"/>
              <w:tr2bl w:val="nil"/>
            </w:tcBorders>
            <w:vAlign w:val="center"/>
          </w:tcPr>
          <w:p/>
        </w:tc>
        <w:tc>
          <w:tcPr>
            <w:tcW w:w="3178" w:type="dxa"/>
            <w:vMerge/>
            <w:tcBorders>
              <w:top w:val="nil"/>
              <w:left w:val="nil"/>
              <w:bottom w:val="single" w:sz="8" w:space="0" w:color="auto"/>
              <w:right w:val="single" w:sz="8" w:space="0" w:color="auto"/>
              <w:tl2br w:val="nil"/>
              <w:tr2bl w:val="nil"/>
            </w:tcBorders>
            <w:vAlign w:val="center"/>
          </w:tcPr>
          <w:p/>
        </w:tc>
        <w:tc>
          <w:tcPr>
            <w:tcW w:w="141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学员教学满意率</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98%以上</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85%以下</w:t>
            </w:r>
          </w:p>
        </w:tc>
      </w:tr>
      <w:tr>
        <w:trPr>
          <w:trHeight w:val="226"/>
        </w:trPr>
        <w:tc>
          <w:tcPr>
            <w:tcW w:w="2340" w:type="dxa"/>
            <w:tcBorders>
              <w:top w:val="nil"/>
              <w:left w:val="single" w:sz="8" w:space="0" w:color="auto"/>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Style w:val="46"/>
                <w:rFonts w:ascii="微软雅黑" w:eastAsia="微软雅黑" w:hint="eastAsia"/>
                <w:b/>
                <w:bCs w:val="0"/>
                <w:vanish w:val="0"/>
                <w:color w:val="333333"/>
                <w:sz w:val="24"/>
                <w:szCs w:val="24"/>
              </w:rPr>
              <w:t>教学与科研</w:t>
            </w:r>
          </w:p>
        </w:tc>
        <w:tc>
          <w:tcPr>
            <w:tcW w:w="1097"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6.40</w:t>
            </w:r>
          </w:p>
        </w:tc>
        <w:tc>
          <w:tcPr>
            <w:tcW w:w="294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站在党的理论前沿和全区发展大局，精选一批理论和教学业务科研课题，组织骨干力量，开展调查研究和理论研修。</w:t>
            </w:r>
          </w:p>
        </w:tc>
        <w:tc>
          <w:tcPr>
            <w:tcW w:w="3178"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通过开展理论研讨、教学科研和调查研究，形成一批参考价值效高的科研成果，强化教学应用。</w:t>
            </w:r>
          </w:p>
        </w:tc>
        <w:tc>
          <w:tcPr>
            <w:tcW w:w="141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培训任务完成率</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98%以上</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85%以下</w:t>
            </w:r>
          </w:p>
        </w:tc>
      </w:tr>
      <w:tr>
        <w:trPr>
          <w:trHeight w:val="226"/>
        </w:trPr>
        <w:tc>
          <w:tcPr>
            <w:tcW w:w="2340" w:type="dxa"/>
            <w:tcBorders>
              <w:top w:val="nil"/>
              <w:left w:val="single" w:sz="8" w:space="0" w:color="auto"/>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Style w:val="46"/>
                <w:rFonts w:ascii="微软雅黑" w:eastAsia="微软雅黑" w:hint="eastAsia"/>
                <w:b/>
                <w:bCs w:val="0"/>
                <w:vanish w:val="0"/>
                <w:color w:val="333333"/>
                <w:sz w:val="24"/>
                <w:szCs w:val="24"/>
              </w:rPr>
              <w:t>行政管理和后勤保障</w:t>
            </w:r>
          </w:p>
        </w:tc>
        <w:tc>
          <w:tcPr>
            <w:tcW w:w="1097"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3.92</w:t>
            </w:r>
          </w:p>
        </w:tc>
        <w:tc>
          <w:tcPr>
            <w:tcW w:w="294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推进勤俭办学、精细化管理，探索市场化管理新途径，优化培训后勤管理服务，为学员提供良好的学习环境。</w:t>
            </w:r>
          </w:p>
        </w:tc>
        <w:tc>
          <w:tcPr>
            <w:tcW w:w="3178"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通过有效的行政后勤管理，完善教学设施和服务网络，提高保障水平，促进教学活动和学员培训水平的提高。</w:t>
            </w:r>
          </w:p>
        </w:tc>
        <w:tc>
          <w:tcPr>
            <w:tcW w:w="1410"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left"/>
              <w:rPr>
                <w:rFonts w:ascii="雅黑" w:eastAsia="雅黑" w:hint="eastAsia"/>
                <w:vanish w:val="0"/>
                <w:color w:val="333333"/>
                <w:kern w:val="0"/>
                <w:sz w:val="24"/>
                <w:szCs w:val="24"/>
              </w:rPr>
            </w:pPr>
            <w:r>
              <w:rPr>
                <w:rFonts w:ascii="雅黑" w:eastAsia="雅黑" w:hint="eastAsia"/>
                <w:vanish w:val="0"/>
                <w:color w:val="333333"/>
                <w:kern w:val="0"/>
                <w:sz w:val="24"/>
                <w:szCs w:val="24"/>
              </w:rPr>
              <w:t>学员对综合事务管理满意度98%以上。</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98%以上</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95%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w:t>
            </w:r>
          </w:p>
        </w:tc>
        <w:tc>
          <w:tcPr>
            <w:tcW w:w="735" w:type="dxa"/>
            <w:tcBorders>
              <w:top w:val="nil"/>
              <w:left w:val="nil"/>
              <w:bottom w:val="single" w:sz="8" w:space="0" w:color="auto"/>
              <w:right w:val="single" w:sz="8" w:space="0" w:color="auto"/>
              <w:tl2br w:val="nil"/>
              <w:tr2bl w:val="nil"/>
            </w:tcBorders>
            <w:vAlign w:val="center"/>
          </w:tcPr>
          <w:p>
            <w:pPr>
              <w:pStyle w:val="45"/>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line="300" w:lineRule="atLeast"/>
              <w:ind w:left="0" w:right="0" w:firstLine="480"/>
              <w:jc w:val="center"/>
              <w:rPr>
                <w:rFonts w:ascii="雅黑" w:eastAsia="雅黑" w:hint="eastAsia"/>
                <w:vanish w:val="0"/>
                <w:color w:val="333333"/>
                <w:kern w:val="0"/>
                <w:sz w:val="24"/>
                <w:szCs w:val="24"/>
              </w:rPr>
            </w:pPr>
            <w:r>
              <w:rPr>
                <w:rFonts w:ascii="雅黑" w:eastAsia="雅黑" w:hint="eastAsia"/>
                <w:vanish w:val="0"/>
                <w:color w:val="333333"/>
                <w:kern w:val="0"/>
                <w:sz w:val="24"/>
                <w:szCs w:val="24"/>
              </w:rPr>
              <w:t>85%以下</w:t>
            </w:r>
          </w:p>
        </w:tc>
      </w:tr>
    </w:tbl>
    <w:p>
      <w:r>
        <w:rPr>
          <w:rFonts w:ascii="微软雅黑" w:eastAsia="微软雅黑" w:hint="eastAsia"/>
          <w:i w:val="0"/>
          <w:iCs w:val="0"/>
          <w:caps w:val="0"/>
          <w:smallCaps w:val="0"/>
          <w:color w:val="333333"/>
          <w:spacing w:val="0"/>
          <w:kern w:val="0"/>
          <w:sz w:val="24"/>
          <w:szCs w:val="24"/>
          <w:shd w:val="clear" w:color="auto" w:fill="FFFFFF"/>
        </w:rPr>
        <w:t xml:space="preserve"> </w:t>
      </w:r>
    </w:p>
    <w:p>
      <w:pPr>
        <w:spacing w:before="10" w:after="10"/>
        <w:ind w:firstLine="640"/>
        <w:outlineLvl w:val="2"/>
      </w:pPr>
      <w:r>
        <w:rPr>
          <w:rFonts w:ascii="黑体" w:eastAsia="黑体" w:cs="黑体" w:hAnsi="黑体"/>
          <w:color w:val="000000"/>
          <w:sz w:val="32"/>
        </w:rPr>
        <w:t>六、政府采购预算情况</w:t>
      </w:r>
      <w:bookmarkEnd w:id="6"/>
    </w:p>
    <w:p>
      <w:pPr>
        <w:jc w:val="center"/>
      </w:pPr>
      <w:r>
        <w:rPr>
          <w:rFonts w:ascii="方正小标宋_GBK" w:eastAsia="方正小标宋_GBK" w:cs="方正小标宋_GBK" w:hAnsi="方正小标宋_GBK"/>
          <w:color w:val="000000"/>
          <w:sz w:val="36"/>
        </w:rPr>
        <w:t>部门政府采购预算</w:t>
      </w:r>
    </w:p>
    <w:tbl>
      <w:tblPr>
        <w:jc w:val="center"/>
        <w:tblW w:w="15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2"/>
            </w:pPr>
            <w:r>
              <w:rPr>
                <w:rFonts w:eastAsia="方正仿宋_GBK"/>
                <w:color w:val="000000"/>
                <w:sz w:val="28"/>
              </w:rPr>
              <w:t>中国共产党唐山市丰南区委员会党校</w:t>
            </w:r>
          </w:p>
        </w:tc>
        <w:tc>
          <w:tcPr>
            <w:tcW w:w="7712" w:type="dxa"/>
            <w:gridSpan w:val="8"/>
            <w:tcBorders>
              <w:top w:val="single" w:sz="6" w:space="0" w:color="FFFFFF"/>
              <w:left w:val="single" w:sz="6" w:space="0" w:color="FFFFFF"/>
              <w:right w:val="single" w:sz="6" w:space="0" w:color="FFFFFF"/>
            </w:tcBorders>
            <w:vAlign w:val="center"/>
          </w:tcPr>
          <w:p>
            <w:pPr>
              <w:pStyle w:val="37"/>
            </w:pPr>
            <w:r>
              <w:t>单位：万元</w:t>
            </w:r>
          </w:p>
        </w:tc>
      </w:tr>
      <w:tr>
        <w:trPr>
          <w:cantSplit/>
          <w:tblHeader/>
        </w:trPr>
        <w:tc>
          <w:tcPr>
            <w:tcW w:w="2665" w:type="dxa"/>
            <w:gridSpan w:val="2"/>
            <w:vAlign w:val="center"/>
          </w:tcPr>
          <w:p>
            <w:pPr>
              <w:pStyle w:val="23"/>
            </w:pPr>
            <w:r>
              <w:t>政府采购项目来源</w:t>
            </w:r>
          </w:p>
        </w:tc>
        <w:tc>
          <w:tcPr>
            <w:tcW w:w="1134" w:type="dxa"/>
            <w:vMerge w:val="restart"/>
            <w:tcBorders>
              <w:left w:val="single" w:sz="6" w:space="0" w:color="000000"/>
              <w:right w:val="single" w:sz="6" w:space="0" w:color="000000"/>
            </w:tcBorders>
            <w:vAlign w:val="center"/>
          </w:tcPr>
          <w:p>
            <w:pPr>
              <w:pStyle w:val="23"/>
            </w:pPr>
            <w:r>
              <w:t>采购物品名称</w:t>
            </w:r>
          </w:p>
        </w:tc>
        <w:tc>
          <w:tcPr>
            <w:tcW w:w="1134" w:type="dxa"/>
            <w:vMerge w:val="restart"/>
            <w:tcBorders>
              <w:left w:val="single" w:sz="6" w:space="0" w:color="000000"/>
              <w:right w:val="single" w:sz="6" w:space="0" w:color="000000"/>
            </w:tcBorders>
            <w:vAlign w:val="center"/>
          </w:tcPr>
          <w:p>
            <w:pPr>
              <w:pStyle w:val="23"/>
            </w:pPr>
            <w:r>
              <w:t>政府采购目录序号</w:t>
            </w:r>
          </w:p>
        </w:tc>
        <w:tc>
          <w:tcPr>
            <w:tcW w:w="709" w:type="dxa"/>
            <w:vMerge w:val="restart"/>
            <w:tcBorders>
              <w:left w:val="single" w:sz="6" w:space="0" w:color="000000"/>
              <w:right w:val="single" w:sz="6" w:space="0" w:color="000000"/>
            </w:tcBorders>
            <w:vAlign w:val="center"/>
          </w:tcPr>
          <w:p>
            <w:pPr>
              <w:pStyle w:val="23"/>
            </w:pPr>
            <w:r>
              <w:t>计量  单位</w:t>
            </w:r>
          </w:p>
        </w:tc>
        <w:tc>
          <w:tcPr>
            <w:tcW w:w="850" w:type="dxa"/>
            <w:vMerge w:val="restart"/>
            <w:tcBorders>
              <w:left w:val="single" w:sz="6" w:space="0" w:color="000000"/>
              <w:right w:val="single" w:sz="6" w:space="0" w:color="000000"/>
            </w:tcBorders>
            <w:vAlign w:val="center"/>
          </w:tcPr>
          <w:p>
            <w:pPr>
              <w:pStyle w:val="23"/>
            </w:pPr>
            <w:r>
              <w:t>数量</w:t>
            </w:r>
          </w:p>
        </w:tc>
        <w:tc>
          <w:tcPr>
            <w:tcW w:w="850" w:type="dxa"/>
            <w:vMerge w:val="restart"/>
            <w:tcBorders>
              <w:left w:val="single" w:sz="6" w:space="0" w:color="000000"/>
              <w:right w:val="single" w:sz="6" w:space="0" w:color="000000"/>
            </w:tcBorders>
            <w:vAlign w:val="center"/>
          </w:tcPr>
          <w:p>
            <w:pPr>
              <w:pStyle w:val="23"/>
            </w:pPr>
            <w:r>
              <w:t>单价</w:t>
            </w:r>
          </w:p>
        </w:tc>
        <w:tc>
          <w:tcPr>
            <w:tcW w:w="6748" w:type="dxa"/>
            <w:gridSpan w:val="7"/>
            <w:tcBorders>
              <w:left w:val="single" w:sz="6" w:space="0" w:color="000000"/>
              <w:right w:val="single" w:sz="6" w:space="0" w:color="000000"/>
            </w:tcBorders>
            <w:vAlign w:val="center"/>
          </w:tcPr>
          <w:p>
            <w:pPr>
              <w:pStyle w:val="23"/>
            </w:pPr>
            <w:r>
              <w:t>政府采购金额（当年部门预算安排资金）</w:t>
            </w:r>
          </w:p>
        </w:tc>
        <w:tc>
          <w:tcPr>
            <w:tcW w:w="964" w:type="dxa"/>
            <w:vMerge w:val="restart"/>
            <w:vAlign w:val="center"/>
          </w:tcPr>
          <w:p>
            <w:pPr>
              <w:pStyle w:val="23"/>
            </w:pPr>
            <w:r>
              <w:rPr>
                <w:rFonts w:hint="eastAsia"/>
                <w:lang w:eastAsia="zh-CN"/>
              </w:rPr>
              <w:t>XXXX</w:t>
            </w:r>
            <w:r>
              <w:t>年  预留中  小微企  业份额</w:t>
            </w:r>
          </w:p>
        </w:tc>
      </w:tr>
      <w:tr>
        <w:trPr>
          <w:cantSplit/>
          <w:tblHeader/>
        </w:trPr>
        <w:tc>
          <w:tcPr>
            <w:tcW w:w="1701" w:type="dxa"/>
            <w:vAlign w:val="center"/>
          </w:tcPr>
          <w:p>
            <w:pPr>
              <w:pStyle w:val="23"/>
            </w:pPr>
            <w:r>
              <w:t>项目名称</w:t>
            </w:r>
          </w:p>
        </w:tc>
        <w:tc>
          <w:tcPr>
            <w:tcW w:w="964" w:type="dxa"/>
            <w:tcBorders>
              <w:left w:val="single" w:sz="6" w:space="0" w:color="000000"/>
              <w:right w:val="single" w:sz="6" w:space="0" w:color="000000"/>
            </w:tcBorders>
            <w:vAlign w:val="center"/>
          </w:tcPr>
          <w:p>
            <w:pPr>
              <w:pStyle w:val="23"/>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3"/>
            </w:pPr>
            <w:r>
              <w:t>合计</w:t>
            </w:r>
          </w:p>
        </w:tc>
        <w:tc>
          <w:tcPr>
            <w:tcW w:w="964" w:type="dxa"/>
            <w:tcBorders>
              <w:left w:val="single" w:sz="6" w:space="0" w:color="000000"/>
              <w:right w:val="single" w:sz="6" w:space="0" w:color="000000"/>
            </w:tcBorders>
            <w:vAlign w:val="center"/>
          </w:tcPr>
          <w:p>
            <w:pPr>
              <w:pStyle w:val="23"/>
            </w:pPr>
            <w:r>
              <w:t>一般公共预算拨款</w:t>
            </w:r>
          </w:p>
        </w:tc>
        <w:tc>
          <w:tcPr>
            <w:tcW w:w="964" w:type="dxa"/>
            <w:tcBorders>
              <w:left w:val="single" w:sz="6" w:space="0" w:color="000000"/>
              <w:right w:val="single" w:sz="6" w:space="0" w:color="000000"/>
            </w:tcBorders>
            <w:vAlign w:val="center"/>
          </w:tcPr>
          <w:p>
            <w:pPr>
              <w:pStyle w:val="23"/>
            </w:pPr>
            <w:r>
              <w:t>基金预算拨款</w:t>
            </w:r>
          </w:p>
        </w:tc>
        <w:tc>
          <w:tcPr>
            <w:tcW w:w="964" w:type="dxa"/>
            <w:tcBorders>
              <w:left w:val="single" w:sz="6" w:space="0" w:color="000000"/>
              <w:right w:val="single" w:sz="6" w:space="0" w:color="000000"/>
            </w:tcBorders>
            <w:vAlign w:val="center"/>
          </w:tcPr>
          <w:p>
            <w:pPr>
              <w:pStyle w:val="23"/>
            </w:pPr>
            <w:r>
              <w:t>国有资本经营预算拨款</w:t>
            </w:r>
          </w:p>
        </w:tc>
        <w:tc>
          <w:tcPr>
            <w:tcW w:w="964" w:type="dxa"/>
            <w:tcBorders>
              <w:left w:val="single" w:sz="6" w:space="0" w:color="000000"/>
              <w:right w:val="single" w:sz="6" w:space="0" w:color="000000"/>
            </w:tcBorders>
            <w:vAlign w:val="center"/>
          </w:tcPr>
          <w:p>
            <w:pPr>
              <w:pStyle w:val="23"/>
            </w:pPr>
            <w:r>
              <w:t>财政专户核拨</w:t>
            </w:r>
          </w:p>
        </w:tc>
        <w:tc>
          <w:tcPr>
            <w:tcW w:w="964" w:type="dxa"/>
            <w:tcBorders>
              <w:left w:val="single" w:sz="6" w:space="0" w:color="000000"/>
              <w:right w:val="single" w:sz="6" w:space="0" w:color="000000"/>
            </w:tcBorders>
            <w:vAlign w:val="center"/>
          </w:tcPr>
          <w:p>
            <w:pPr>
              <w:pStyle w:val="23"/>
            </w:pPr>
            <w:r>
              <w:t>单位    资金</w:t>
            </w:r>
          </w:p>
        </w:tc>
        <w:tc>
          <w:tcPr>
            <w:tcW w:w="964" w:type="dxa"/>
            <w:tcBorders>
              <w:left w:val="single" w:sz="6" w:space="0" w:color="000000"/>
              <w:right w:val="single" w:sz="6" w:space="0" w:color="000000"/>
            </w:tcBorders>
            <w:vAlign w:val="center"/>
          </w:tcPr>
          <w:p>
            <w:pPr>
              <w:pStyle w:val="23"/>
            </w:pPr>
            <w:r>
              <w:t>上年结转结余</w:t>
            </w:r>
          </w:p>
        </w:tc>
        <w:tc>
          <w:tcPr>
            <w:tcW w:w="964" w:type="dxa"/>
            <w:vMerge/>
          </w:tcPr>
          <w:p/>
        </w:tc>
      </w:tr>
      <w:tr>
        <w:trPr>
          <w:cantSplit/>
        </w:trPr>
        <w:tc>
          <w:tcPr>
            <w:tcW w:w="1701" w:type="dxa"/>
            <w:vAlign w:val="center"/>
          </w:tcPr>
          <w:p>
            <w:pPr>
              <w:pStyle w:val="27"/>
            </w:pPr>
            <w:r>
              <w:t>合  计</w:t>
            </w:r>
          </w:p>
        </w:tc>
        <w:tc>
          <w:tcPr>
            <w:tcW w:w="964" w:type="dxa"/>
            <w:tcBorders>
              <w:left w:val="single" w:sz="6" w:space="0" w:color="000000"/>
              <w:right w:val="single" w:sz="6" w:space="0" w:color="000000"/>
            </w:tcBorders>
            <w:vAlign w:val="center"/>
          </w:tcPr>
          <w:p>
            <w:pPr>
              <w:pStyle w:val="28"/>
            </w:pPr>
          </w:p>
        </w:tc>
        <w:tc>
          <w:tcPr>
            <w:tcW w:w="1134" w:type="dxa"/>
            <w:tcBorders>
              <w:left w:val="single" w:sz="6" w:space="0" w:color="000000"/>
              <w:right w:val="single" w:sz="6" w:space="0" w:color="000000"/>
            </w:tcBorders>
            <w:vAlign w:val="center"/>
          </w:tcPr>
          <w:p>
            <w:pPr>
              <w:pStyle w:val="29"/>
            </w:pPr>
          </w:p>
        </w:tc>
        <w:tc>
          <w:tcPr>
            <w:tcW w:w="1134" w:type="dxa"/>
            <w:tcBorders>
              <w:left w:val="single" w:sz="6" w:space="0" w:color="000000"/>
              <w:right w:val="single" w:sz="6" w:space="0" w:color="000000"/>
            </w:tcBorders>
            <w:vAlign w:val="center"/>
          </w:tcPr>
          <w:p>
            <w:pPr>
              <w:pStyle w:val="29"/>
            </w:pPr>
          </w:p>
        </w:tc>
        <w:tc>
          <w:tcPr>
            <w:tcW w:w="709" w:type="dxa"/>
            <w:tcBorders>
              <w:left w:val="single" w:sz="6" w:space="0" w:color="000000"/>
              <w:right w:val="single" w:sz="6" w:space="0" w:color="000000"/>
            </w:tcBorders>
            <w:vAlign w:val="center"/>
          </w:tcPr>
          <w:p>
            <w:pPr>
              <w:pStyle w:val="27"/>
            </w:pPr>
          </w:p>
        </w:tc>
        <w:tc>
          <w:tcPr>
            <w:tcW w:w="850" w:type="dxa"/>
            <w:tcBorders>
              <w:left w:val="single" w:sz="6" w:space="0" w:color="000000"/>
              <w:right w:val="single" w:sz="6" w:space="0" w:color="000000"/>
            </w:tcBorders>
            <w:vAlign w:val="center"/>
          </w:tcPr>
          <w:p>
            <w:pPr>
              <w:pStyle w:val="28"/>
            </w:pPr>
          </w:p>
        </w:tc>
        <w:tc>
          <w:tcPr>
            <w:tcW w:w="850"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vAlign w:val="center"/>
          </w:tcPr>
          <w:p>
            <w:pPr>
              <w:pStyle w:val="28"/>
            </w:pPr>
          </w:p>
        </w:tc>
      </w:tr>
      <w:tr>
        <w:trPr>
          <w:cantSplit/>
        </w:trPr>
        <w:tc>
          <w:tcPr>
            <w:tcW w:w="1701" w:type="dxa"/>
            <w:vAlign w:val="center"/>
          </w:tcPr>
          <w:p>
            <w:pPr>
              <w:pStyle w:val="27"/>
            </w:pPr>
            <w:r>
              <w:t>唐山市丰南区</w:t>
            </w:r>
            <w:r>
              <w:rPr>
                <w:rFonts w:hint="eastAsia"/>
                <w:lang w:eastAsia="zh-CN"/>
              </w:rPr>
              <w:t>全称</w:t>
            </w:r>
            <w:r>
              <w:t>本级小计</w:t>
            </w:r>
          </w:p>
        </w:tc>
        <w:tc>
          <w:tcPr>
            <w:tcW w:w="964" w:type="dxa"/>
            <w:tcBorders>
              <w:left w:val="single" w:sz="6" w:space="0" w:color="000000"/>
              <w:right w:val="single" w:sz="6" w:space="0" w:color="000000"/>
            </w:tcBorders>
            <w:vAlign w:val="center"/>
          </w:tcPr>
          <w:p>
            <w:pPr>
              <w:pStyle w:val="28"/>
            </w:pPr>
          </w:p>
        </w:tc>
        <w:tc>
          <w:tcPr>
            <w:tcW w:w="1134" w:type="dxa"/>
            <w:tcBorders>
              <w:left w:val="single" w:sz="6" w:space="0" w:color="000000"/>
              <w:right w:val="single" w:sz="6" w:space="0" w:color="000000"/>
            </w:tcBorders>
            <w:vAlign w:val="center"/>
          </w:tcPr>
          <w:p>
            <w:pPr>
              <w:pStyle w:val="29"/>
            </w:pPr>
          </w:p>
        </w:tc>
        <w:tc>
          <w:tcPr>
            <w:tcW w:w="1134" w:type="dxa"/>
            <w:tcBorders>
              <w:left w:val="single" w:sz="6" w:space="0" w:color="000000"/>
              <w:right w:val="single" w:sz="6" w:space="0" w:color="000000"/>
            </w:tcBorders>
            <w:vAlign w:val="center"/>
          </w:tcPr>
          <w:p>
            <w:pPr>
              <w:pStyle w:val="29"/>
            </w:pPr>
          </w:p>
        </w:tc>
        <w:tc>
          <w:tcPr>
            <w:tcW w:w="709" w:type="dxa"/>
            <w:tcBorders>
              <w:left w:val="single" w:sz="6" w:space="0" w:color="000000"/>
              <w:right w:val="single" w:sz="6" w:space="0" w:color="000000"/>
            </w:tcBorders>
            <w:vAlign w:val="center"/>
          </w:tcPr>
          <w:p>
            <w:pPr>
              <w:pStyle w:val="27"/>
            </w:pPr>
          </w:p>
        </w:tc>
        <w:tc>
          <w:tcPr>
            <w:tcW w:w="850" w:type="dxa"/>
            <w:tcBorders>
              <w:left w:val="single" w:sz="6" w:space="0" w:color="000000"/>
              <w:right w:val="single" w:sz="6" w:space="0" w:color="000000"/>
            </w:tcBorders>
            <w:vAlign w:val="center"/>
          </w:tcPr>
          <w:p>
            <w:pPr>
              <w:pStyle w:val="28"/>
            </w:pPr>
          </w:p>
        </w:tc>
        <w:tc>
          <w:tcPr>
            <w:tcW w:w="850"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tcBorders>
              <w:left w:val="single" w:sz="6" w:space="0" w:color="000000"/>
              <w:right w:val="single" w:sz="6" w:space="0" w:color="000000"/>
            </w:tcBorders>
            <w:vAlign w:val="center"/>
          </w:tcPr>
          <w:p>
            <w:pPr>
              <w:pStyle w:val="28"/>
            </w:pPr>
          </w:p>
        </w:tc>
        <w:tc>
          <w:tcPr>
            <w:tcW w:w="964" w:type="dxa"/>
            <w:vAlign w:val="center"/>
          </w:tcPr>
          <w:p>
            <w:pPr>
              <w:pStyle w:val="28"/>
            </w:pPr>
          </w:p>
        </w:tc>
      </w:tr>
      <w:tr>
        <w:trPr>
          <w:cantSplit/>
        </w:trPr>
        <w:tc>
          <w:tcPr>
            <w:tcW w:w="1701" w:type="dxa"/>
            <w:vAlign w:val="center"/>
          </w:tcPr>
          <w:p>
            <w:pPr>
              <w:pStyle w:val="25"/>
            </w:pPr>
            <w:r>
              <w:t>重点项目建设专项经费</w:t>
            </w:r>
          </w:p>
        </w:tc>
        <w:tc>
          <w:tcPr>
            <w:tcW w:w="96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709" w:type="dxa"/>
            <w:tcBorders>
              <w:left w:val="single" w:sz="6" w:space="0" w:color="000000"/>
              <w:right w:val="single" w:sz="6" w:space="0" w:color="000000"/>
            </w:tcBorders>
            <w:vAlign w:val="center"/>
          </w:tcPr>
          <w:p>
            <w:pPr>
              <w:pStyle w:val="26"/>
            </w:pPr>
          </w:p>
        </w:tc>
        <w:tc>
          <w:tcPr>
            <w:tcW w:w="850" w:type="dxa"/>
            <w:tcBorders>
              <w:left w:val="single" w:sz="6" w:space="0" w:color="000000"/>
              <w:right w:val="single" w:sz="6" w:space="0" w:color="000000"/>
            </w:tcBorders>
            <w:vAlign w:val="center"/>
          </w:tcPr>
          <w:p>
            <w:pPr>
              <w:pStyle w:val="24"/>
            </w:pPr>
          </w:p>
        </w:tc>
        <w:tc>
          <w:tcPr>
            <w:tcW w:w="850"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4"/>
            </w:pPr>
          </w:p>
        </w:tc>
        <w:tc>
          <w:tcPr>
            <w:tcW w:w="964" w:type="dxa"/>
            <w:vAlign w:val="center"/>
          </w:tcPr>
          <w:p>
            <w:pPr>
              <w:pStyle w:val="24"/>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8" w:name="_Toc_3_3_0000000018"/>
      <w:r>
        <w:rPr>
          <w:rFonts w:ascii="黑体" w:eastAsia="黑体" w:cs="黑体" w:hAnsi="黑体"/>
          <w:color w:val="000000"/>
          <w:sz w:val="32"/>
        </w:rPr>
        <w:t>七、国有资产信息</w:t>
      </w:r>
      <w:bookmarkEnd w:id="8"/>
    </w:p>
    <w:p>
      <w:pPr>
        <w:pStyle w:val="38"/>
        <w:rPr>
          <w:rFonts w:hint="eastAsia"/>
        </w:rPr>
      </w:pPr>
      <w:r>
        <w:rPr>
          <w:rFonts w:hint="eastAsia"/>
        </w:rPr>
        <w:t>1、丰南区委党校2015年国有资产2781475.5元，土地价值130000元，房屋及构筑物1520000元，电脑、电视、空调等通用设备503817.5元，图书价值20000元，小汽车两辆，价值328800元，家具、用具及其他278858元。</w:t>
      </w:r>
    </w:p>
    <w:p>
      <w:pPr>
        <w:pStyle w:val="38"/>
        <w:rPr>
          <w:rFonts w:hint="eastAsia"/>
        </w:rPr>
      </w:pPr>
      <w:r>
        <w:rPr>
          <w:rFonts w:hint="eastAsia"/>
        </w:rPr>
        <w:t>2、2016年拟购置资产0元</w:t>
      </w:r>
    </w:p>
    <w:p>
      <w:pPr>
        <w:jc w:val="center"/>
        <w:rPr>
          <w:rFonts w:ascii="方正小标宋_GBK" w:eastAsia="方正小标宋_GBK" w:cs="方正小标宋_GBK" w:hAnsi="方正小标宋_GBK"/>
          <w:color w:val="000000"/>
          <w:sz w:val="36"/>
        </w:rPr>
      </w:pP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lang w:eastAsia="zh-CN"/>
              </w:rPr>
            </w:pPr>
            <w:r>
              <w:rPr>
                <w:rFonts w:eastAsia="方正仿宋_GBK"/>
                <w:color w:val="000000"/>
                <w:sz w:val="28"/>
              </w:rPr>
              <w:t>中国共产党唐山市丰南区委员会党校</w:t>
            </w:r>
          </w:p>
        </w:tc>
        <w:tc>
          <w:tcPr>
            <w:tcW w:w="5669" w:type="dxa"/>
            <w:gridSpan w:val="2"/>
            <w:tcBorders>
              <w:top w:val="single" w:sz="6" w:space="0" w:color="FFFFFF"/>
              <w:left w:val="single" w:sz="6" w:space="0" w:color="FFFFFF"/>
              <w:right w:val="single" w:sz="6" w:space="0" w:color="FFFFFF"/>
            </w:tcBorders>
            <w:vAlign w:val="center"/>
          </w:tcPr>
          <w:p>
            <w:pPr>
              <w:pStyle w:val="20"/>
            </w:pPr>
            <w:r>
              <w:t>截止时间：2016-12-31</w:t>
            </w:r>
          </w:p>
        </w:tc>
      </w:tr>
      <w:tr>
        <w:trPr>
          <w:tblHeader/>
        </w:trPr>
        <w:tc>
          <w:tcPr>
            <w:tcW w:w="7370" w:type="dxa"/>
            <w:vAlign w:val="center"/>
          </w:tcPr>
          <w:p>
            <w:pPr>
              <w:pStyle w:val="23"/>
            </w:pPr>
            <w:r>
              <w:t>项   目</w:t>
            </w:r>
          </w:p>
        </w:tc>
        <w:tc>
          <w:tcPr>
            <w:tcW w:w="2835" w:type="dxa"/>
            <w:tcBorders>
              <w:left w:val="single" w:sz="6" w:space="0" w:color="000000"/>
              <w:right w:val="single" w:sz="6" w:space="0" w:color="000000"/>
            </w:tcBorders>
            <w:vAlign w:val="center"/>
          </w:tcPr>
          <w:p>
            <w:pPr>
              <w:pStyle w:val="23"/>
            </w:pPr>
            <w:r>
              <w:t>数量</w:t>
            </w:r>
          </w:p>
        </w:tc>
        <w:tc>
          <w:tcPr>
            <w:tcW w:w="2835" w:type="dxa"/>
            <w:vAlign w:val="center"/>
          </w:tcPr>
          <w:p>
            <w:pPr>
              <w:pStyle w:val="23"/>
            </w:pPr>
            <w:r>
              <w:t>价值（金额单位：万元）</w:t>
            </w:r>
          </w:p>
        </w:tc>
      </w:tr>
      <w:tr>
        <w:tc>
          <w:tcPr>
            <w:tcW w:w="7370" w:type="dxa"/>
            <w:vAlign w:val="center"/>
          </w:tcPr>
          <w:p>
            <w:pPr>
              <w:pStyle w:val="25"/>
            </w:pPr>
            <w:r>
              <w:t>资产总额</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r>
              <w:t>278.15</w:t>
            </w:r>
          </w:p>
        </w:tc>
      </w:tr>
      <w:tr>
        <w:tc>
          <w:tcPr>
            <w:tcW w:w="7370" w:type="dxa"/>
            <w:vAlign w:val="center"/>
          </w:tcPr>
          <w:p>
            <w:pPr>
              <w:pStyle w:val="25"/>
            </w:pPr>
            <w:r>
              <w:t>1、房屋（平方米）</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r>
              <w:t>165</w:t>
            </w:r>
          </w:p>
        </w:tc>
      </w:tr>
      <w:tr>
        <w:tc>
          <w:tcPr>
            <w:tcW w:w="7370" w:type="dxa"/>
            <w:vAlign w:val="center"/>
          </w:tcPr>
          <w:p>
            <w:pPr>
              <w:pStyle w:val="25"/>
            </w:pPr>
            <w:r>
              <w:t>　　其中：办公用房（平方米）</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2、车辆（台、辆）</w:t>
            </w:r>
          </w:p>
        </w:tc>
        <w:tc>
          <w:tcPr>
            <w:tcW w:w="2835" w:type="dxa"/>
            <w:tcBorders>
              <w:left w:val="single" w:sz="6" w:space="0" w:color="000000"/>
              <w:right w:val="single" w:sz="6" w:space="0" w:color="000000"/>
            </w:tcBorders>
            <w:vAlign w:val="center"/>
          </w:tcPr>
          <w:p>
            <w:pPr>
              <w:pStyle w:val="26"/>
            </w:pPr>
            <w:r>
              <w:t>2</w:t>
            </w:r>
          </w:p>
        </w:tc>
        <w:tc>
          <w:tcPr>
            <w:tcW w:w="2835" w:type="dxa"/>
            <w:vAlign w:val="center"/>
          </w:tcPr>
          <w:p>
            <w:pPr>
              <w:pStyle w:val="24"/>
            </w:pPr>
            <w:r>
              <w:t>32.88</w:t>
            </w:r>
          </w:p>
        </w:tc>
      </w:tr>
      <w:tr>
        <w:tc>
          <w:tcPr>
            <w:tcW w:w="7370" w:type="dxa"/>
            <w:vAlign w:val="center"/>
          </w:tcPr>
          <w:p>
            <w:pPr>
              <w:pStyle w:val="25"/>
            </w:pPr>
            <w:r>
              <w:t>3、单价在20万元以上的设备</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4、其他固定资产</w:t>
            </w:r>
          </w:p>
        </w:tc>
        <w:tc>
          <w:tcPr>
            <w:tcW w:w="2835" w:type="dxa"/>
            <w:tcBorders>
              <w:left w:val="single" w:sz="6" w:space="0" w:color="000000"/>
              <w:right w:val="single" w:sz="6" w:space="0" w:color="000000"/>
            </w:tcBorders>
            <w:vAlign w:val="center"/>
          </w:tcPr>
          <w:p>
            <w:pPr>
              <w:pStyle w:val="26"/>
            </w:pPr>
            <w:r>
              <w:t>135</w:t>
            </w:r>
          </w:p>
        </w:tc>
        <w:tc>
          <w:tcPr>
            <w:tcW w:w="2835" w:type="dxa"/>
            <w:vAlign w:val="center"/>
          </w:tcPr>
          <w:p>
            <w:pPr>
              <w:pStyle w:val="24"/>
              <w:numPr>
                <w:ilvl w:val="0"/>
                <w:numId w:val="1"/>
              </w:numPr>
            </w:pPr>
            <w:r>
              <w:t>80.27</w:t>
            </w:r>
          </w:p>
        </w:tc>
      </w:tr>
    </w:tbl>
    <w:p>
      <w:pPr>
        <w:ind w:firstLine="640"/>
      </w:pPr>
      <w:r>
        <w:rPr>
          <w:rFonts w:eastAsia="方正仿宋_GBK"/>
          <w:color w:val="000000"/>
          <w:sz w:val="32"/>
        </w:rPr>
        <w:t xml:space="preserve"> </w:t>
      </w:r>
    </w:p>
    <w:p>
      <w:pPr>
        <w:spacing w:before="10" w:after="10"/>
        <w:ind w:firstLine="640"/>
        <w:outlineLvl w:val="2"/>
      </w:pPr>
      <w:bookmarkStart w:id="9" w:name="_Toc_3_3_0000000019"/>
      <w:r>
        <w:rPr>
          <w:rFonts w:ascii="黑体" w:eastAsia="黑体" w:cs="黑体" w:hAnsi="黑体"/>
          <w:color w:val="000000"/>
          <w:sz w:val="32"/>
        </w:rPr>
        <w:t>八、名词解释</w:t>
      </w:r>
      <w:bookmarkEnd w:id="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0" w:name="_Toc_3_3_0000000020"/>
      <w:r>
        <w:rPr>
          <w:rFonts w:ascii="黑体" w:eastAsia="黑体" w:cs="黑体" w:hAnsi="黑体"/>
          <w:color w:val="000000"/>
          <w:sz w:val="32"/>
        </w:rPr>
        <w:t>九、其他需要说明的事项</w:t>
      </w:r>
      <w:bookmarkEnd w:id="10"/>
    </w:p>
    <w:p>
      <w:pPr>
        <w:spacing w:line="500" w:lineRule="exact"/>
        <w:ind w:firstLine="560"/>
        <w:rPr>
          <w:rFonts w:eastAsia="宋体"/>
          <w:lang w:eastAsia="zh-CN"/>
        </w:rPr>
      </w:pPr>
      <w:r>
        <w:rPr>
          <w:rFonts w:eastAsia="方正仿宋_GBK"/>
          <w:color w:val="000000"/>
          <w:sz w:val="28"/>
        </w:rPr>
        <w:t>我部门无其他需要说明的事项。</w:t>
      </w:r>
    </w:p>
    <w:sectPr>
      <w:footerReference w:type="default" r:id="rId2"/>
      <w:footerReference w:type="even" r:id="rId3"/>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Arial Unicode MS"/>
    <w:panose1 w:val="00000000000000000000"/>
    <w:charset w:val="86"/>
    <w:family w:val="roman"/>
    <w:pitch w:val="variable"/>
    <w:sig w:usb0="00000000" w:usb1="00000000" w:usb2="00000000" w:usb3="00000000" w:csb0="00040000" w:csb1="00000000"/>
  </w:font>
  <w:font w:name="方正小标宋_GBK">
    <w:altName w:val="Arial Unicode MS"/>
    <w:panose1 w:val="03000509000000000000"/>
    <w:charset w:val="86"/>
    <w:family w:val="script"/>
    <w:pitch w:val="variable"/>
    <w:sig w:usb0="00000001" w:usb1="080E0000" w:usb2="00000010" w:usb3="00000000" w:csb0="00040000" w:csb1="00000000"/>
  </w:font>
  <w:font w:name="方正仿宋_GBK">
    <w:altName w:val="Arial Unicode MS"/>
    <w:panose1 w:val="03000509000000000000"/>
    <w:charset w:val="86"/>
    <w:family w:val="script"/>
    <w:pitch w:val="variable"/>
    <w:sig w:usb0="00000001" w:usb1="080E0000" w:usb2="00000010" w:usb3="00000000" w:csb0="00040000" w:csb1="00000000"/>
  </w:font>
  <w:font w:name="楷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方正书宋_GBK">
    <w:altName w:val="微软雅黑"/>
    <w:panose1 w:val="00000000000000000000"/>
    <w:charset w:val="86"/>
    <w:family w:val="roman"/>
    <w:pitch w:val="variable"/>
    <w:sig w:usb0="00000000" w:usb1="00000000" w:usb2="00000010" w:usb3="00000000" w:csb0="00040000" w:csb1="00000000"/>
  </w:font>
  <w:font w:name="微软雅黑">
    <w:panose1 w:val="00000000000000000000"/>
    <w:charset w:val="00"/>
    <w:family w:val="auto"/>
    <w:pitch w:val="variable"/>
  </w:font>
  <w:font w:name="雅黑">
    <w:altName w:val="宋体"/>
    <w:panose1 w:val="00000000000000000000"/>
    <w:charset w:val="00"/>
    <w:family w:val="auto"/>
    <w:pitch w:val="variabl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0000000000000000000"/>
    <w:charset w:val="00"/>
    <w:family w:val="auto"/>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50B41A2"/>
    <w:multiLevelType w:val="hybridMultilevel"/>
    <w:tmpl w:val="00000000"/>
    <w:lvl w:ilvl="0">
      <w:start w:val="1"/>
      <w:numFmt w:val="bullet"/>
      <w:lvlRestart w:val="0"/>
      <w:lvlText w:val=""/>
      <w:lvlJc w:val="left"/>
      <w:pPr>
        <w:ind w:left="420" w:hanging="420"/>
      </w:pPr>
      <w:rPr>
        <w:rFonts w:ascii="Wingdings" w:hAnsi="Wingdings" w:hint="default"/>
      </w:rPr>
    </w:lvl>
    <w:lvl w:ilvl="1">
      <w:start w:val="1"/>
      <w:numFmt w:val="bullet"/>
      <w:lvlRestart w:val="0"/>
      <w:lvlText w:val=""/>
      <w:lvlJc w:val="left"/>
      <w:pPr>
        <w:ind w:left="840" w:hanging="420"/>
      </w:pPr>
      <w:rPr>
        <w:rFonts w:ascii="Wingdings" w:hAnsi="Wingdings" w:hint="default"/>
      </w:rPr>
    </w:lvl>
    <w:lvl w:ilvl="2">
      <w:start w:val="1"/>
      <w:numFmt w:val="bullet"/>
      <w:lvlRestart w:val="0"/>
      <w:lvlText w:val=""/>
      <w:lvlJc w:val="left"/>
      <w:pPr>
        <w:ind w:left="1260" w:hanging="420"/>
      </w:pPr>
      <w:rPr>
        <w:rFonts w:ascii="Wingdings" w:hAnsi="Wingdings" w:hint="default"/>
      </w:rPr>
    </w:lvl>
    <w:lvl w:ilvl="3">
      <w:start w:val="1"/>
      <w:numFmt w:val="bullet"/>
      <w:lvlRestart w:val="0"/>
      <w:lvlText w:val=""/>
      <w:lvlJc w:val="left"/>
      <w:pPr>
        <w:ind w:left="1680" w:hanging="420"/>
      </w:pPr>
      <w:rPr>
        <w:rFonts w:ascii="Wingdings" w:hAnsi="Wingdings" w:hint="default"/>
      </w:rPr>
    </w:lvl>
    <w:lvl w:ilvl="4">
      <w:start w:val="1"/>
      <w:numFmt w:val="bullet"/>
      <w:lvlRestart w:val="0"/>
      <w:lvlText w:val=""/>
      <w:lvlJc w:val="left"/>
      <w:pPr>
        <w:ind w:left="2100" w:hanging="420"/>
      </w:pPr>
      <w:rPr>
        <w:rFonts w:ascii="Wingdings" w:hAnsi="Wingdings" w:hint="default"/>
      </w:rPr>
    </w:lvl>
    <w:lvl w:ilvl="5">
      <w:start w:val="1"/>
      <w:numFmt w:val="bullet"/>
      <w:lvlRestart w:val="0"/>
      <w:lvlText w:val=""/>
      <w:lvlJc w:val="left"/>
      <w:pPr>
        <w:ind w:left="2520" w:hanging="420"/>
      </w:pPr>
      <w:rPr>
        <w:rFonts w:ascii="Wingdings" w:hAnsi="Wingdings" w:hint="default"/>
      </w:rPr>
    </w:lvl>
    <w:lvl w:ilvl="6">
      <w:start w:val="1"/>
      <w:numFmt w:val="bullet"/>
      <w:lvlRestart w:val="0"/>
      <w:lvlText w:val=""/>
      <w:lvlJc w:val="left"/>
      <w:pPr>
        <w:ind w:left="2940" w:hanging="420"/>
      </w:pPr>
      <w:rPr>
        <w:rFonts w:ascii="Wingdings" w:hAnsi="Wingdings" w:hint="default"/>
      </w:rPr>
    </w:lvl>
    <w:lvl w:ilvl="7">
      <w:start w:val="1"/>
      <w:numFmt w:val="bullet"/>
      <w:lvlRestart w:val="0"/>
      <w:lvlText w:val=""/>
      <w:lvlJc w:val="left"/>
      <w:pPr>
        <w:ind w:left="3360" w:hanging="420"/>
      </w:pPr>
      <w:rPr>
        <w:rFonts w:ascii="Wingdings" w:hAnsi="Wingdings" w:hint="default"/>
      </w:rPr>
    </w:lvl>
    <w:lvl w:ilvl="8">
      <w:start w:val="1"/>
      <w:numFmt w:val="bullet"/>
      <w:lvlRestart w:val="0"/>
      <w:lvlText w:val=""/>
      <w:lvlJc w:val="left"/>
      <w:pPr>
        <w:ind w:left="3780" w:hanging="42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 w:type="paragraph" w:styleId="45">
    <w:name w:val="Normal (Web)"/>
    <w:basedOn w:val="0"/>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Calibri" w:eastAsia="宋体" w:cs="Times New Roman" w:hAnsi="Calibri"/>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rPr>
  </w:style>
  <w:style w:type="character" w:customStyle="1" w:styleId="46">
    <w:name w:val="15"/>
    <w:basedOn w:val="0"/>
    <w:rPr>
      <w:rFonts w:ascii="Times New Roman" w:hAnsi="Times New Roman"/>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3816525-241F-40A6-AF4F-779278A3AE9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1135</TotalTime>
  <Application>Yozo_Office27021597764231179</Application>
  <Pages>10</Pages>
  <Words>0</Words>
  <Characters>4388</Characters>
  <Lines>0</Lines>
  <Paragraphs>92</Paragraphs>
  <CharactersWithSpaces>5851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fndx2019</cp:lastModifiedBy>
  <cp:revision>5</cp:revision>
  <dcterms:created xsi:type="dcterms:W3CDTF">2024-02-19T16:18:00Z</dcterms:created>
  <dcterms:modified xsi:type="dcterms:W3CDTF">2024-11-19T03:05:55Z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