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sz w:val="72"/>
          <w:szCs w:val="72"/>
        </w:rPr>
      </w:pPr>
      <w:r>
        <w:rPr>
          <w:rFonts w:ascii="宋体" w:eastAsia="宋体" w:hint="eastAsia"/>
          <w:sz w:val="72"/>
          <w:szCs w:val="72"/>
        </w:rPr>
        <w:t>2019年丰南区审计局部门预算公开</w:t>
      </w: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jc w:val="center"/>
        <w:rPr>
          <w:rFonts w:ascii="宋体" w:eastAsia="宋体"/>
          <w:sz w:val="32"/>
          <w:szCs w:val="32"/>
        </w:rPr>
      </w:pPr>
    </w:p>
    <w:p>
      <w:pPr>
        <w:ind w:firstLineChars="700" w:firstLine="3080"/>
        <w:rPr>
          <w:rFonts w:ascii="宋体" w:eastAsia="宋体"/>
          <w:sz w:val="44"/>
          <w:szCs w:val="44"/>
        </w:rPr>
      </w:pPr>
      <w:r>
        <w:rPr>
          <w:rFonts w:ascii="宋体" w:eastAsia="宋体"/>
          <w:sz w:val="44"/>
          <w:szCs w:val="44"/>
        </w:rPr>
        <w:t>201</w:t>
      </w:r>
      <w:r>
        <w:rPr>
          <w:rFonts w:ascii="宋体" w:eastAsia="宋体" w:hint="eastAsia"/>
          <w:sz w:val="44"/>
          <w:szCs w:val="44"/>
        </w:rPr>
        <w:t>9年</w:t>
      </w:r>
      <w:r>
        <w:rPr>
          <w:rFonts w:ascii="宋体" w:eastAsia="宋体"/>
          <w:sz w:val="44"/>
          <w:szCs w:val="44"/>
        </w:rPr>
        <w:t>3</w:t>
      </w:r>
      <w:r>
        <w:rPr>
          <w:rFonts w:ascii="宋体" w:eastAsia="宋体" w:hint="eastAsia"/>
          <w:sz w:val="44"/>
          <w:szCs w:val="44"/>
        </w:rPr>
        <w:t>月</w:t>
      </w:r>
    </w:p>
    <w:p/>
    <w:p/>
    <w:p/>
    <w:p/>
    <w:p/>
    <w:p/>
    <w:p/>
    <w:p/>
    <w:p>
      <w:pPr>
        <w:rPr>
          <w:rFonts w:hint="eastAsia"/>
        </w:rPr>
      </w:pPr>
    </w:p>
    <w:p>
      <w:pPr>
        <w:jc w:val="center"/>
        <w:rPr>
          <w:rFonts w:ascii="宋体" w:eastAsia="宋体"/>
          <w:b/>
          <w:sz w:val="44"/>
          <w:szCs w:val="44"/>
        </w:rPr>
      </w:pPr>
      <w:r>
        <w:rPr>
          <w:rFonts w:ascii="宋体" w:eastAsia="宋体" w:hint="eastAsia"/>
          <w:b/>
          <w:sz w:val="44"/>
          <w:szCs w:val="44"/>
        </w:rPr>
        <w:t>2019年部门预算公开目录</w:t>
      </w:r>
    </w:p>
    <w:p>
      <w:pPr>
        <w:jc w:val="center"/>
        <w:rPr>
          <w:rFonts w:ascii="宋体" w:eastAsia="宋体"/>
          <w:b/>
          <w:sz w:val="44"/>
          <w:szCs w:val="44"/>
        </w:rPr>
      </w:pPr>
    </w:p>
    <w:p>
      <w:pPr>
        <w:jc w:val="center"/>
        <w:rPr>
          <w:rFonts w:ascii="黑体" w:eastAsia="黑体"/>
          <w:b/>
          <w:sz w:val="32"/>
          <w:szCs w:val="32"/>
        </w:rPr>
      </w:pPr>
      <w:r>
        <w:rPr>
          <w:rFonts w:ascii="黑体" w:eastAsia="黑体" w:hint="eastAsia"/>
          <w:b/>
          <w:sz w:val="32"/>
          <w:szCs w:val="32"/>
        </w:rPr>
        <w:t>第一部分  2019年部门预算公开有关事项的说明</w:t>
      </w:r>
    </w:p>
    <w:p>
      <w:pPr>
        <w:ind w:firstLineChars="150" w:firstLine="480"/>
        <w:rPr>
          <w:rFonts w:ascii="宋体" w:eastAsia="宋体"/>
          <w:sz w:val="32"/>
          <w:szCs w:val="32"/>
        </w:rPr>
      </w:pPr>
      <w:r>
        <w:rPr>
          <w:rFonts w:ascii="宋体" w:eastAsia="宋体"/>
          <w:sz w:val="32"/>
          <w:szCs w:val="32"/>
        </w:rPr>
        <w:t xml:space="preserve"> </w:t>
      </w:r>
      <w:r>
        <w:rPr>
          <w:rFonts w:ascii="宋体" w:eastAsia="宋体" w:hint="eastAsia"/>
          <w:sz w:val="32"/>
          <w:szCs w:val="32"/>
        </w:rPr>
        <w:t>一、部门职责及机构设置情况</w:t>
      </w:r>
    </w:p>
    <w:p>
      <w:pPr>
        <w:ind w:firstLineChars="200" w:firstLine="640"/>
        <w:rPr>
          <w:rFonts w:ascii="宋体" w:eastAsia="宋体"/>
          <w:sz w:val="32"/>
          <w:szCs w:val="32"/>
        </w:rPr>
      </w:pPr>
      <w:r>
        <w:rPr>
          <w:rFonts w:ascii="宋体" w:eastAsia="宋体" w:hint="eastAsia"/>
          <w:sz w:val="32"/>
          <w:szCs w:val="32"/>
        </w:rPr>
        <w:t>二、部门预算安排的总体情况</w:t>
      </w:r>
    </w:p>
    <w:p>
      <w:pPr>
        <w:rPr>
          <w:rFonts w:ascii="宋体" w:eastAsia="宋体"/>
          <w:sz w:val="32"/>
          <w:szCs w:val="32"/>
        </w:rPr>
      </w:pPr>
      <w:r>
        <w:rPr>
          <w:rFonts w:ascii="宋体" w:eastAsia="宋体"/>
          <w:sz w:val="32"/>
          <w:szCs w:val="32"/>
        </w:rPr>
        <w:t xml:space="preserve"> </w:t>
      </w:r>
      <w:r>
        <w:rPr>
          <w:rFonts w:ascii="宋体" w:eastAsia="宋体" w:hint="eastAsia"/>
          <w:sz w:val="32"/>
          <w:szCs w:val="32"/>
        </w:rPr>
        <w:t xml:space="preserve">   三、机关运行经费安排情况</w:t>
      </w:r>
    </w:p>
    <w:p>
      <w:pPr>
        <w:ind w:firstLineChars="200" w:firstLine="640"/>
        <w:rPr>
          <w:rFonts w:ascii="宋体" w:eastAsia="宋体"/>
          <w:sz w:val="32"/>
          <w:szCs w:val="32"/>
        </w:rPr>
      </w:pPr>
      <w:r>
        <w:rPr>
          <w:rFonts w:ascii="宋体" w:eastAsia="宋体" w:hint="eastAsia"/>
          <w:sz w:val="32"/>
          <w:szCs w:val="32"/>
        </w:rPr>
        <w:t>四、财政拨款</w:t>
      </w:r>
      <w:r>
        <w:rPr>
          <w:rFonts w:ascii="宋体" w:eastAsia="宋体"/>
          <w:sz w:val="32"/>
          <w:szCs w:val="32"/>
        </w:rPr>
        <w:t>“</w:t>
      </w:r>
      <w:r>
        <w:rPr>
          <w:rFonts w:ascii="宋体" w:eastAsia="宋体" w:hint="eastAsia"/>
          <w:sz w:val="32"/>
          <w:szCs w:val="32"/>
        </w:rPr>
        <w:t>三公</w:t>
      </w:r>
      <w:r>
        <w:rPr>
          <w:rFonts w:ascii="宋体" w:eastAsia="宋体"/>
          <w:sz w:val="32"/>
          <w:szCs w:val="32"/>
        </w:rPr>
        <w:t>”</w:t>
      </w:r>
      <w:r>
        <w:rPr>
          <w:rFonts w:ascii="宋体" w:eastAsia="宋体" w:hint="eastAsia"/>
          <w:sz w:val="32"/>
          <w:szCs w:val="32"/>
        </w:rPr>
        <w:t>经费预算情况及增减变化原因</w:t>
      </w:r>
    </w:p>
    <w:p>
      <w:pPr>
        <w:ind w:firstLineChars="200" w:firstLine="640"/>
        <w:rPr>
          <w:rFonts w:ascii="宋体" w:eastAsia="宋体"/>
          <w:sz w:val="32"/>
          <w:szCs w:val="32"/>
        </w:rPr>
      </w:pPr>
      <w:r>
        <w:rPr>
          <w:rFonts w:ascii="宋体" w:eastAsia="宋体" w:hint="eastAsia"/>
          <w:sz w:val="32"/>
          <w:szCs w:val="32"/>
        </w:rPr>
        <w:t>五、绩效预算信息</w:t>
      </w:r>
    </w:p>
    <w:p>
      <w:pPr>
        <w:ind w:firstLineChars="200" w:firstLine="640"/>
        <w:rPr>
          <w:rFonts w:ascii="宋体" w:eastAsia="宋体"/>
          <w:sz w:val="32"/>
          <w:szCs w:val="32"/>
        </w:rPr>
      </w:pPr>
      <w:r>
        <w:rPr>
          <w:rFonts w:ascii="宋体" w:eastAsia="宋体" w:hint="eastAsia"/>
          <w:sz w:val="32"/>
          <w:szCs w:val="32"/>
        </w:rPr>
        <w:t xml:space="preserve">六、政府采购预算情况 </w:t>
      </w:r>
    </w:p>
    <w:p>
      <w:pPr>
        <w:ind w:firstLineChars="200" w:firstLine="640"/>
        <w:rPr>
          <w:rFonts w:ascii="宋体" w:eastAsia="宋体"/>
          <w:sz w:val="32"/>
          <w:szCs w:val="32"/>
        </w:rPr>
      </w:pPr>
      <w:r>
        <w:rPr>
          <w:rFonts w:ascii="宋体" w:eastAsia="宋体" w:hint="eastAsia"/>
          <w:sz w:val="32"/>
          <w:szCs w:val="32"/>
        </w:rPr>
        <w:t>七、国有资产信息</w:t>
      </w:r>
    </w:p>
    <w:p>
      <w:pPr>
        <w:ind w:firstLineChars="200" w:firstLine="640"/>
        <w:rPr>
          <w:rFonts w:ascii="宋体" w:eastAsia="宋体"/>
          <w:sz w:val="32"/>
          <w:szCs w:val="32"/>
        </w:rPr>
      </w:pPr>
      <w:r>
        <w:rPr>
          <w:rFonts w:ascii="宋体" w:eastAsia="宋体" w:hint="eastAsia"/>
          <w:sz w:val="32"/>
          <w:szCs w:val="32"/>
        </w:rPr>
        <w:t>八、名词解释</w:t>
      </w:r>
    </w:p>
    <w:p>
      <w:pPr>
        <w:ind w:firstLineChars="200" w:firstLine="640"/>
        <w:rPr>
          <w:rFonts w:ascii="宋体" w:eastAsia="宋体"/>
          <w:sz w:val="32"/>
          <w:szCs w:val="32"/>
        </w:rPr>
      </w:pPr>
      <w:r>
        <w:rPr>
          <w:rFonts w:ascii="宋体" w:eastAsia="宋体" w:hint="eastAsia"/>
          <w:sz w:val="32"/>
          <w:szCs w:val="32"/>
        </w:rPr>
        <w:t>九、其他需要说明的事项</w:t>
      </w:r>
    </w:p>
    <w:p>
      <w:pPr>
        <w:jc w:val="center"/>
        <w:rPr>
          <w:rFonts w:ascii="黑体" w:eastAsia="黑体"/>
          <w:b/>
          <w:sz w:val="32"/>
          <w:szCs w:val="32"/>
        </w:rPr>
      </w:pPr>
      <w:r>
        <w:rPr>
          <w:rFonts w:ascii="黑体" w:eastAsia="黑体" w:hint="eastAsia"/>
          <w:b/>
          <w:sz w:val="32"/>
          <w:szCs w:val="32"/>
        </w:rPr>
        <w:t>第二部分  2019年部门预算公开报表</w:t>
      </w:r>
    </w:p>
    <w:p>
      <w:pPr>
        <w:rPr>
          <w:rFonts w:ascii="宋体" w:eastAsia="宋体"/>
          <w:sz w:val="32"/>
          <w:szCs w:val="32"/>
        </w:rPr>
      </w:pPr>
      <w:r>
        <w:rPr>
          <w:rFonts w:ascii="宋体" w:eastAsia="宋体"/>
          <w:sz w:val="32"/>
          <w:szCs w:val="32"/>
        </w:rPr>
        <w:t xml:space="preserve">   </w:t>
      </w:r>
      <w:r>
        <w:rPr>
          <w:rFonts w:ascii="宋体" w:eastAsia="宋体" w:hint="eastAsia"/>
          <w:sz w:val="32"/>
          <w:szCs w:val="32"/>
        </w:rPr>
        <w:t xml:space="preserve"> 一、部门预算收支总表</w:t>
      </w:r>
    </w:p>
    <w:p>
      <w:pPr>
        <w:ind w:firstLineChars="200" w:firstLine="640"/>
        <w:rPr>
          <w:rFonts w:ascii="宋体" w:eastAsia="宋体"/>
          <w:sz w:val="32"/>
          <w:szCs w:val="32"/>
        </w:rPr>
      </w:pPr>
      <w:r>
        <w:rPr>
          <w:rFonts w:ascii="宋体" w:eastAsia="宋体" w:hint="eastAsia"/>
          <w:sz w:val="32"/>
          <w:szCs w:val="32"/>
        </w:rPr>
        <w:t>二、部门预算收入总表</w:t>
      </w:r>
    </w:p>
    <w:p>
      <w:pPr>
        <w:ind w:firstLineChars="200" w:firstLine="640"/>
        <w:rPr>
          <w:rFonts w:ascii="宋体" w:eastAsia="宋体"/>
          <w:sz w:val="32"/>
          <w:szCs w:val="32"/>
        </w:rPr>
      </w:pPr>
      <w:r>
        <w:rPr>
          <w:rFonts w:ascii="宋体" w:eastAsia="宋体" w:hint="eastAsia"/>
          <w:sz w:val="32"/>
          <w:szCs w:val="32"/>
        </w:rPr>
        <w:t>三、部门预算支出总表</w:t>
      </w:r>
    </w:p>
    <w:p>
      <w:pPr>
        <w:ind w:firstLineChars="200" w:firstLine="640"/>
        <w:rPr>
          <w:rFonts w:ascii="宋体" w:eastAsia="宋体"/>
          <w:sz w:val="32"/>
          <w:szCs w:val="32"/>
        </w:rPr>
      </w:pPr>
      <w:r>
        <w:rPr>
          <w:rFonts w:ascii="宋体" w:eastAsia="宋体" w:hint="eastAsia"/>
          <w:sz w:val="32"/>
          <w:szCs w:val="32"/>
        </w:rPr>
        <w:t>四、部门预算财政拨款收支总表</w:t>
      </w:r>
    </w:p>
    <w:p>
      <w:pPr>
        <w:ind w:firstLineChars="200" w:firstLine="640"/>
        <w:rPr>
          <w:rFonts w:ascii="宋体" w:eastAsia="宋体"/>
          <w:sz w:val="32"/>
          <w:szCs w:val="32"/>
        </w:rPr>
      </w:pPr>
      <w:r>
        <w:rPr>
          <w:rFonts w:ascii="宋体" w:eastAsia="宋体" w:hint="eastAsia"/>
          <w:sz w:val="32"/>
          <w:szCs w:val="32"/>
        </w:rPr>
        <w:t>五、部门预算一般公共预算财政拨款支出表</w:t>
      </w:r>
    </w:p>
    <w:p>
      <w:pPr>
        <w:ind w:firstLineChars="200" w:firstLine="640"/>
        <w:rPr>
          <w:rFonts w:ascii="宋体" w:eastAsia="宋体"/>
          <w:sz w:val="32"/>
          <w:szCs w:val="32"/>
        </w:rPr>
      </w:pPr>
      <w:r>
        <w:rPr>
          <w:rFonts w:ascii="宋体" w:eastAsia="宋体" w:hint="eastAsia"/>
          <w:sz w:val="32"/>
          <w:szCs w:val="32"/>
        </w:rPr>
        <w:t>六、部门预算一般公共预算财政拨款基本支出表</w:t>
      </w:r>
    </w:p>
    <w:p>
      <w:pPr>
        <w:ind w:firstLineChars="200" w:firstLine="640"/>
        <w:rPr>
          <w:rFonts w:ascii="宋体" w:eastAsia="宋体"/>
          <w:sz w:val="32"/>
          <w:szCs w:val="32"/>
        </w:rPr>
      </w:pPr>
      <w:r>
        <w:rPr>
          <w:rFonts w:ascii="宋体" w:eastAsia="宋体" w:hint="eastAsia"/>
          <w:sz w:val="32"/>
          <w:szCs w:val="32"/>
        </w:rPr>
        <w:t>七、部门预算政府基金预算财政拨款支出表</w:t>
      </w:r>
    </w:p>
    <w:p>
      <w:pPr>
        <w:ind w:firstLineChars="200" w:firstLine="640"/>
        <w:rPr>
          <w:rFonts w:ascii="宋体" w:eastAsia="宋体"/>
          <w:sz w:val="32"/>
          <w:szCs w:val="32"/>
        </w:rPr>
      </w:pPr>
      <w:r>
        <w:rPr>
          <w:rFonts w:ascii="宋体" w:eastAsia="宋体" w:hint="eastAsia"/>
          <w:sz w:val="32"/>
          <w:szCs w:val="32"/>
        </w:rPr>
        <w:t>八、部门预算国有资本经营预算财政拨款支出表</w:t>
      </w:r>
    </w:p>
    <w:p>
      <w:pPr>
        <w:ind w:firstLineChars="200" w:firstLine="640"/>
        <w:rPr>
          <w:rFonts w:ascii="宋体" w:eastAsia="宋体"/>
          <w:sz w:val="32"/>
          <w:szCs w:val="32"/>
        </w:rPr>
      </w:pPr>
      <w:r>
        <w:rPr>
          <w:rFonts w:ascii="宋体" w:eastAsia="宋体" w:hint="eastAsia"/>
          <w:sz w:val="32"/>
          <w:szCs w:val="32"/>
        </w:rPr>
        <w:t>九、部门预算财政拨款“三公”经费支出表</w:t>
      </w:r>
    </w:p>
    <w:p>
      <w:pPr>
        <w:sectPr>
          <w:pgSz w:w="11906" w:h="16838"/>
          <w:pgMar w:top="1440" w:right="1800" w:bottom="1440" w:left="1800" w:header="851" w:footer="992" w:gutter="0"/>
          <w:docGrid w:type="lines" w:linePitch="312" w:charSpace="0"/>
        </w:sectPr>
      </w:pPr>
    </w:p>
    <w:p>
      <w:pPr>
        <w:jc w:val="center"/>
        <w:rPr>
          <w:rFonts w:ascii="宋体" w:eastAsia="宋体"/>
          <w:b/>
          <w:sz w:val="44"/>
          <w:szCs w:val="44"/>
        </w:rPr>
      </w:pPr>
      <w:r>
        <w:rPr>
          <w:rFonts w:ascii="宋体" w:eastAsia="宋体" w:hint="eastAsia"/>
          <w:b/>
          <w:sz w:val="44"/>
          <w:szCs w:val="44"/>
        </w:rPr>
        <w:t>唐山市丰南区审计局</w:t>
      </w:r>
    </w:p>
    <w:p>
      <w:pPr>
        <w:jc w:val="center"/>
        <w:rPr>
          <w:rFonts w:ascii="宋体" w:eastAsia="宋体"/>
          <w:b/>
          <w:sz w:val="44"/>
          <w:szCs w:val="44"/>
        </w:rPr>
      </w:pPr>
      <w:r>
        <w:rPr>
          <w:rFonts w:ascii="宋体" w:eastAsia="宋体"/>
          <w:b/>
          <w:sz w:val="44"/>
          <w:szCs w:val="44"/>
        </w:rPr>
        <w:t>201</w:t>
      </w:r>
      <w:r>
        <w:rPr>
          <w:rFonts w:ascii="宋体" w:eastAsia="宋体" w:hint="eastAsia"/>
          <w:b/>
          <w:sz w:val="44"/>
          <w:szCs w:val="44"/>
        </w:rPr>
        <w:t>9年部门预算公开有关事项的说明</w:t>
      </w:r>
    </w:p>
    <w:p>
      <w:pPr>
        <w:spacing w:line="180" w:lineRule="atLeast"/>
        <w:jc w:val="center"/>
        <w:rPr>
          <w:rFonts w:ascii="宋体" w:eastAsia="宋体"/>
          <w:b/>
          <w:sz w:val="44"/>
          <w:szCs w:val="44"/>
        </w:rPr>
      </w:pPr>
    </w:p>
    <w:p>
      <w:pPr>
        <w:ind w:firstLineChars="200" w:firstLine="640"/>
        <w:rPr>
          <w:rFonts w:ascii="仿宋_GB2312" w:eastAsia="仿宋_GB2312"/>
          <w:sz w:val="32"/>
          <w:szCs w:val="32"/>
        </w:rPr>
      </w:pPr>
      <w:r>
        <w:rPr>
          <w:rFonts w:ascii="仿宋_GB2312" w:eastAsia="仿宋_GB2312" w:hint="eastAsia"/>
          <w:sz w:val="32"/>
          <w:szCs w:val="32"/>
        </w:rPr>
        <w:t>按照《预算法》、《地方预决算公开操作规程》和《河北省省级预算公开办法》规定，现将丰南区审计局2019年部门预算公开如下：</w:t>
      </w:r>
    </w:p>
    <w:p>
      <w:pPr>
        <w:pStyle w:val="18"/>
        <w:numPr>
          <w:ilvl w:val="0"/>
          <w:numId w:val="1"/>
        </w:numPr>
        <w:tabs>
          <w:tab w:val="left" w:pos="5552"/>
          <w:tab w:val="left" w:pos="7323"/>
          <w:tab w:val="left" w:pos="12218"/>
          <w:tab w:val="left" w:pos="14365"/>
          <w:tab w:val="left" w:pos="17759"/>
          <w:tab w:val="left" w:pos="19300"/>
          <w:tab w:val="left" w:pos="20220"/>
        </w:tabs>
        <w:ind w:firstLineChars="0"/>
        <w:rPr>
          <w:rFonts w:ascii="黑体" w:eastAsia="黑体" w:cs="Arial"/>
          <w:color w:val="000000"/>
          <w:kern w:val="0"/>
          <w:sz w:val="32"/>
          <w:szCs w:val="32"/>
        </w:rPr>
      </w:pPr>
      <w:r>
        <w:rPr>
          <w:rFonts w:ascii="黑体" w:eastAsia="黑体" w:cs="Arial" w:hint="eastAsia"/>
          <w:color w:val="000000"/>
          <w:kern w:val="0"/>
          <w:sz w:val="32"/>
          <w:szCs w:val="32"/>
        </w:rPr>
        <w:t>部门职责</w:t>
      </w:r>
      <w:r>
        <w:rPr>
          <w:rFonts w:ascii="黑体" w:eastAsia="黑体" w:cs="Times New Roman" w:hint="eastAsia"/>
          <w:sz w:val="32"/>
          <w:szCs w:val="32"/>
        </w:rPr>
        <w:t>及机构设置情况</w:t>
      </w:r>
    </w:p>
    <w:p>
      <w:pPr>
        <w:tabs>
          <w:tab w:val="left" w:pos="5552"/>
          <w:tab w:val="left" w:pos="7323"/>
          <w:tab w:val="left" w:pos="12218"/>
          <w:tab w:val="left" w:pos="14365"/>
          <w:tab w:val="left" w:pos="17759"/>
          <w:tab w:val="left" w:pos="19300"/>
          <w:tab w:val="left" w:pos="20220"/>
        </w:tabs>
        <w:ind w:firstLineChars="200" w:firstLine="640"/>
        <w:rPr>
          <w:rFonts w:ascii="仿宋_GB2312" w:eastAsia="仿宋_GB2312"/>
          <w:sz w:val="32"/>
          <w:szCs w:val="32"/>
        </w:rPr>
      </w:pPr>
      <w:r>
        <w:rPr>
          <w:rFonts w:ascii="仿宋_GB2312" w:eastAsia="仿宋_GB2312" w:hint="eastAsia"/>
          <w:sz w:val="32"/>
          <w:szCs w:val="32"/>
        </w:rPr>
        <w:t>部门职责：</w:t>
      </w:r>
    </w:p>
    <w:p>
      <w:pPr>
        <w:ind w:firstLineChars="200" w:firstLine="640"/>
        <w:rPr>
          <w:rFonts w:ascii="仿宋_GB2312" w:eastAsia="仿宋_GB2312"/>
          <w:sz w:val="32"/>
          <w:szCs w:val="32"/>
        </w:rPr>
      </w:pPr>
      <w:r>
        <w:rPr>
          <w:rFonts w:ascii="仿宋_GB2312" w:eastAsia="仿宋_GB2312" w:hint="eastAsia"/>
          <w:sz w:val="32"/>
          <w:szCs w:val="32"/>
        </w:rPr>
        <w:t>区审计局是区主管审计工作的职能部门职责，主要是：</w:t>
      </w:r>
    </w:p>
    <w:p>
      <w:pPr>
        <w:ind w:firstLineChars="200" w:firstLine="640"/>
        <w:rPr>
          <w:rFonts w:ascii="仿宋_GB2312" w:eastAsia="仿宋_GB2312"/>
          <w:sz w:val="32"/>
          <w:szCs w:val="32"/>
        </w:rPr>
      </w:pPr>
      <w:r>
        <w:rPr>
          <w:rFonts w:ascii="仿宋_GB2312" w:eastAsia="仿宋_GB2312" w:hint="eastAsia"/>
          <w:sz w:val="32"/>
          <w:szCs w:val="32"/>
        </w:rPr>
        <w:t>1、制定并组织实施全区审计工作的发展规划专业领域审计工作规划和年度审计计划。</w:t>
      </w:r>
    </w:p>
    <w:p>
      <w:pPr>
        <w:ind w:firstLineChars="200" w:firstLine="640"/>
        <w:rPr>
          <w:rFonts w:ascii="仿宋_GB2312" w:eastAsia="仿宋_GB2312"/>
          <w:sz w:val="32"/>
          <w:szCs w:val="32"/>
        </w:rPr>
      </w:pPr>
      <w:r>
        <w:rPr>
          <w:rFonts w:ascii="仿宋_GB2312" w:eastAsia="仿宋_GB2312" w:hint="eastAsia"/>
          <w:sz w:val="32"/>
          <w:szCs w:val="32"/>
        </w:rPr>
        <w:t>2、向区长提出区级年度预算执行和其他财政收支情况的审计结果报告。</w:t>
      </w:r>
    </w:p>
    <w:p>
      <w:pPr>
        <w:ind w:firstLineChars="200" w:firstLine="640"/>
        <w:rPr>
          <w:rFonts w:ascii="仿宋_GB2312" w:eastAsia="仿宋_GB2312"/>
          <w:sz w:val="32"/>
          <w:szCs w:val="32"/>
        </w:rPr>
      </w:pPr>
      <w:r>
        <w:rPr>
          <w:rFonts w:ascii="仿宋_GB2312" w:eastAsia="仿宋_GB2312" w:hint="eastAsia"/>
          <w:sz w:val="32"/>
          <w:szCs w:val="32"/>
        </w:rPr>
        <w:t>3、组织实施对贯彻执行国家财经方针政策和宏观调控措施实施情况的行业审计专项审计和审计调查。</w:t>
      </w:r>
    </w:p>
    <w:p>
      <w:pPr>
        <w:ind w:firstLineChars="200" w:firstLine="640"/>
        <w:rPr>
          <w:rFonts w:ascii="仿宋_GB2312" w:eastAsia="仿宋_GB2312"/>
          <w:sz w:val="32"/>
          <w:szCs w:val="32"/>
        </w:rPr>
      </w:pPr>
      <w:r>
        <w:rPr>
          <w:rFonts w:ascii="仿宋_GB2312" w:eastAsia="仿宋_GB2312" w:hint="eastAsia"/>
          <w:sz w:val="32"/>
          <w:szCs w:val="32"/>
        </w:rPr>
        <w:t>4、依法检查审计决定执行情况，督促纠正和处理审计发现的问题，依法办理被审计单位对审计决定提请行政复议行政诉讼或区政府裁决中的有关事项。</w:t>
      </w:r>
    </w:p>
    <w:p>
      <w:pPr>
        <w:ind w:firstLineChars="200" w:firstLine="640"/>
        <w:rPr>
          <w:rFonts w:ascii="仿宋_GB2312" w:eastAsia="仿宋_GB2312"/>
          <w:sz w:val="32"/>
          <w:szCs w:val="32"/>
        </w:rPr>
      </w:pPr>
      <w:r>
        <w:rPr>
          <w:rFonts w:ascii="仿宋_GB2312" w:eastAsia="仿宋_GB2312" w:hint="eastAsia"/>
          <w:sz w:val="32"/>
          <w:szCs w:val="32"/>
        </w:rPr>
        <w:t>5、指导和监督内部审计工作，检查社会审计机构对依法属于审计监督对象的单位出具相关审计报告。</w:t>
      </w:r>
    </w:p>
    <w:p>
      <w:pPr>
        <w:ind w:firstLineChars="200" w:firstLine="640"/>
        <w:rPr>
          <w:rFonts w:ascii="仿宋_GB2312" w:eastAsia="仿宋_GB2312"/>
          <w:sz w:val="32"/>
          <w:szCs w:val="32"/>
        </w:rPr>
      </w:pPr>
      <w:r>
        <w:rPr>
          <w:rFonts w:ascii="仿宋_GB2312" w:eastAsia="仿宋_GB2312" w:hint="eastAsia"/>
          <w:sz w:val="32"/>
          <w:szCs w:val="32"/>
        </w:rPr>
        <w:t>6、组织审计区政府驻外非经营性机构的财务收支。</w:t>
      </w:r>
    </w:p>
    <w:p>
      <w:pPr>
        <w:ind w:firstLineChars="200" w:firstLine="640"/>
        <w:rPr>
          <w:rFonts w:ascii="仿宋_GB2312" w:eastAsia="仿宋_GB2312"/>
          <w:sz w:val="32"/>
          <w:szCs w:val="32"/>
        </w:rPr>
      </w:pPr>
      <w:r>
        <w:rPr>
          <w:rFonts w:ascii="仿宋_GB2312" w:eastAsia="仿宋_GB2312" w:hint="eastAsia"/>
          <w:sz w:val="32"/>
          <w:szCs w:val="32"/>
        </w:rPr>
        <w:t>7、推广信息技术在审计领域的应用，组织建设审计专业培训；组织开展审计科研和学术交流活动。</w:t>
      </w:r>
    </w:p>
    <w:p>
      <w:pPr>
        <w:ind w:firstLineChars="200" w:firstLine="640"/>
        <w:rPr>
          <w:rFonts w:ascii="仿宋" w:eastAsia="仿宋" w:cs="Times New Roman"/>
          <w:sz w:val="32"/>
          <w:szCs w:val="32"/>
        </w:rPr>
      </w:pPr>
      <w:r>
        <w:rPr>
          <w:rFonts w:ascii="仿宋" w:eastAsia="仿宋" w:cs="Times New Roman" w:hint="eastAsia"/>
          <w:sz w:val="32"/>
          <w:szCs w:val="32"/>
        </w:rPr>
        <w:t>机构设置：</w:t>
      </w:r>
    </w:p>
    <w:p>
      <w:pPr>
        <w:jc w:val="center"/>
        <w:outlineLvl w:val="0"/>
        <w:rPr>
          <w:rFonts w:ascii="Times New Roman" w:eastAsia="方正小标宋_GBK" w:cs="Times New Roman" w:hAnsi="Times New Roman"/>
          <w:sz w:val="32"/>
          <w:szCs w:val="24"/>
        </w:rPr>
      </w:pPr>
      <w:r>
        <w:rPr>
          <w:rFonts w:ascii="Times New Roman" w:eastAsia="方正小标宋_GBK" w:cs="Times New Roman" w:hAnsi="Times New Roman"/>
          <w:sz w:val="32"/>
          <w:szCs w:val="24"/>
        </w:rPr>
        <w:t>部门</w:t>
      </w:r>
      <w:r>
        <w:rPr>
          <w:rFonts w:ascii="Times New Roman" w:eastAsia="方正小标宋_GBK" w:cs="Times New Roman" w:hAnsi="Times New Roman" w:hint="eastAsia"/>
          <w:sz w:val="32"/>
          <w:szCs w:val="24"/>
        </w:rPr>
        <w:t>机构设置情况</w:t>
      </w:r>
    </w:p>
    <w:tbl>
      <w:tblPr>
        <w:jc w:val="center"/>
        <w:tblW w:w="97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17"/>
        <w:gridCol w:w="1134"/>
        <w:gridCol w:w="1276"/>
        <w:gridCol w:w="2902"/>
      </w:tblGrid>
      <w:tr>
        <w:trPr>
          <w:trHeight w:val="300"/>
          <w:tblHeader/>
        </w:trPr>
        <w:tc>
          <w:tcPr>
            <w:tcW w:w="4417" w:type="dxa"/>
            <w:vMerge w:val="restart"/>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单位名称</w:t>
            </w:r>
          </w:p>
        </w:tc>
        <w:tc>
          <w:tcPr>
            <w:tcW w:w="1134" w:type="dxa"/>
            <w:vMerge w:val="restart"/>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单位性质</w:t>
            </w:r>
          </w:p>
        </w:tc>
        <w:tc>
          <w:tcPr>
            <w:tcW w:w="1276" w:type="dxa"/>
            <w:vMerge w:val="restart"/>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单位规格</w:t>
            </w:r>
          </w:p>
        </w:tc>
        <w:tc>
          <w:tcPr>
            <w:tcW w:w="2902" w:type="dxa"/>
            <w:vMerge w:val="restart"/>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经费保障形式</w:t>
            </w:r>
          </w:p>
        </w:tc>
      </w:tr>
      <w:tr>
        <w:trPr>
          <w:trHeight w:val="300"/>
          <w:tblHeader/>
        </w:trPr>
        <w:tc>
          <w:tcPr>
            <w:tcW w:w="4417" w:type="dxa"/>
            <w:vMerge/>
            <w:vAlign w:val="center"/>
          </w:tcPr>
          <w:p/>
        </w:tc>
        <w:tc>
          <w:tcPr>
            <w:tcW w:w="1134" w:type="dxa"/>
            <w:vMerge/>
            <w:vAlign w:val="center"/>
          </w:tcPr>
          <w:p/>
        </w:tc>
        <w:tc>
          <w:tcPr>
            <w:tcW w:w="1276" w:type="dxa"/>
            <w:vMerge/>
            <w:vAlign w:val="center"/>
          </w:tcPr>
          <w:p/>
        </w:tc>
        <w:tc>
          <w:tcPr>
            <w:tcW w:w="2902" w:type="dxa"/>
            <w:vMerge/>
            <w:vAlign w:val="center"/>
          </w:tcPr>
          <w:p/>
        </w:tc>
      </w:tr>
      <w:tr>
        <w:trPr>
          <w:trHeight w:val="227"/>
        </w:trPr>
        <w:tc>
          <w:tcPr>
            <w:tcW w:w="4417" w:type="dxa"/>
            <w:vAlign w:val="center"/>
          </w:tcPr>
          <w:p>
            <w:pPr>
              <w:spacing w:line="300" w:lineRule="exact"/>
              <w:jc w:val="left"/>
              <w:rPr>
                <w:rFonts w:ascii="Times New Roman" w:eastAsia="方正书宋_GBK" w:cs="Times New Roman" w:hAnsi="Times New Roman"/>
                <w:szCs w:val="24"/>
              </w:rPr>
            </w:pPr>
            <w:r>
              <w:rPr>
                <w:rFonts w:ascii="方正书宋_GBK" w:eastAsia="方正书宋_GBK" w:hint="eastAsia"/>
              </w:rPr>
              <w:t>审计局</w:t>
            </w:r>
          </w:p>
        </w:tc>
        <w:tc>
          <w:tcPr>
            <w:tcW w:w="1134" w:type="dxa"/>
            <w:vAlign w:val="center"/>
          </w:tcPr>
          <w:p>
            <w:pPr>
              <w:spacing w:line="300" w:lineRule="exact"/>
              <w:jc w:val="center"/>
              <w:rPr>
                <w:rFonts w:ascii="Times New Roman" w:eastAsia="方正书宋_GBK" w:cs="Times New Roman" w:hAnsi="Times New Roman"/>
                <w:szCs w:val="24"/>
              </w:rPr>
            </w:pPr>
            <w:r>
              <w:rPr>
                <w:rFonts w:ascii="方正书宋_GBK" w:eastAsia="方正书宋_GBK" w:hint="eastAsia"/>
              </w:rPr>
              <w:t>行政</w:t>
            </w:r>
          </w:p>
        </w:tc>
        <w:tc>
          <w:tcPr>
            <w:tcW w:w="1276" w:type="dxa"/>
            <w:vAlign w:val="center"/>
          </w:tcPr>
          <w:p>
            <w:pPr>
              <w:spacing w:line="300" w:lineRule="exact"/>
              <w:jc w:val="center"/>
              <w:rPr>
                <w:rFonts w:ascii="Times New Roman" w:eastAsia="方正书宋_GBK" w:cs="Times New Roman" w:hAnsi="Times New Roman"/>
                <w:szCs w:val="24"/>
              </w:rPr>
            </w:pPr>
            <w:r>
              <w:rPr>
                <w:rFonts w:ascii="方正书宋_GBK" w:eastAsia="方正书宋_GBK" w:hint="eastAsia"/>
              </w:rPr>
              <w:t>正科级</w:t>
            </w:r>
          </w:p>
        </w:tc>
        <w:tc>
          <w:tcPr>
            <w:tcW w:w="2902" w:type="dxa"/>
            <w:vAlign w:val="center"/>
          </w:tcPr>
          <w:p>
            <w:pPr>
              <w:spacing w:line="300" w:lineRule="exact"/>
              <w:jc w:val="center"/>
              <w:rPr>
                <w:rFonts w:ascii="Times New Roman" w:eastAsia="方正书宋_GBK" w:cs="Times New Roman" w:hAnsi="Times New Roman"/>
                <w:szCs w:val="24"/>
              </w:rPr>
            </w:pPr>
            <w:r>
              <w:rPr>
                <w:rFonts w:ascii="方正书宋_GBK" w:eastAsia="方正书宋_GBK" w:hint="eastAsia"/>
              </w:rPr>
              <w:t>财政拨款</w:t>
            </w:r>
          </w:p>
        </w:tc>
      </w:tr>
    </w:tbl>
    <w:p>
      <w:pPr>
        <w:widowControl/>
        <w:spacing w:line="560" w:lineRule="exact"/>
        <w:ind w:left="0"/>
        <w:textAlignment w:val="baseline"/>
        <w:rPr>
          <w:rFonts w:ascii="仿宋_GB2312" w:eastAsia="仿宋_GB2312" w:hint="eastAsia"/>
          <w:color w:val="FF0000"/>
          <w:sz w:val="32"/>
          <w:szCs w:val="32"/>
        </w:rPr>
      </w:pPr>
      <w:r>
        <w:rPr>
          <w:rFonts w:ascii="仿宋_GB2312" w:eastAsia="仿宋_GB2312" w:hint="eastAsia"/>
          <w:color w:val="FF0000"/>
          <w:sz w:val="32"/>
          <w:szCs w:val="32"/>
        </w:rPr>
        <w:t xml:space="preserve"> </w:t>
      </w:r>
      <w:r>
        <w:rPr>
          <w:rFonts w:ascii="仿宋_GB2312" w:eastAsia="仿宋_GB2312" w:cs="宋体" w:hint="eastAsia"/>
          <w:color w:val="000000"/>
          <w:kern w:val="0"/>
          <w:sz w:val="32"/>
          <w:szCs w:val="32"/>
          <w:lang w:bidi="ar-SA"/>
        </w:rPr>
        <w:t>注：我部门纳入预算管理的核算单位有1个单位，</w:t>
      </w:r>
    </w:p>
    <w:p>
      <w:pPr>
        <w:ind w:firstLineChars="150" w:firstLine="480"/>
        <w:rPr>
          <w:rFonts w:ascii="仿宋" w:eastAsia="仿宋" w:cs="Times New Roman"/>
          <w:sz w:val="32"/>
          <w:szCs w:val="32"/>
        </w:rPr>
      </w:pPr>
      <w:r>
        <w:rPr>
          <w:rFonts w:ascii="仿宋_GB2312" w:eastAsia="仿宋_GB2312" w:cs="宋体" w:hint="eastAsia"/>
          <w:color w:val="000000"/>
          <w:kern w:val="0"/>
          <w:sz w:val="32"/>
          <w:szCs w:val="32"/>
          <w:lang w:bidi="ar-SA"/>
        </w:rPr>
        <w:t>分别为唐山市丰南区审计局单位，单位规格及性质为财政拨款的行政机关，机构规格正科级单位，经费保障形式为财政拨款区审计局根据工作需要，设有：综合办公室、区委审计委员会办公室秘书科、固定资产投资审计科、财政和经济责任审计科、内部审计指导监督科、政府投资审计中心等办事机构和工作机构。</w:t>
      </w:r>
    </w:p>
    <w:p>
      <w:pPr>
        <w:ind w:firstLineChars="150" w:firstLine="480"/>
        <w:rPr>
          <w:rFonts w:ascii="仿宋" w:eastAsia="仿宋" w:cs="Times New Roman"/>
          <w:sz w:val="32"/>
          <w:szCs w:val="32"/>
        </w:rPr>
      </w:pPr>
      <w:r>
        <w:rPr>
          <w:rFonts w:ascii="仿宋" w:eastAsia="仿宋" w:cs="Times New Roman" w:hint="eastAsia"/>
          <w:sz w:val="32"/>
          <w:szCs w:val="32"/>
        </w:rPr>
        <w:t>人员构成：</w:t>
      </w:r>
    </w:p>
    <w:p>
      <w:pPr>
        <w:ind w:firstLineChars="200" w:firstLine="640"/>
        <w:rPr>
          <w:rFonts w:ascii="仿宋_GB2312" w:eastAsia="仿宋_GB2312" w:cs="Arial"/>
          <w:color w:val="000000"/>
          <w:kern w:val="0"/>
          <w:sz w:val="32"/>
          <w:szCs w:val="32"/>
        </w:rPr>
      </w:pPr>
      <w:r>
        <w:rPr>
          <w:rFonts w:ascii="仿宋_GB2312" w:eastAsia="仿宋_GB2312" w:cs="宋体" w:hint="eastAsia"/>
          <w:color w:val="000000"/>
          <w:kern w:val="0"/>
          <w:sz w:val="32"/>
          <w:szCs w:val="32"/>
        </w:rPr>
        <w:t>我部门财政供养实有在职人员31名，其中行政编制干部15人，行政工人1人，事业编制9人，人事代理4人，聘用制2人。退休人员15名。</w:t>
      </w:r>
      <w:r>
        <w:rPr>
          <w:rFonts w:ascii="仿宋_GB2312" w:eastAsia="仿宋_GB2312" w:cs="Arial" w:hint="eastAsia"/>
          <w:color w:val="000000"/>
          <w:kern w:val="0"/>
          <w:sz w:val="32"/>
          <w:szCs w:val="32"/>
        </w:rPr>
        <w:t>经费形式均为全额财政拨款。</w:t>
      </w:r>
    </w:p>
    <w:p>
      <w:pPr>
        <w:ind w:firstLine="640"/>
        <w:rPr>
          <w:rFonts w:ascii="黑体" w:eastAsia="黑体"/>
          <w:sz w:val="32"/>
          <w:szCs w:val="32"/>
        </w:rPr>
      </w:pPr>
      <w:r>
        <w:rPr>
          <w:rFonts w:ascii="黑体" w:eastAsia="黑体" w:cs="Times New Roman" w:hint="eastAsia"/>
          <w:sz w:val="32"/>
          <w:szCs w:val="32"/>
        </w:rPr>
        <w:t>二、部门预算安排的总体情况</w:t>
      </w:r>
    </w:p>
    <w:p>
      <w:pPr>
        <w:ind w:firstLine="640"/>
        <w:rPr>
          <w:rFonts w:ascii="Times New Roman" w:eastAsia="仿宋" w:cs="Times New Roman" w:hAnsi="Times New Roman"/>
          <w:sz w:val="32"/>
          <w:szCs w:val="32"/>
        </w:rPr>
      </w:pPr>
      <w:r>
        <w:rPr>
          <w:rFonts w:ascii="Times New Roman" w:eastAsia="仿宋" w:cs="Times New Roman" w:hAnsi="Times New Roman"/>
          <w:sz w:val="32"/>
          <w:szCs w:val="32"/>
        </w:rPr>
        <w:t>按照预算管理有关规定，目前我省部门预算的编制实行综合预算制度，即全部收入和支出都反映的预算中。河北省及所属事业单位的收支包含在部门预算中。</w:t>
      </w:r>
    </w:p>
    <w:p>
      <w:pPr>
        <w:ind w:firstLine="640"/>
        <w:rPr>
          <w:rFonts w:ascii="仿宋_GB2312" w:eastAsia="仿宋_GB2312"/>
          <w:sz w:val="32"/>
          <w:szCs w:val="32"/>
        </w:rPr>
      </w:pPr>
      <w:r>
        <w:rPr>
          <w:rFonts w:ascii="仿宋_GB2312" w:eastAsia="仿宋_GB2312" w:hint="eastAsia"/>
          <w:sz w:val="32"/>
          <w:szCs w:val="32"/>
        </w:rPr>
        <w:t>1、收入预算说明</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2019年安排预算收入727.21万元，为一般公共预算财政拨款收入。</w:t>
      </w:r>
    </w:p>
    <w:p>
      <w:pPr>
        <w:ind w:firstLine="640"/>
        <w:rPr>
          <w:rFonts w:ascii="仿宋_GB2312" w:eastAsia="仿宋_GB2312"/>
          <w:sz w:val="32"/>
          <w:szCs w:val="32"/>
        </w:rPr>
      </w:pPr>
      <w:r>
        <w:rPr>
          <w:rFonts w:ascii="仿宋_GB2312" w:eastAsia="仿宋_GB2312" w:hint="eastAsia"/>
          <w:sz w:val="32"/>
          <w:szCs w:val="32"/>
        </w:rPr>
        <w:t>2、支出预算说明</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2019年安排预算支出727.21万元。其中基本支出452.21万元，项目支出275万元。</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3、部门预算较上年增减情况</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2019年安排预算收入比2018年减少15.92万元。原因为2019年新增</w:t>
      </w:r>
      <w:r>
        <w:rPr>
          <w:rFonts w:ascii="仿宋_GB2312" w:eastAsia="仿宋_GB2312"/>
          <w:sz w:val="32"/>
          <w:szCs w:val="32"/>
        </w:rPr>
        <w:t>了</w:t>
      </w:r>
      <w:r>
        <w:rPr>
          <w:rFonts w:ascii="仿宋_GB2312" w:eastAsia="仿宋_GB2312" w:hint="eastAsia"/>
          <w:sz w:val="32"/>
          <w:szCs w:val="32"/>
        </w:rPr>
        <w:t>退休人员</w:t>
      </w:r>
      <w:r>
        <w:rPr>
          <w:rFonts w:ascii="仿宋_GB2312" w:eastAsia="仿宋_GB2312"/>
          <w:sz w:val="32"/>
          <w:szCs w:val="32"/>
        </w:rPr>
        <w:t>，人员减少，所需经费减少。</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2019年安排预算支出比2018年预算安排减少15.92万元。原因为2019年</w:t>
      </w:r>
      <w:r>
        <w:rPr>
          <w:rFonts w:ascii="仿宋_GB2312" w:eastAsia="仿宋_GB2312"/>
          <w:sz w:val="32"/>
          <w:szCs w:val="32"/>
        </w:rPr>
        <w:t>审计经费</w:t>
      </w:r>
      <w:r>
        <w:rPr>
          <w:rFonts w:ascii="仿宋_GB2312" w:eastAsia="仿宋_GB2312" w:hint="eastAsia"/>
          <w:sz w:val="32"/>
          <w:szCs w:val="32"/>
        </w:rPr>
        <w:t>支</w:t>
      </w:r>
      <w:r>
        <w:rPr>
          <w:rFonts w:ascii="仿宋_GB2312" w:eastAsia="仿宋_GB2312"/>
          <w:sz w:val="32"/>
          <w:szCs w:val="32"/>
        </w:rPr>
        <w:t>出及机关运行经费支出减少</w:t>
      </w:r>
      <w:r>
        <w:rPr>
          <w:rFonts w:ascii="仿宋_GB2312" w:eastAsia="仿宋_GB2312" w:hint="eastAsia"/>
          <w:sz w:val="32"/>
          <w:szCs w:val="32"/>
        </w:rPr>
        <w:t>。</w:t>
      </w:r>
    </w:p>
    <w:p>
      <w:pPr>
        <w:autoSpaceDE w:val="0"/>
        <w:autoSpaceDN w:val="0"/>
        <w:adjustRightInd w:val="0"/>
        <w:ind w:firstLineChars="200" w:firstLine="640"/>
        <w:jc w:val="left"/>
        <w:rPr>
          <w:rFonts w:ascii="黑体" w:eastAsia="黑体" w:cs="Times New Roman"/>
          <w:sz w:val="32"/>
          <w:szCs w:val="32"/>
        </w:rPr>
      </w:pPr>
      <w:r>
        <w:rPr>
          <w:rFonts w:ascii="黑体" w:eastAsia="黑体" w:cs="Times New Roman" w:hint="eastAsia"/>
          <w:sz w:val="32"/>
          <w:szCs w:val="32"/>
        </w:rPr>
        <w:t>三、机关运行经费安排情况</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日常公用经费38.23万元。其中：办公费8.38万元，公务用车运行维护费5万元，工会经费、福利费7.85万元，改革性补贴项目16.5万元，离退休干部报刊费0.5万元。</w:t>
      </w:r>
    </w:p>
    <w:p>
      <w:pPr>
        <w:ind w:firstLineChars="200" w:firstLine="640"/>
        <w:rPr>
          <w:rFonts w:ascii="宋体" w:eastAsia="宋体"/>
          <w:sz w:val="32"/>
          <w:szCs w:val="32"/>
        </w:rPr>
      </w:pPr>
      <w:r>
        <w:rPr>
          <w:rFonts w:ascii="宋体" w:eastAsia="宋体" w:hint="eastAsia"/>
          <w:sz w:val="32"/>
          <w:szCs w:val="32"/>
        </w:rPr>
        <w:t>四、</w:t>
      </w:r>
      <w:r>
        <w:rPr>
          <w:rFonts w:ascii="黑体" w:eastAsia="黑体" w:cs="Times New Roman" w:hint="eastAsia"/>
          <w:sz w:val="32"/>
          <w:szCs w:val="32"/>
        </w:rPr>
        <w:t>财政拨款</w:t>
      </w:r>
      <w:r>
        <w:rPr>
          <w:rFonts w:ascii="黑体" w:eastAsia="黑体" w:cs="Times New Roman"/>
          <w:sz w:val="32"/>
          <w:szCs w:val="32"/>
        </w:rPr>
        <w:t>“</w:t>
      </w:r>
      <w:r>
        <w:rPr>
          <w:rFonts w:ascii="黑体" w:eastAsia="黑体" w:cs="Times New Roman" w:hint="eastAsia"/>
          <w:sz w:val="32"/>
          <w:szCs w:val="32"/>
        </w:rPr>
        <w:t>三公</w:t>
      </w:r>
      <w:r>
        <w:rPr>
          <w:rFonts w:ascii="黑体" w:eastAsia="黑体" w:cs="Times New Roman"/>
          <w:sz w:val="32"/>
          <w:szCs w:val="32"/>
        </w:rPr>
        <w:t>”</w:t>
      </w:r>
      <w:r>
        <w:rPr>
          <w:rFonts w:ascii="黑体" w:eastAsia="黑体" w:cs="Times New Roman" w:hint="eastAsia"/>
          <w:sz w:val="32"/>
          <w:szCs w:val="32"/>
        </w:rPr>
        <w:t>经费预算情况及增减变化原因</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2019年财政拨款“三公”经费预算安排5万，与2018年相比无增减变化。其中因公出国（境）费0万元，无增减变化。公务用车购置及运行费5万元（公务用车购置费0万元无增减变化、公务用车运行费5万元无增减变化）、公务接待费0万元，无增减变化。</w:t>
      </w:r>
    </w:p>
    <w:p>
      <w:pPr>
        <w:spacing w:line="360" w:lineRule="auto"/>
        <w:ind w:firstLineChars="200" w:firstLine="640"/>
        <w:rPr>
          <w:rFonts w:ascii="黑体" w:eastAsia="黑体" w:cs="Times New Roman"/>
          <w:sz w:val="32"/>
          <w:szCs w:val="32"/>
        </w:rPr>
      </w:pPr>
      <w:r>
        <w:rPr>
          <w:rFonts w:ascii="黑体" w:eastAsia="黑体" w:cs="Times New Roman" w:hint="eastAsia"/>
          <w:sz w:val="32"/>
          <w:szCs w:val="32"/>
        </w:rPr>
        <w:t>五、绩效预算信息</w:t>
      </w:r>
    </w:p>
    <w:p>
      <w:pPr>
        <w:ind w:firstLineChars="200" w:firstLine="640"/>
        <w:rPr>
          <w:rFonts w:ascii="黑体" w:eastAsia="黑体" w:cs="Times New Roman"/>
          <w:sz w:val="32"/>
          <w:szCs w:val="32"/>
        </w:rPr>
      </w:pPr>
      <w:r>
        <w:rPr>
          <w:rFonts w:ascii="仿宋_GB2312" w:eastAsia="仿宋_GB2312" w:hint="eastAsia"/>
          <w:b/>
          <w:sz w:val="32"/>
          <w:szCs w:val="32"/>
        </w:rPr>
        <w:t>（一）总体绩效目标：</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1、深入贯彻落实党的十八大和十八届四中、五中全会精神，以强化对权力运行的制约监督为重点，以不断提高审计质量为核心，把揭示问题始终作为审计工作的第一要务，注重突出重点抓力度、强化延伸抓深度，提升成果抓高度，努力在审深、审透、审实上下功夫，充分发挥审计监督作用。以加强审计队伍建设为保障，坚持“依法审计、服务大局、围绕中心、突出重点、求真务实”的工作方针，积极履行审计监督职责，努力扩大审计覆盖面，为建设经济强区、美丽丰南保驾护航。</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2、预算执行审计以促进全区经济增长、提高科学理财水平、优化财政支出结构和惠民生保稳定为目标。乡镇财政决算审计坚持“审帮促”的工作原则，以完善乡镇财政管理、规范财政财务收支行为、降低行政成本为目标。乡科级领导干部经济责任审计是监督制约行政权力运行的有效手段。审计中，要积极探索，认真总结经验，明确责任界定的标准，将领导干部的决策权、管理权、经营权、执行权和廉洁自律“四权一廉”情况作为审计重点。</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3、财政资金建设项目审计以规范建设项目管理，完善建设项目程序，提高投资效益为目标，不断创新审计理念，改进审计方法，加大审计监督力度，抓住工程开工前、施工中和竣工后三个环节，全方位、全过程审计。企（事）业单位审计以改进经营管理，堵塞漏洞，不断提高资金使用效益和经济效益为目标。在抓好常规审计的同时，认真贯彻落实上级的统一安排部署，克服人员紧张的困难，勇挑重担，拼搏奉献，优质高效的完成上级审计机关及区委、区政府领导等临时交办的重大审计任务。</w:t>
      </w:r>
    </w:p>
    <w:p>
      <w:pPr>
        <w:spacing w:line="360" w:lineRule="auto"/>
        <w:ind w:firstLineChars="200" w:firstLine="640"/>
        <w:rPr>
          <w:rFonts w:ascii="仿宋_GB2312" w:eastAsia="仿宋_GB2312"/>
          <w:sz w:val="32"/>
          <w:szCs w:val="32"/>
        </w:rPr>
      </w:pPr>
      <w:r>
        <w:rPr>
          <w:rFonts w:ascii="仿宋_GB2312" w:eastAsia="仿宋_GB2312" w:hint="eastAsia"/>
          <w:sz w:val="32"/>
          <w:szCs w:val="32"/>
        </w:rPr>
        <w:t>4、认真宣传教育，深入开展党内活动。坚持以人为本，全面提升审计人员综合水平。加强机关队伍建设、廉政建设、文化建设。</w:t>
      </w:r>
    </w:p>
    <w:p>
      <w:pPr>
        <w:ind w:firstLineChars="200" w:firstLine="640"/>
        <w:rPr>
          <w:rFonts w:ascii="仿宋_GB2312" w:eastAsia="仿宋_GB2312"/>
          <w:b/>
          <w:sz w:val="32"/>
          <w:szCs w:val="32"/>
        </w:rPr>
      </w:pPr>
      <w:r>
        <w:rPr>
          <w:rFonts w:ascii="仿宋_GB2312" w:eastAsia="仿宋_GB2312" w:hint="eastAsia"/>
          <w:b/>
          <w:sz w:val="32"/>
          <w:szCs w:val="32"/>
        </w:rPr>
        <w:t>（二）职责</w:t>
      </w:r>
      <w:r>
        <w:rPr>
          <w:rFonts w:ascii="仿宋_GB2312" w:eastAsia="仿宋_GB2312"/>
          <w:b/>
          <w:sz w:val="32"/>
          <w:szCs w:val="32"/>
        </w:rPr>
        <w:t>分类</w:t>
      </w:r>
      <w:r>
        <w:rPr>
          <w:rFonts w:ascii="仿宋_GB2312" w:eastAsia="仿宋_GB2312" w:hint="eastAsia"/>
          <w:b/>
          <w:sz w:val="32"/>
          <w:szCs w:val="32"/>
        </w:rPr>
        <w:t>绩效目标</w:t>
      </w:r>
      <w:r>
        <w:rPr>
          <w:rFonts w:ascii="仿宋_GB2312" w:eastAsia="仿宋_GB2312"/>
          <w:b/>
          <w:sz w:val="32"/>
          <w:szCs w:val="32"/>
        </w:rPr>
        <w:t>：</w:t>
      </w:r>
    </w:p>
    <w:p>
      <w:pPr>
        <w:spacing w:line="500" w:lineRule="exact"/>
        <w:ind w:firstLineChars="200" w:firstLine="640"/>
        <w:jc w:val="left"/>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审计业务</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主管全区审计工作。通过财政财务收支审计真实、合法和效益情况，维护国家财政经济秩序，促进廉政建设，保障国民经济的健康运行。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spacing w:line="500" w:lineRule="exact"/>
        <w:ind w:firstLineChars="200" w:firstLine="640"/>
        <w:jc w:val="left"/>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审计管理</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进行内部审计管理和审计法制管理。贯彻落实相关法律法规及大内部审计管理制度提高审计质量和审计机关法制管理水平。制定内部审计措施并组织落实；制定内部审计业务规章、制度、管理办法等并开展监督检查；开展内部审计业务，受理内部审计业务咨询；提供内部审计成果；协调内部审计和国家审计间工作等。对审计项目、规范性文件进行审核，依法核查社会审计机构相关审计报告，做好审计机关的质量检查等。</w:t>
      </w:r>
    </w:p>
    <w:p>
      <w:pPr>
        <w:spacing w:line="500" w:lineRule="exact"/>
        <w:ind w:firstLineChars="200" w:firstLine="640"/>
        <w:jc w:val="left"/>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审计政务管理</w:t>
      </w:r>
    </w:p>
    <w:p>
      <w:pPr>
        <w:ind w:firstLineChars="200" w:firstLine="640"/>
        <w:rPr>
          <w:rFonts w:ascii="仿宋_GB2312" w:eastAsia="仿宋_GB2312"/>
          <w:b/>
          <w:sz w:val="32"/>
          <w:szCs w:val="32"/>
        </w:rPr>
      </w:pPr>
      <w:r>
        <w:rPr>
          <w:rFonts w:ascii="仿宋_GB2312" w:eastAsia="仿宋_GB2312" w:hint="eastAsia"/>
          <w:sz w:val="32"/>
          <w:szCs w:val="32"/>
        </w:rPr>
        <w:t>包括系统综合业务管理和机关综合事务管理。充分发挥参谋助手作用和综合协调作用，推进审计事业科学协调发展。组织开展信息化建设、教育培训、审计理论研究，抓好新闻宣传和文化建设、政务信息公开，开展审计服务和业务咨询。抓好干部队伍建设、基础设施建设及其它综合事务。</w:t>
      </w:r>
    </w:p>
    <w:p>
      <w:pPr>
        <w:ind w:firstLineChars="200" w:firstLine="640"/>
        <w:rPr>
          <w:rFonts w:ascii="仿宋_GB2312" w:eastAsia="仿宋_GB2312"/>
          <w:b/>
          <w:sz w:val="32"/>
          <w:szCs w:val="32"/>
        </w:rPr>
      </w:pPr>
      <w:r>
        <w:rPr>
          <w:rFonts w:ascii="仿宋_GB2312" w:eastAsia="仿宋_GB2312" w:hint="eastAsia"/>
          <w:b/>
          <w:sz w:val="32"/>
          <w:szCs w:val="32"/>
        </w:rPr>
        <w:t>（三）部门职责—工作活动绩效目标指标表：</w:t>
      </w:r>
    </w:p>
    <w:tbl>
      <w:tblPr>
        <w:jc w:val="center"/>
        <w:tblW w:w="9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63"/>
        <w:gridCol w:w="906"/>
        <w:gridCol w:w="2115"/>
        <w:gridCol w:w="2115"/>
        <w:gridCol w:w="663"/>
        <w:gridCol w:w="575"/>
        <w:gridCol w:w="522"/>
        <w:gridCol w:w="522"/>
        <w:gridCol w:w="528"/>
      </w:tblGrid>
      <w:tr>
        <w:trPr>
          <w:trHeight w:val="65"/>
          <w:tblHeader/>
        </w:trPr>
        <w:tc>
          <w:tcPr>
            <w:tcW w:w="7462" w:type="dxa"/>
            <w:gridSpan w:val="5"/>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sz w:val="24"/>
              </w:rPr>
            </w:pPr>
          </w:p>
        </w:tc>
        <w:tc>
          <w:tcPr>
            <w:tcW w:w="2147" w:type="dxa"/>
            <w:gridSpan w:val="4"/>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65"/>
          <w:tblHeader/>
        </w:trPr>
        <w:tc>
          <w:tcPr>
            <w:tcW w:w="166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90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115"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115"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66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147" w:type="dxa"/>
            <w:gridSpan w:val="4"/>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65"/>
          <w:tblHeader/>
        </w:trPr>
        <w:tc>
          <w:tcPr>
            <w:tcW w:w="1663" w:type="dxa"/>
            <w:vMerge/>
            <w:shd w:val="clear" w:color="auto" w:fill="auto"/>
            <w:vAlign w:val="center"/>
          </w:tcPr>
          <w:p/>
        </w:tc>
        <w:tc>
          <w:tcPr>
            <w:tcW w:w="906" w:type="dxa"/>
            <w:vMerge/>
            <w:shd w:val="clear" w:color="auto" w:fill="auto"/>
            <w:vAlign w:val="center"/>
          </w:tcPr>
          <w:p/>
        </w:tc>
        <w:tc>
          <w:tcPr>
            <w:tcW w:w="2115" w:type="dxa"/>
            <w:vMerge/>
            <w:shd w:val="clear" w:color="auto" w:fill="auto"/>
            <w:vAlign w:val="center"/>
          </w:tcPr>
          <w:p/>
        </w:tc>
        <w:tc>
          <w:tcPr>
            <w:tcW w:w="2115" w:type="dxa"/>
            <w:vMerge/>
            <w:shd w:val="clear" w:color="auto" w:fill="auto"/>
            <w:vAlign w:val="center"/>
          </w:tcPr>
          <w:p/>
        </w:tc>
        <w:tc>
          <w:tcPr>
            <w:tcW w:w="663" w:type="dxa"/>
            <w:vMerge/>
            <w:shd w:val="clear" w:color="auto" w:fill="auto"/>
            <w:vAlign w:val="center"/>
          </w:tcPr>
          <w:p/>
        </w:tc>
        <w:tc>
          <w:tcPr>
            <w:tcW w:w="575"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522"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522"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528"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65"/>
        </w:trPr>
        <w:tc>
          <w:tcPr>
            <w:tcW w:w="1663" w:type="dxa"/>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审计业务</w:t>
            </w:r>
          </w:p>
        </w:tc>
        <w:tc>
          <w:tcPr>
            <w:tcW w:w="906" w:type="dxa"/>
            <w:shd w:val="clear" w:color="auto" w:fill="auto"/>
            <w:vAlign w:val="center"/>
          </w:tcPr>
          <w:p>
            <w:pPr>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5</w:t>
            </w:r>
            <w:r>
              <w:rPr>
                <w:rFonts w:ascii="方正书宋_GBK" w:eastAsia="方正书宋_GBK"/>
              </w:rPr>
              <w:t>.00</w:t>
            </w: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主管全区审计工作。</w:t>
            </w: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主管全区审计工作。通过财政财务收支审计真实、合法和效益情况，维护国家财政经济秩序，促进廉政建设，保障国民经济的健康运行。</w:t>
            </w:r>
          </w:p>
        </w:tc>
        <w:tc>
          <w:tcPr>
            <w:tcW w:w="663" w:type="dxa"/>
            <w:shd w:val="clear" w:color="auto" w:fill="auto"/>
            <w:vAlign w:val="center"/>
          </w:tcPr>
          <w:p>
            <w:pPr>
              <w:spacing w:line="300" w:lineRule="exact"/>
              <w:jc w:val="left"/>
              <w:rPr>
                <w:rFonts w:ascii="方正书宋_GBK" w:eastAsia="方正书宋_GBK"/>
              </w:rPr>
            </w:pPr>
          </w:p>
        </w:tc>
        <w:tc>
          <w:tcPr>
            <w:tcW w:w="575"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8" w:type="dxa"/>
            <w:shd w:val="clear" w:color="auto" w:fill="auto"/>
            <w:vAlign w:val="center"/>
          </w:tcPr>
          <w:p>
            <w:pPr>
              <w:spacing w:line="300" w:lineRule="exact"/>
              <w:jc w:val="center"/>
              <w:rPr>
                <w:rFonts w:ascii="方正书宋_GBK" w:eastAsia="方正书宋_GBK"/>
              </w:rPr>
            </w:pPr>
          </w:p>
        </w:tc>
      </w:tr>
      <w:tr>
        <w:trPr>
          <w:trHeight w:val="65"/>
        </w:trPr>
        <w:tc>
          <w:tcPr>
            <w:tcW w:w="1663"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审计业务</w:t>
            </w:r>
          </w:p>
        </w:tc>
        <w:tc>
          <w:tcPr>
            <w:tcW w:w="90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5</w:t>
            </w:r>
            <w:r>
              <w:rPr>
                <w:rFonts w:ascii="方正书宋_GBK" w:eastAsia="方正书宋_GBK"/>
              </w:rPr>
              <w:t>.00</w:t>
            </w: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ascii="方正书宋_GBK" w:eastAsia="方正书宋_GBK" w:hint="eastAsia"/>
              </w:rPr>
              <w:t>实施领导干部经济责任审计等审计。</w:t>
            </w: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通过审计财政、财务收支真实、合法和效益，维护国家财政经济秩序、促进廉政建设、保障国民经济的健康发展。</w:t>
            </w: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审计决定落实率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rPr>
          <w:trHeight w:val="65"/>
        </w:trPr>
        <w:tc>
          <w:tcPr>
            <w:tcW w:w="1663" w:type="dxa"/>
            <w:vMerge/>
            <w:shd w:val="clear" w:color="auto" w:fill="auto"/>
            <w:vAlign w:val="center"/>
          </w:tcPr>
          <w:p/>
        </w:tc>
        <w:tc>
          <w:tcPr>
            <w:tcW w:w="906" w:type="dxa"/>
            <w:vMerge/>
            <w:shd w:val="clear" w:color="auto" w:fill="auto"/>
            <w:vAlign w:val="center"/>
          </w:tcPr>
          <w:p/>
        </w:tc>
        <w:tc>
          <w:tcPr>
            <w:tcW w:w="2115" w:type="dxa"/>
            <w:vMerge/>
            <w:shd w:val="clear" w:color="auto" w:fill="auto"/>
            <w:vAlign w:val="center"/>
          </w:tcPr>
          <w:p/>
        </w:tc>
        <w:tc>
          <w:tcPr>
            <w:tcW w:w="2115" w:type="dxa"/>
            <w:vMerge/>
            <w:shd w:val="clear" w:color="auto" w:fill="auto"/>
            <w:vAlign w:val="center"/>
          </w:tcP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审计计划完成率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rPr>
          <w:trHeight w:val="65"/>
        </w:trPr>
        <w:tc>
          <w:tcPr>
            <w:tcW w:w="1663"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专项审计调查</w:t>
            </w:r>
          </w:p>
        </w:tc>
        <w:tc>
          <w:tcPr>
            <w:tcW w:w="906" w:type="dxa"/>
            <w:vMerge w:val="restart"/>
            <w:shd w:val="clear" w:color="auto" w:fill="auto"/>
            <w:vAlign w:val="center"/>
          </w:tcPr>
          <w:p>
            <w:pPr>
              <w:spacing w:line="300" w:lineRule="exact"/>
              <w:jc w:val="left"/>
              <w:rPr>
                <w:rFonts w:ascii="方正书宋_GBK" w:eastAsia="方正书宋_GBK"/>
              </w:rPr>
            </w:pP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对经济领域中带有全局性、普遍性、倾向性的特定事项进行系统调查了解并向区政府报告情况和结果。</w:t>
            </w: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通过专项审计调查，综合分析，向有关部门反映情况，揭露问题、提出解决问题的建议，为政府决策提供依据。</w:t>
            </w: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政策建议采纳率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rPr>
          <w:trHeight w:val="65"/>
        </w:trPr>
        <w:tc>
          <w:tcPr>
            <w:tcW w:w="1663" w:type="dxa"/>
            <w:vMerge/>
            <w:shd w:val="clear" w:color="auto" w:fill="auto"/>
            <w:vAlign w:val="center"/>
          </w:tcPr>
          <w:p/>
        </w:tc>
        <w:tc>
          <w:tcPr>
            <w:tcW w:w="906" w:type="dxa"/>
            <w:vMerge/>
            <w:shd w:val="clear" w:color="auto" w:fill="auto"/>
            <w:vAlign w:val="center"/>
          </w:tcPr>
          <w:p/>
        </w:tc>
        <w:tc>
          <w:tcPr>
            <w:tcW w:w="2115" w:type="dxa"/>
            <w:vMerge/>
            <w:shd w:val="clear" w:color="auto" w:fill="auto"/>
            <w:vAlign w:val="center"/>
          </w:tcPr>
          <w:p/>
        </w:tc>
        <w:tc>
          <w:tcPr>
            <w:tcW w:w="2115" w:type="dxa"/>
            <w:vMerge/>
            <w:shd w:val="clear" w:color="auto" w:fill="auto"/>
            <w:vAlign w:val="center"/>
          </w:tcP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专项审计工作完成率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rPr>
          <w:trHeight w:val="65"/>
        </w:trPr>
        <w:tc>
          <w:tcPr>
            <w:tcW w:w="1663" w:type="dxa"/>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审计管理</w:t>
            </w:r>
          </w:p>
        </w:tc>
        <w:tc>
          <w:tcPr>
            <w:tcW w:w="906" w:type="dxa"/>
            <w:shd w:val="clear" w:color="auto" w:fill="auto"/>
            <w:vAlign w:val="center"/>
          </w:tcPr>
          <w:p>
            <w:pPr>
              <w:spacing w:line="300" w:lineRule="exact"/>
              <w:jc w:val="left"/>
              <w:rPr>
                <w:rFonts w:ascii="方正书宋_GBK" w:eastAsia="方正书宋_GBK"/>
              </w:rPr>
            </w:pP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进行内部审计管理和审计法制管理。</w:t>
            </w: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进行内部审计管理和审计法制管理。贯彻落实相关法律法规及大内部审计管理制度提高审计质量和审计机关法制管理水平。</w:t>
            </w:r>
          </w:p>
        </w:tc>
        <w:tc>
          <w:tcPr>
            <w:tcW w:w="663" w:type="dxa"/>
            <w:shd w:val="clear" w:color="auto" w:fill="auto"/>
            <w:vAlign w:val="center"/>
          </w:tcPr>
          <w:p>
            <w:pPr>
              <w:spacing w:line="300" w:lineRule="exact"/>
              <w:jc w:val="left"/>
              <w:rPr>
                <w:rFonts w:ascii="方正书宋_GBK" w:eastAsia="方正书宋_GBK"/>
              </w:rPr>
            </w:pPr>
          </w:p>
        </w:tc>
        <w:tc>
          <w:tcPr>
            <w:tcW w:w="575"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8" w:type="dxa"/>
            <w:shd w:val="clear" w:color="auto" w:fill="auto"/>
            <w:vAlign w:val="center"/>
          </w:tcPr>
          <w:p>
            <w:pPr>
              <w:spacing w:line="300" w:lineRule="exact"/>
              <w:jc w:val="center"/>
              <w:rPr>
                <w:rFonts w:ascii="方正书宋_GBK" w:eastAsia="方正书宋_GBK"/>
              </w:rPr>
            </w:pPr>
          </w:p>
        </w:tc>
      </w:tr>
      <w:tr>
        <w:trPr>
          <w:trHeight w:val="65"/>
        </w:trPr>
        <w:tc>
          <w:tcPr>
            <w:tcW w:w="1663"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内部审计管理</w:t>
            </w:r>
          </w:p>
        </w:tc>
        <w:tc>
          <w:tcPr>
            <w:tcW w:w="906" w:type="dxa"/>
            <w:vMerge w:val="restart"/>
            <w:shd w:val="clear" w:color="auto" w:fill="auto"/>
            <w:vAlign w:val="center"/>
          </w:tcPr>
          <w:p>
            <w:pPr>
              <w:spacing w:line="300" w:lineRule="exact"/>
              <w:jc w:val="left"/>
              <w:rPr>
                <w:rFonts w:ascii="方正书宋_GBK" w:eastAsia="方正书宋_GBK"/>
              </w:rPr>
            </w:pP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制定内部审计措施并组织落实；制定内部审计业务规章、制度、管理办法等并开展监督检查；开展内部审计业务，受理内部审计业务咨询；提供内部审计成果；协调内部审计和国家审计间工作等。</w:t>
            </w: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受理内审业务咨询，提高内部审计质量；协调内部审计和国家审计间工作，保障内部审计工作的顺利进行；控制费用标准严格。</w:t>
            </w: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内审业务指导、监督检查率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rPr>
          <w:trHeight w:val="65"/>
        </w:trPr>
        <w:tc>
          <w:tcPr>
            <w:tcW w:w="1663" w:type="dxa"/>
            <w:vMerge/>
            <w:shd w:val="clear" w:color="auto" w:fill="auto"/>
            <w:vAlign w:val="center"/>
          </w:tcPr>
          <w:p/>
        </w:tc>
        <w:tc>
          <w:tcPr>
            <w:tcW w:w="906" w:type="dxa"/>
            <w:vMerge/>
            <w:shd w:val="clear" w:color="auto" w:fill="auto"/>
            <w:vAlign w:val="center"/>
          </w:tcPr>
          <w:p/>
        </w:tc>
        <w:tc>
          <w:tcPr>
            <w:tcW w:w="2115" w:type="dxa"/>
            <w:vMerge/>
            <w:shd w:val="clear" w:color="auto" w:fill="auto"/>
            <w:vAlign w:val="center"/>
          </w:tcPr>
          <w:p/>
        </w:tc>
        <w:tc>
          <w:tcPr>
            <w:tcW w:w="2115" w:type="dxa"/>
            <w:vMerge/>
            <w:shd w:val="clear" w:color="auto" w:fill="auto"/>
            <w:vAlign w:val="center"/>
          </w:tcP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内审业务办结率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rPr>
          <w:trHeight w:val="65"/>
        </w:trPr>
        <w:tc>
          <w:tcPr>
            <w:tcW w:w="1663"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审计法制管理</w:t>
            </w:r>
          </w:p>
        </w:tc>
        <w:tc>
          <w:tcPr>
            <w:tcW w:w="906" w:type="dxa"/>
            <w:vMerge w:val="restart"/>
            <w:shd w:val="clear" w:color="auto" w:fill="auto"/>
            <w:vAlign w:val="center"/>
          </w:tcPr>
          <w:p>
            <w:pPr>
              <w:spacing w:line="300" w:lineRule="exact"/>
              <w:jc w:val="left"/>
              <w:rPr>
                <w:rFonts w:ascii="方正书宋_GBK" w:eastAsia="方正书宋_GBK"/>
              </w:rPr>
            </w:pP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对审计项目、规范性文件进行审核，依法核查社会审计机构相关审计报告，做好审计机关的质量检查等。</w:t>
            </w:r>
          </w:p>
        </w:tc>
        <w:tc>
          <w:tcPr>
            <w:tcW w:w="2115"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通过审计项目审理来保障审计质量，提高区级审计法制管理水平。</w:t>
            </w: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审计项目报告合格率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rPr>
          <w:trHeight w:val="65"/>
        </w:trPr>
        <w:tc>
          <w:tcPr>
            <w:tcW w:w="1663" w:type="dxa"/>
            <w:vMerge/>
            <w:shd w:val="clear" w:color="auto" w:fill="auto"/>
            <w:vAlign w:val="center"/>
          </w:tcPr>
          <w:p/>
        </w:tc>
        <w:tc>
          <w:tcPr>
            <w:tcW w:w="906" w:type="dxa"/>
            <w:vMerge/>
            <w:shd w:val="clear" w:color="auto" w:fill="auto"/>
            <w:vAlign w:val="center"/>
          </w:tcPr>
          <w:p/>
        </w:tc>
        <w:tc>
          <w:tcPr>
            <w:tcW w:w="2115" w:type="dxa"/>
            <w:vMerge/>
            <w:shd w:val="clear" w:color="auto" w:fill="auto"/>
            <w:vAlign w:val="center"/>
          </w:tcPr>
          <w:p/>
        </w:tc>
        <w:tc>
          <w:tcPr>
            <w:tcW w:w="2115" w:type="dxa"/>
            <w:vMerge/>
            <w:shd w:val="clear" w:color="auto" w:fill="auto"/>
            <w:vAlign w:val="center"/>
          </w:tcP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审计项目审理覆盖率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rPr>
          <w:trHeight w:val="65"/>
        </w:trPr>
        <w:tc>
          <w:tcPr>
            <w:tcW w:w="1663" w:type="dxa"/>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审计政务管理</w:t>
            </w:r>
          </w:p>
        </w:tc>
        <w:tc>
          <w:tcPr>
            <w:tcW w:w="906" w:type="dxa"/>
            <w:shd w:val="clear" w:color="auto" w:fill="auto"/>
            <w:vAlign w:val="center"/>
          </w:tcPr>
          <w:p>
            <w:pPr>
              <w:spacing w:line="300" w:lineRule="exact"/>
              <w:jc w:val="left"/>
              <w:rPr>
                <w:rFonts w:ascii="方正书宋_GBK" w:eastAsia="方正书宋_GBK"/>
              </w:rPr>
            </w:pP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包括系统综合业务管理和机关综合事务管理。</w:t>
            </w: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包括系统综合业务管理和机关综合事务管理。充分发挥参谋助手作用和综合协调作用，推进审计事业科学协调发展。</w:t>
            </w:r>
          </w:p>
        </w:tc>
        <w:tc>
          <w:tcPr>
            <w:tcW w:w="663" w:type="dxa"/>
            <w:shd w:val="clear" w:color="auto" w:fill="auto"/>
            <w:vAlign w:val="center"/>
          </w:tcPr>
          <w:p>
            <w:pPr>
              <w:spacing w:line="300" w:lineRule="exact"/>
              <w:jc w:val="left"/>
              <w:rPr>
                <w:rFonts w:ascii="方正书宋_GBK" w:eastAsia="方正书宋_GBK"/>
              </w:rPr>
            </w:pPr>
          </w:p>
        </w:tc>
        <w:tc>
          <w:tcPr>
            <w:tcW w:w="575"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2" w:type="dxa"/>
            <w:shd w:val="clear" w:color="auto" w:fill="auto"/>
            <w:vAlign w:val="center"/>
          </w:tcPr>
          <w:p>
            <w:pPr>
              <w:spacing w:line="300" w:lineRule="exact"/>
              <w:jc w:val="center"/>
              <w:rPr>
                <w:rFonts w:ascii="方正书宋_GBK" w:eastAsia="方正书宋_GBK"/>
              </w:rPr>
            </w:pPr>
          </w:p>
        </w:tc>
        <w:tc>
          <w:tcPr>
            <w:tcW w:w="528" w:type="dxa"/>
            <w:shd w:val="clear" w:color="auto" w:fill="auto"/>
            <w:vAlign w:val="center"/>
          </w:tcPr>
          <w:p>
            <w:pPr>
              <w:spacing w:line="300" w:lineRule="exact"/>
              <w:jc w:val="center"/>
              <w:rPr>
                <w:rFonts w:ascii="方正书宋_GBK" w:eastAsia="方正书宋_GBK"/>
              </w:rPr>
            </w:pPr>
          </w:p>
        </w:tc>
      </w:tr>
      <w:tr>
        <w:trPr>
          <w:trHeight w:val="65"/>
        </w:trPr>
        <w:tc>
          <w:tcPr>
            <w:tcW w:w="1663" w:type="dxa"/>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综合业务管理</w:t>
            </w:r>
          </w:p>
        </w:tc>
        <w:tc>
          <w:tcPr>
            <w:tcW w:w="906" w:type="dxa"/>
            <w:shd w:val="clear" w:color="auto" w:fill="auto"/>
            <w:vAlign w:val="center"/>
          </w:tcPr>
          <w:p>
            <w:pPr>
              <w:spacing w:line="300" w:lineRule="exact"/>
              <w:jc w:val="left"/>
              <w:rPr>
                <w:rFonts w:ascii="方正书宋_GBK" w:eastAsia="方正书宋_GBK"/>
              </w:rPr>
            </w:pP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组织开展信息化建设、教育培训、审计理论研究，抓好新闻宣传和文化建设、政务信息公开，开展审计服务和业务咨询。</w:t>
            </w:r>
          </w:p>
        </w:tc>
        <w:tc>
          <w:tcPr>
            <w:tcW w:w="2115"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信息保障安全有效，信息化建设稳步推进；加强宣传引导；提高人员业务水平，推动审计事业发展。</w:t>
            </w:r>
          </w:p>
        </w:tc>
        <w:tc>
          <w:tcPr>
            <w:tcW w:w="663"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综合业务管理工作完成率</w:t>
            </w:r>
          </w:p>
        </w:tc>
        <w:tc>
          <w:tcPr>
            <w:tcW w:w="575"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522"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528"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560" w:lineRule="exact"/>
        <w:ind w:left="0"/>
        <w:rPr>
          <w:rFonts w:ascii="仿宋_GB2312" w:eastAsia="仿宋_GB2312" w:cs="Times New Roman" w:hint="eastAsia"/>
          <w:b/>
          <w:sz w:val="32"/>
          <w:szCs w:val="32"/>
        </w:rPr>
      </w:pPr>
      <w:r>
        <w:rPr>
          <w:rFonts w:ascii="仿宋_GB2312" w:eastAsia="仿宋_GB2312" w:hint="eastAsia"/>
          <w:b/>
          <w:sz w:val="32"/>
          <w:szCs w:val="32"/>
        </w:rPr>
        <w:t>（四）扶贫项目绩效目标表</w:t>
      </w:r>
    </w:p>
    <w:p>
      <w:pPr>
        <w:spacing w:line="560" w:lineRule="exact"/>
        <w:ind w:firstLine="645"/>
        <w:rPr>
          <w:rFonts w:ascii="仿宋_GB2312" w:eastAsia="仿宋_GB2312" w:cs="Times New Roman" w:hint="eastAsia"/>
          <w:sz w:val="32"/>
          <w:szCs w:val="32"/>
        </w:rPr>
      </w:pPr>
      <w:r>
        <w:rPr>
          <w:rFonts w:ascii="仿宋_GB2312" w:eastAsia="仿宋_GB2312" w:cs="Times New Roman" w:hint="eastAsia"/>
          <w:sz w:val="32"/>
          <w:szCs w:val="32"/>
        </w:rPr>
        <w:t>无</w:t>
      </w:r>
    </w:p>
    <w:p>
      <w:pPr>
        <w:spacing w:line="560" w:lineRule="exact"/>
        <w:ind w:firstLine="645"/>
        <w:rPr>
          <w:rFonts w:ascii="黑体" w:eastAsia="黑体" w:cs="Times New Roman"/>
          <w:sz w:val="32"/>
          <w:szCs w:val="32"/>
        </w:rPr>
      </w:pPr>
    </w:p>
    <w:p>
      <w:pPr>
        <w:spacing w:line="560" w:lineRule="exact"/>
        <w:ind w:firstLine="645"/>
        <w:rPr>
          <w:rFonts w:ascii="仿宋_GB2312" w:eastAsia="仿宋_GB2312" w:cs="Times New Roman"/>
          <w:sz w:val="32"/>
          <w:szCs w:val="32"/>
        </w:rPr>
      </w:pPr>
      <w:r>
        <w:rPr>
          <w:rFonts w:ascii="黑体" w:eastAsia="黑体" w:cs="Times New Roman" w:hint="eastAsia"/>
          <w:sz w:val="32"/>
          <w:szCs w:val="32"/>
        </w:rPr>
        <w:t>六、政府采购预算情况</w:t>
      </w:r>
    </w:p>
    <w:p>
      <w:pPr>
        <w:adjustRightInd w:val="0"/>
        <w:snapToGrid w:val="0"/>
        <w:spacing w:line="560" w:lineRule="exact"/>
        <w:ind w:leftChars="303" w:left="636" w:firstLineChars="200" w:firstLine="640"/>
        <w:rPr>
          <w:rFonts w:ascii="仿宋_GB2312" w:eastAsia="仿宋_GB2312" w:hint="eastAsia"/>
          <w:sz w:val="32"/>
          <w:szCs w:val="32"/>
        </w:rPr>
      </w:pPr>
      <w:r>
        <w:rPr>
          <w:rFonts w:ascii="仿宋_GB2312" w:eastAsia="仿宋_GB2312" w:cs="Times New Roman"/>
          <w:sz w:val="32"/>
          <w:szCs w:val="32"/>
        </w:rPr>
        <w:t>201</w:t>
      </w:r>
      <w:r>
        <w:rPr>
          <w:rFonts w:ascii="仿宋_GB2312" w:eastAsia="仿宋_GB2312" w:cs="Times New Roman" w:hint="eastAsia"/>
          <w:sz w:val="32"/>
          <w:szCs w:val="32"/>
        </w:rPr>
        <w:t>9</w:t>
      </w:r>
      <w:r>
        <w:rPr>
          <w:rFonts w:ascii="仿宋_GB2312" w:eastAsia="仿宋_GB2312" w:cs="Times New Roman"/>
          <w:sz w:val="32"/>
          <w:szCs w:val="32"/>
        </w:rPr>
        <w:t>年</w:t>
      </w:r>
      <w:r>
        <w:rPr>
          <w:rFonts w:ascii="仿宋_GB2312" w:eastAsia="仿宋_GB2312" w:hint="eastAsia"/>
          <w:sz w:val="32"/>
          <w:szCs w:val="32"/>
        </w:rPr>
        <w:t>部门预算共计安排政府采购项目</w:t>
      </w:r>
      <w:r>
        <w:rPr>
          <w:rFonts w:ascii="仿宋_GB2312" w:eastAsia="仿宋_GB2312"/>
          <w:sz w:val="32"/>
          <w:szCs w:val="32"/>
        </w:rPr>
        <w:t>2</w:t>
      </w:r>
      <w:r>
        <w:rPr>
          <w:rFonts w:ascii="仿宋_GB2312" w:eastAsia="仿宋_GB2312" w:hint="eastAsia"/>
          <w:sz w:val="32"/>
          <w:szCs w:val="32"/>
        </w:rPr>
        <w:t>个</w:t>
      </w:r>
      <w:r>
        <w:rPr>
          <w:rFonts w:ascii="仿宋_GB2312" w:eastAsia="仿宋_GB2312" w:cs="Times New Roman"/>
          <w:sz w:val="32"/>
          <w:szCs w:val="32"/>
        </w:rPr>
        <w:t>，</w:t>
      </w:r>
      <w:r>
        <w:rPr>
          <w:rFonts w:ascii="仿宋_GB2312" w:eastAsia="仿宋_GB2312" w:hint="eastAsia"/>
          <w:sz w:val="32"/>
          <w:szCs w:val="32"/>
        </w:rPr>
        <w:t>涉及金额</w:t>
      </w:r>
      <w:r>
        <w:rPr>
          <w:rFonts w:ascii="仿宋_GB2312" w:eastAsia="仿宋_GB2312"/>
          <w:sz w:val="32"/>
          <w:szCs w:val="32"/>
        </w:rPr>
        <w:t>10</w:t>
      </w:r>
      <w:r>
        <w:rPr>
          <w:rFonts w:ascii="仿宋_GB2312" w:eastAsia="仿宋_GB2312" w:hint="eastAsia"/>
          <w:sz w:val="32"/>
          <w:szCs w:val="32"/>
        </w:rPr>
        <w:t>万元。其中：货物类</w:t>
      </w:r>
      <w:r>
        <w:rPr>
          <w:rFonts w:ascii="仿宋_GB2312" w:eastAsia="仿宋_GB2312"/>
          <w:sz w:val="32"/>
          <w:szCs w:val="32"/>
        </w:rPr>
        <w:t>2</w:t>
      </w:r>
      <w:r>
        <w:rPr>
          <w:rFonts w:ascii="仿宋_GB2312" w:eastAsia="仿宋_GB2312" w:hint="eastAsia"/>
          <w:sz w:val="32"/>
          <w:szCs w:val="32"/>
        </w:rPr>
        <w:t>个,涉及金额</w:t>
      </w:r>
      <w:r>
        <w:rPr>
          <w:rFonts w:ascii="仿宋_GB2312" w:eastAsia="仿宋_GB2312"/>
          <w:sz w:val="32"/>
          <w:szCs w:val="32"/>
        </w:rPr>
        <w:t>10</w:t>
      </w:r>
      <w:r>
        <w:rPr>
          <w:rFonts w:ascii="仿宋_GB2312" w:eastAsia="仿宋_GB2312" w:hint="eastAsia"/>
          <w:sz w:val="32"/>
          <w:szCs w:val="32"/>
        </w:rPr>
        <w:t>万元,主要包括计算机</w:t>
      </w:r>
      <w:r>
        <w:rPr>
          <w:rFonts w:ascii="仿宋_GB2312" w:eastAsia="仿宋_GB2312"/>
          <w:sz w:val="32"/>
          <w:szCs w:val="32"/>
        </w:rPr>
        <w:t>设备</w:t>
      </w:r>
      <w:r>
        <w:rPr>
          <w:rFonts w:ascii="仿宋_GB2312" w:eastAsia="仿宋_GB2312" w:hint="eastAsia"/>
          <w:sz w:val="32"/>
          <w:szCs w:val="32"/>
        </w:rPr>
        <w:t>5台、打印</w:t>
      </w:r>
      <w:r>
        <w:rPr>
          <w:rFonts w:ascii="仿宋_GB2312" w:eastAsia="仿宋_GB2312"/>
          <w:sz w:val="32"/>
          <w:szCs w:val="32"/>
        </w:rPr>
        <w:t>设备4</w:t>
      </w:r>
      <w:r>
        <w:rPr>
          <w:rFonts w:ascii="仿宋_GB2312" w:eastAsia="仿宋_GB2312" w:hint="eastAsia"/>
          <w:sz w:val="32"/>
          <w:szCs w:val="32"/>
        </w:rPr>
        <w:t>台。</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ascii="仿宋_GB2312" w:eastAsia="仿宋_GB2312" w:cs="Times New Roman"/>
          <w:sz w:val="32"/>
          <w:szCs w:val="32"/>
        </w:rPr>
        <w:t>具体内容见下表。</w:t>
      </w:r>
    </w:p>
    <w:tbl>
      <w:tblPr>
        <w:jc w:val="center"/>
        <w:tblW w:w="11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73"/>
        <w:gridCol w:w="979"/>
        <w:gridCol w:w="707"/>
        <w:gridCol w:w="1136"/>
        <w:gridCol w:w="404"/>
        <w:gridCol w:w="871"/>
        <w:gridCol w:w="709"/>
        <w:gridCol w:w="851"/>
        <w:gridCol w:w="829"/>
        <w:gridCol w:w="851"/>
        <w:gridCol w:w="425"/>
        <w:gridCol w:w="425"/>
        <w:gridCol w:w="426"/>
        <w:gridCol w:w="729"/>
      </w:tblGrid>
      <w:tr>
        <w:trPr>
          <w:cantSplit/>
          <w:tblHeader/>
        </w:trPr>
        <w:tc>
          <w:tcPr>
            <w:tcW w:w="6479"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hint="eastAsia"/>
                <w:sz w:val="24"/>
              </w:rPr>
              <w:t>311 审计局</w:t>
            </w:r>
          </w:p>
        </w:tc>
        <w:tc>
          <w:tcPr>
            <w:tcW w:w="4536" w:type="dxa"/>
            <w:gridSpan w:val="7"/>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cantSplit/>
          <w:tblHeader/>
        </w:trPr>
        <w:tc>
          <w:tcPr>
            <w:tcW w:w="2652" w:type="dxa"/>
            <w:gridSpan w:val="2"/>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707" w:type="dxa"/>
            <w:vMerge w:val="restart"/>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136" w:type="dxa"/>
            <w:vMerge w:val="restart"/>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404" w:type="dxa"/>
            <w:vMerge w:val="restart"/>
            <w:vAlign w:val="center"/>
          </w:tcPr>
          <w:p>
            <w:pPr>
              <w:spacing w:line="300" w:lineRule="exact"/>
              <w:jc w:val="center"/>
              <w:rPr>
                <w:rFonts w:ascii="方正书宋_GBK" w:eastAsia="方正书宋_GBK"/>
                <w:b/>
              </w:rPr>
            </w:pPr>
            <w:r>
              <w:rPr>
                <w:rFonts w:ascii="方正书宋_GBK" w:eastAsia="方正书宋_GBK" w:hint="eastAsia"/>
                <w:b/>
              </w:rPr>
              <w:t>数量单位</w:t>
            </w:r>
          </w:p>
        </w:tc>
        <w:tc>
          <w:tcPr>
            <w:tcW w:w="871" w:type="dxa"/>
            <w:vMerge w:val="restart"/>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709" w:type="dxa"/>
            <w:vMerge w:val="restart"/>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4536" w:type="dxa"/>
            <w:gridSpan w:val="7"/>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cantSplit/>
          <w:tblHeader/>
        </w:trPr>
        <w:tc>
          <w:tcPr>
            <w:tcW w:w="1673" w:type="dxa"/>
            <w:vMerge w:val="restart"/>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979"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707" w:type="dxa"/>
            <w:vMerge/>
            <w:vAlign w:val="center"/>
          </w:tcPr>
          <w:p/>
        </w:tc>
        <w:tc>
          <w:tcPr>
            <w:tcW w:w="1136" w:type="dxa"/>
            <w:vMerge/>
            <w:vAlign w:val="center"/>
          </w:tcPr>
          <w:p/>
        </w:tc>
        <w:tc>
          <w:tcPr>
            <w:tcW w:w="404" w:type="dxa"/>
            <w:vMerge/>
            <w:vAlign w:val="center"/>
          </w:tcPr>
          <w:p/>
        </w:tc>
        <w:tc>
          <w:tcPr>
            <w:tcW w:w="871" w:type="dxa"/>
            <w:vMerge/>
            <w:vAlign w:val="center"/>
          </w:tcPr>
          <w:p/>
        </w:tc>
        <w:tc>
          <w:tcPr>
            <w:tcW w:w="709" w:type="dxa"/>
            <w:vMerge/>
            <w:vAlign w:val="center"/>
          </w:tcPr>
          <w:p/>
        </w:tc>
        <w:tc>
          <w:tcPr>
            <w:tcW w:w="851" w:type="dxa"/>
            <w:vMerge w:val="restart"/>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2956" w:type="dxa"/>
            <w:gridSpan w:val="5"/>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729" w:type="dxa"/>
            <w:vMerge w:val="restart"/>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cantSplit/>
          <w:tblHeader/>
        </w:trPr>
        <w:tc>
          <w:tcPr>
            <w:tcW w:w="1673" w:type="dxa"/>
            <w:vMerge/>
            <w:vAlign w:val="center"/>
          </w:tcPr>
          <w:p/>
        </w:tc>
        <w:tc>
          <w:tcPr>
            <w:tcW w:w="979" w:type="dxa"/>
            <w:vMerge/>
            <w:vAlign w:val="center"/>
          </w:tcPr>
          <w:p/>
        </w:tc>
        <w:tc>
          <w:tcPr>
            <w:tcW w:w="707" w:type="dxa"/>
            <w:vMerge/>
            <w:vAlign w:val="center"/>
          </w:tcPr>
          <w:p/>
        </w:tc>
        <w:tc>
          <w:tcPr>
            <w:tcW w:w="1136" w:type="dxa"/>
            <w:vMerge/>
            <w:vAlign w:val="center"/>
          </w:tcPr>
          <w:p/>
        </w:tc>
        <w:tc>
          <w:tcPr>
            <w:tcW w:w="404" w:type="dxa"/>
            <w:vMerge/>
            <w:vAlign w:val="center"/>
          </w:tcPr>
          <w:p/>
        </w:tc>
        <w:tc>
          <w:tcPr>
            <w:tcW w:w="871" w:type="dxa"/>
            <w:vMerge/>
            <w:vAlign w:val="center"/>
          </w:tcPr>
          <w:p/>
        </w:tc>
        <w:tc>
          <w:tcPr>
            <w:tcW w:w="709" w:type="dxa"/>
            <w:vMerge/>
            <w:vAlign w:val="center"/>
          </w:tcPr>
          <w:p/>
        </w:tc>
        <w:tc>
          <w:tcPr>
            <w:tcW w:w="851" w:type="dxa"/>
            <w:vMerge/>
            <w:vAlign w:val="center"/>
          </w:tcPr>
          <w:p/>
        </w:tc>
        <w:tc>
          <w:tcPr>
            <w:tcW w:w="829" w:type="dxa"/>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851" w:type="dxa"/>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425" w:type="dxa"/>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425" w:type="dxa"/>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426" w:type="dxa"/>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729" w:type="dxa"/>
            <w:vMerge/>
            <w:vAlign w:val="center"/>
          </w:tcPr>
          <w:p/>
        </w:tc>
      </w:tr>
      <w:tr>
        <w:trPr>
          <w:cantSplit/>
        </w:trPr>
        <w:tc>
          <w:tcPr>
            <w:tcW w:w="1673" w:type="dxa"/>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979" w:type="dxa"/>
            <w:vAlign w:val="center"/>
          </w:tcPr>
          <w:p>
            <w:pPr>
              <w:spacing w:line="300" w:lineRule="exact"/>
              <w:jc w:val="righ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1136" w:type="dxa"/>
            <w:vAlign w:val="center"/>
          </w:tcPr>
          <w:p>
            <w:pPr>
              <w:spacing w:line="300" w:lineRule="exact"/>
              <w:jc w:val="left"/>
              <w:rPr>
                <w:rFonts w:ascii="方正书宋_GBK" w:eastAsia="方正书宋_GBK"/>
                <w:b/>
              </w:rPr>
            </w:pPr>
          </w:p>
        </w:tc>
        <w:tc>
          <w:tcPr>
            <w:tcW w:w="404" w:type="dxa"/>
            <w:vAlign w:val="center"/>
          </w:tcPr>
          <w:p>
            <w:pPr>
              <w:spacing w:line="300" w:lineRule="exact"/>
              <w:jc w:val="left"/>
              <w:rPr>
                <w:rFonts w:ascii="方正书宋_GBK" w:eastAsia="方正书宋_GBK"/>
                <w:b/>
              </w:rPr>
            </w:pPr>
          </w:p>
        </w:tc>
        <w:tc>
          <w:tcPr>
            <w:tcW w:w="871" w:type="dxa"/>
            <w:vAlign w:val="center"/>
          </w:tcPr>
          <w:p>
            <w:pPr>
              <w:spacing w:line="300" w:lineRule="exact"/>
              <w:jc w:val="right"/>
              <w:rPr>
                <w:rFonts w:ascii="方正书宋_GBK" w:eastAsia="方正书宋_GBK"/>
                <w:b/>
              </w:rPr>
            </w:pPr>
            <w:r>
              <w:rPr>
                <w:rFonts w:ascii="方正书宋_GBK" w:eastAsia="方正书宋_GBK" w:hint="eastAsia"/>
                <w:b/>
              </w:rPr>
              <w:t>9.00</w:t>
            </w:r>
          </w:p>
        </w:tc>
        <w:tc>
          <w:tcPr>
            <w:tcW w:w="709" w:type="dxa"/>
            <w:vAlign w:val="center"/>
          </w:tcPr>
          <w:p>
            <w:pPr>
              <w:spacing w:line="300" w:lineRule="exact"/>
              <w:jc w:val="right"/>
              <w:rPr>
                <w:rFonts w:ascii="方正书宋_GBK" w:eastAsia="方正书宋_GBK"/>
                <w:b/>
              </w:rPr>
            </w:pPr>
          </w:p>
        </w:tc>
        <w:tc>
          <w:tcPr>
            <w:tcW w:w="851"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829"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851"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425" w:type="dxa"/>
            <w:vAlign w:val="center"/>
          </w:tcPr>
          <w:p>
            <w:pPr>
              <w:spacing w:line="300" w:lineRule="exact"/>
              <w:jc w:val="right"/>
              <w:rPr>
                <w:rFonts w:ascii="方正书宋_GBK" w:eastAsia="方正书宋_GBK"/>
                <w:b/>
              </w:rPr>
            </w:pPr>
          </w:p>
        </w:tc>
        <w:tc>
          <w:tcPr>
            <w:tcW w:w="425" w:type="dxa"/>
            <w:vAlign w:val="center"/>
          </w:tcPr>
          <w:p>
            <w:pPr>
              <w:spacing w:line="300" w:lineRule="exact"/>
              <w:jc w:val="right"/>
              <w:rPr>
                <w:rFonts w:ascii="方正书宋_GBK" w:eastAsia="方正书宋_GBK"/>
                <w:b/>
              </w:rPr>
            </w:pPr>
          </w:p>
        </w:tc>
        <w:tc>
          <w:tcPr>
            <w:tcW w:w="426" w:type="dxa"/>
            <w:vAlign w:val="center"/>
          </w:tcPr>
          <w:p>
            <w:pPr>
              <w:spacing w:line="300" w:lineRule="exact"/>
              <w:jc w:val="right"/>
              <w:rPr>
                <w:rFonts w:ascii="方正书宋_GBK" w:eastAsia="方正书宋_GBK"/>
                <w:b/>
              </w:rPr>
            </w:pPr>
          </w:p>
        </w:tc>
        <w:tc>
          <w:tcPr>
            <w:tcW w:w="729" w:type="dxa"/>
            <w:vAlign w:val="center"/>
          </w:tcPr>
          <w:p>
            <w:pPr>
              <w:spacing w:line="300" w:lineRule="exact"/>
              <w:jc w:val="right"/>
              <w:rPr>
                <w:rFonts w:ascii="方正书宋_GBK" w:eastAsia="方正书宋_GBK"/>
                <w:b/>
              </w:rPr>
            </w:pPr>
          </w:p>
        </w:tc>
      </w:tr>
      <w:tr>
        <w:trPr>
          <w:cantSplit/>
        </w:trPr>
        <w:tc>
          <w:tcPr>
            <w:tcW w:w="1673" w:type="dxa"/>
            <w:vAlign w:val="center"/>
          </w:tcPr>
          <w:p>
            <w:pPr>
              <w:spacing w:line="300" w:lineRule="exact"/>
              <w:jc w:val="center"/>
              <w:rPr>
                <w:rFonts w:ascii="方正书宋_GBK" w:eastAsia="方正书宋_GBK"/>
                <w:b/>
              </w:rPr>
            </w:pPr>
            <w:r>
              <w:rPr>
                <w:rFonts w:ascii="方正书宋_GBK" w:eastAsia="方正书宋_GBK" w:hint="eastAsia"/>
                <w:b/>
              </w:rPr>
              <w:t>审计局小计</w:t>
            </w:r>
          </w:p>
        </w:tc>
        <w:tc>
          <w:tcPr>
            <w:tcW w:w="979" w:type="dxa"/>
            <w:vAlign w:val="center"/>
          </w:tcPr>
          <w:p>
            <w:pPr>
              <w:spacing w:line="300" w:lineRule="exact"/>
              <w:jc w:val="righ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1136" w:type="dxa"/>
            <w:vAlign w:val="center"/>
          </w:tcPr>
          <w:p>
            <w:pPr>
              <w:spacing w:line="300" w:lineRule="exact"/>
              <w:jc w:val="left"/>
              <w:rPr>
                <w:rFonts w:ascii="方正书宋_GBK" w:eastAsia="方正书宋_GBK"/>
                <w:b/>
              </w:rPr>
            </w:pPr>
          </w:p>
        </w:tc>
        <w:tc>
          <w:tcPr>
            <w:tcW w:w="404" w:type="dxa"/>
            <w:vAlign w:val="center"/>
          </w:tcPr>
          <w:p>
            <w:pPr>
              <w:spacing w:line="300" w:lineRule="exact"/>
              <w:jc w:val="left"/>
              <w:rPr>
                <w:rFonts w:ascii="方正书宋_GBK" w:eastAsia="方正书宋_GBK"/>
                <w:b/>
              </w:rPr>
            </w:pPr>
          </w:p>
        </w:tc>
        <w:tc>
          <w:tcPr>
            <w:tcW w:w="871" w:type="dxa"/>
            <w:vAlign w:val="center"/>
          </w:tcPr>
          <w:p>
            <w:pPr>
              <w:spacing w:line="300" w:lineRule="exact"/>
              <w:jc w:val="right"/>
              <w:rPr>
                <w:rFonts w:ascii="方正书宋_GBK" w:eastAsia="方正书宋_GBK"/>
                <w:b/>
              </w:rPr>
            </w:pPr>
            <w:r>
              <w:rPr>
                <w:rFonts w:ascii="方正书宋_GBK" w:eastAsia="方正书宋_GBK" w:hint="eastAsia"/>
                <w:b/>
              </w:rPr>
              <w:t>9.00</w:t>
            </w:r>
          </w:p>
        </w:tc>
        <w:tc>
          <w:tcPr>
            <w:tcW w:w="709" w:type="dxa"/>
            <w:vAlign w:val="center"/>
          </w:tcPr>
          <w:p>
            <w:pPr>
              <w:spacing w:line="300" w:lineRule="exact"/>
              <w:jc w:val="right"/>
              <w:rPr>
                <w:rFonts w:ascii="方正书宋_GBK" w:eastAsia="方正书宋_GBK"/>
                <w:b/>
              </w:rPr>
            </w:pPr>
          </w:p>
        </w:tc>
        <w:tc>
          <w:tcPr>
            <w:tcW w:w="851"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829"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851" w:type="dxa"/>
            <w:vAlign w:val="center"/>
          </w:tcPr>
          <w:p>
            <w:pPr>
              <w:spacing w:line="300" w:lineRule="exact"/>
              <w:jc w:val="right"/>
              <w:rPr>
                <w:rFonts w:ascii="方正书宋_GBK" w:eastAsia="方正书宋_GBK"/>
                <w:b/>
              </w:rPr>
            </w:pPr>
            <w:r>
              <w:rPr>
                <w:rFonts w:ascii="方正书宋_GBK" w:eastAsia="方正书宋_GBK" w:hint="eastAsia"/>
                <w:b/>
              </w:rPr>
              <w:t>10.00</w:t>
            </w:r>
          </w:p>
        </w:tc>
        <w:tc>
          <w:tcPr>
            <w:tcW w:w="425" w:type="dxa"/>
            <w:vAlign w:val="center"/>
          </w:tcPr>
          <w:p>
            <w:pPr>
              <w:spacing w:line="300" w:lineRule="exact"/>
              <w:jc w:val="right"/>
              <w:rPr>
                <w:rFonts w:ascii="方正书宋_GBK" w:eastAsia="方正书宋_GBK"/>
                <w:b/>
              </w:rPr>
            </w:pPr>
          </w:p>
        </w:tc>
        <w:tc>
          <w:tcPr>
            <w:tcW w:w="425" w:type="dxa"/>
            <w:vAlign w:val="center"/>
          </w:tcPr>
          <w:p>
            <w:pPr>
              <w:spacing w:line="300" w:lineRule="exact"/>
              <w:jc w:val="right"/>
              <w:rPr>
                <w:rFonts w:ascii="方正书宋_GBK" w:eastAsia="方正书宋_GBK"/>
                <w:b/>
              </w:rPr>
            </w:pPr>
          </w:p>
        </w:tc>
        <w:tc>
          <w:tcPr>
            <w:tcW w:w="426" w:type="dxa"/>
            <w:vAlign w:val="center"/>
          </w:tcPr>
          <w:p>
            <w:pPr>
              <w:spacing w:line="300" w:lineRule="exact"/>
              <w:jc w:val="right"/>
              <w:rPr>
                <w:rFonts w:ascii="方正书宋_GBK" w:eastAsia="方正书宋_GBK"/>
                <w:b/>
              </w:rPr>
            </w:pPr>
          </w:p>
        </w:tc>
        <w:tc>
          <w:tcPr>
            <w:tcW w:w="729" w:type="dxa"/>
            <w:vAlign w:val="center"/>
          </w:tcPr>
          <w:p>
            <w:pPr>
              <w:spacing w:line="300" w:lineRule="exact"/>
              <w:jc w:val="right"/>
              <w:rPr>
                <w:rFonts w:ascii="方正书宋_GBK" w:eastAsia="方正书宋_GBK"/>
                <w:b/>
              </w:rPr>
            </w:pPr>
          </w:p>
        </w:tc>
      </w:tr>
      <w:tr>
        <w:trPr>
          <w:cantSplit/>
        </w:trPr>
        <w:tc>
          <w:tcPr>
            <w:tcW w:w="1673" w:type="dxa"/>
            <w:vAlign w:val="center"/>
          </w:tcPr>
          <w:p>
            <w:pPr>
              <w:spacing w:line="300" w:lineRule="exact"/>
              <w:jc w:val="left"/>
              <w:rPr>
                <w:rFonts w:ascii="方正书宋_GBK" w:eastAsia="方正书宋_GBK"/>
              </w:rPr>
            </w:pPr>
            <w:r>
              <w:rPr>
                <w:rFonts w:ascii="方正书宋_GBK" w:eastAsia="方正书宋_GBK" w:hint="eastAsia"/>
              </w:rPr>
              <w:t>审计业务经费</w:t>
            </w:r>
          </w:p>
        </w:tc>
        <w:tc>
          <w:tcPr>
            <w:tcW w:w="979" w:type="dxa"/>
            <w:vAlign w:val="center"/>
          </w:tcPr>
          <w:p>
            <w:pPr>
              <w:spacing w:line="300" w:lineRule="exact"/>
              <w:jc w:val="right"/>
              <w:rPr>
                <w:rFonts w:ascii="方正书宋_GBK" w:eastAsia="方正书宋_GBK"/>
              </w:rPr>
            </w:pPr>
            <w:r>
              <w:rPr>
                <w:rFonts w:ascii="方正书宋_GBK" w:eastAsia="方正书宋_GBK" w:hint="eastAsia"/>
              </w:rPr>
              <w:t>120</w:t>
            </w:r>
            <w:r>
              <w:rPr>
                <w:rFonts w:ascii="方正书宋_GBK" w:eastAsia="方正书宋_GBK"/>
              </w:rPr>
              <w:t>.00</w:t>
            </w:r>
          </w:p>
        </w:tc>
        <w:tc>
          <w:tcPr>
            <w:tcW w:w="707" w:type="dxa"/>
            <w:vAlign w:val="center"/>
          </w:tcPr>
          <w:p>
            <w:pPr>
              <w:spacing w:line="300" w:lineRule="exact"/>
              <w:jc w:val="left"/>
              <w:rPr>
                <w:rFonts w:ascii="方正书宋_GBK" w:eastAsia="方正书宋_GBK"/>
              </w:rPr>
            </w:pPr>
            <w:r>
              <w:rPr>
                <w:rFonts w:ascii="方正书宋_GBK" w:eastAsia="方正书宋_GBK" w:hint="eastAsia"/>
              </w:rPr>
              <w:t>计算机设备</w:t>
            </w:r>
          </w:p>
        </w:tc>
        <w:tc>
          <w:tcPr>
            <w:tcW w:w="1136" w:type="dxa"/>
            <w:vAlign w:val="center"/>
          </w:tcPr>
          <w:p>
            <w:pPr>
              <w:spacing w:line="300" w:lineRule="exact"/>
              <w:jc w:val="left"/>
              <w:rPr>
                <w:rFonts w:ascii="方正书宋_GBK" w:eastAsia="方正书宋_GBK"/>
              </w:rPr>
            </w:pPr>
            <w:r>
              <w:rPr>
                <w:rFonts w:ascii="方正书宋_GBK" w:eastAsia="方正书宋_GBK"/>
              </w:rPr>
              <w:t>A020101</w:t>
            </w:r>
          </w:p>
        </w:tc>
        <w:tc>
          <w:tcPr>
            <w:tcW w:w="404" w:type="dxa"/>
            <w:vAlign w:val="center"/>
          </w:tcPr>
          <w:p>
            <w:pPr>
              <w:spacing w:line="300" w:lineRule="exact"/>
              <w:jc w:val="left"/>
              <w:rPr>
                <w:rFonts w:ascii="方正书宋_GBK" w:eastAsia="方正书宋_GBK"/>
              </w:rPr>
            </w:pPr>
            <w:r>
              <w:rPr>
                <w:rFonts w:ascii="方正书宋_GBK" w:eastAsia="方正书宋_GBK" w:hint="eastAsia"/>
              </w:rPr>
              <w:t>台</w:t>
            </w:r>
          </w:p>
        </w:tc>
        <w:tc>
          <w:tcPr>
            <w:tcW w:w="871" w:type="dxa"/>
            <w:vAlign w:val="center"/>
          </w:tcPr>
          <w:p>
            <w:pPr>
              <w:spacing w:line="300" w:lineRule="exact"/>
              <w:jc w:val="right"/>
              <w:rPr>
                <w:rFonts w:ascii="方正书宋_GBK" w:eastAsia="方正书宋_GBK"/>
              </w:rPr>
            </w:pPr>
            <w:r>
              <w:rPr>
                <w:rFonts w:ascii="方正书宋_GBK" w:eastAsia="方正书宋_GBK" w:hint="eastAsia"/>
              </w:rPr>
              <w:t>5</w:t>
            </w:r>
            <w:r>
              <w:rPr>
                <w:rFonts w:ascii="方正书宋_GBK" w:eastAsia="方正书宋_GBK"/>
              </w:rPr>
              <w:t>.00</w:t>
            </w:r>
          </w:p>
        </w:tc>
        <w:tc>
          <w:tcPr>
            <w:tcW w:w="709" w:type="dxa"/>
            <w:vAlign w:val="center"/>
          </w:tcPr>
          <w:p>
            <w:pPr>
              <w:spacing w:line="300" w:lineRule="exact"/>
              <w:jc w:val="right"/>
              <w:rPr>
                <w:rFonts w:ascii="方正书宋_GBK" w:eastAsia="方正书宋_GBK"/>
              </w:rPr>
            </w:pPr>
            <w:r>
              <w:rPr>
                <w:rFonts w:ascii="方正书宋_GBK" w:eastAsia="方正书宋_GBK" w:hint="eastAsia"/>
              </w:rPr>
              <w:t>1</w:t>
            </w:r>
            <w:r>
              <w:rPr>
                <w:rFonts w:ascii="方正书宋_GBK" w:eastAsia="方正书宋_GBK"/>
              </w:rPr>
              <w:t>.6</w:t>
            </w:r>
          </w:p>
        </w:tc>
        <w:tc>
          <w:tcPr>
            <w:tcW w:w="851" w:type="dxa"/>
            <w:vAlign w:val="center"/>
          </w:tcPr>
          <w:p>
            <w:pPr>
              <w:spacing w:line="300" w:lineRule="exact"/>
              <w:jc w:val="right"/>
              <w:rPr>
                <w:rFonts w:ascii="方正书宋_GBK" w:eastAsia="方正书宋_GBK"/>
              </w:rPr>
            </w:pPr>
            <w:r>
              <w:rPr>
                <w:rFonts w:ascii="方正书宋_GBK" w:eastAsia="方正书宋_GBK" w:hint="eastAsia"/>
              </w:rPr>
              <w:t>8.00</w:t>
            </w:r>
          </w:p>
        </w:tc>
        <w:tc>
          <w:tcPr>
            <w:tcW w:w="829" w:type="dxa"/>
            <w:vAlign w:val="center"/>
          </w:tcPr>
          <w:p>
            <w:pPr>
              <w:spacing w:line="300" w:lineRule="exact"/>
              <w:jc w:val="right"/>
              <w:rPr>
                <w:rFonts w:ascii="方正书宋_GBK" w:eastAsia="方正书宋_GBK"/>
              </w:rPr>
            </w:pPr>
            <w:r>
              <w:rPr>
                <w:rFonts w:ascii="方正书宋_GBK" w:eastAsia="方正书宋_GBK" w:hint="eastAsia"/>
              </w:rPr>
              <w:t>8.00</w:t>
            </w:r>
          </w:p>
        </w:tc>
        <w:tc>
          <w:tcPr>
            <w:tcW w:w="851" w:type="dxa"/>
            <w:vAlign w:val="center"/>
          </w:tcPr>
          <w:p>
            <w:pPr>
              <w:spacing w:line="300" w:lineRule="exact"/>
              <w:jc w:val="right"/>
              <w:rPr>
                <w:rFonts w:ascii="方正书宋_GBK" w:eastAsia="方正书宋_GBK"/>
              </w:rPr>
            </w:pPr>
            <w:r>
              <w:rPr>
                <w:rFonts w:ascii="方正书宋_GBK" w:eastAsia="方正书宋_GBK" w:hint="eastAsia"/>
              </w:rPr>
              <w:t>8.00</w:t>
            </w:r>
          </w:p>
        </w:tc>
        <w:tc>
          <w:tcPr>
            <w:tcW w:w="425" w:type="dxa"/>
            <w:vAlign w:val="center"/>
          </w:tcPr>
          <w:p>
            <w:pPr>
              <w:spacing w:line="300" w:lineRule="exact"/>
              <w:jc w:val="right"/>
              <w:rPr>
                <w:rFonts w:ascii="方正书宋_GBK" w:eastAsia="方正书宋_GBK"/>
              </w:rPr>
            </w:pPr>
          </w:p>
        </w:tc>
        <w:tc>
          <w:tcPr>
            <w:tcW w:w="425" w:type="dxa"/>
            <w:vAlign w:val="center"/>
          </w:tcPr>
          <w:p>
            <w:pPr>
              <w:spacing w:line="300" w:lineRule="exact"/>
              <w:jc w:val="right"/>
              <w:rPr>
                <w:rFonts w:ascii="方正书宋_GBK" w:eastAsia="方正书宋_GBK"/>
              </w:rPr>
            </w:pPr>
          </w:p>
        </w:tc>
        <w:tc>
          <w:tcPr>
            <w:tcW w:w="426" w:type="dxa"/>
            <w:vAlign w:val="center"/>
          </w:tcPr>
          <w:p>
            <w:pPr>
              <w:spacing w:line="300" w:lineRule="exact"/>
              <w:jc w:val="right"/>
              <w:rPr>
                <w:rFonts w:ascii="方正书宋_GBK" w:eastAsia="方正书宋_GBK"/>
              </w:rPr>
            </w:pPr>
          </w:p>
        </w:tc>
        <w:tc>
          <w:tcPr>
            <w:tcW w:w="729" w:type="dxa"/>
            <w:vAlign w:val="center"/>
          </w:tcPr>
          <w:p>
            <w:pPr>
              <w:spacing w:line="300" w:lineRule="exact"/>
              <w:jc w:val="right"/>
              <w:rPr>
                <w:rFonts w:ascii="方正书宋_GBK" w:eastAsia="方正书宋_GBK"/>
              </w:rPr>
            </w:pPr>
          </w:p>
        </w:tc>
      </w:tr>
      <w:tr>
        <w:trPr>
          <w:cantSplit/>
        </w:trPr>
        <w:tc>
          <w:tcPr>
            <w:tcW w:w="1673" w:type="dxa"/>
            <w:vAlign w:val="center"/>
          </w:tcPr>
          <w:p>
            <w:pPr>
              <w:spacing w:line="300" w:lineRule="exact"/>
              <w:jc w:val="left"/>
              <w:rPr>
                <w:rFonts w:ascii="方正书宋_GBK" w:eastAsia="方正书宋_GBK"/>
              </w:rPr>
            </w:pPr>
            <w:r>
              <w:rPr>
                <w:rFonts w:ascii="方正书宋_GBK" w:eastAsia="方正书宋_GBK" w:hint="eastAsia"/>
              </w:rPr>
              <w:t>审计业务经费</w:t>
            </w:r>
          </w:p>
        </w:tc>
        <w:tc>
          <w:tcPr>
            <w:tcW w:w="979" w:type="dxa"/>
            <w:vAlign w:val="center"/>
          </w:tcPr>
          <w:p>
            <w:pPr>
              <w:spacing w:line="300" w:lineRule="exact"/>
              <w:jc w:val="right"/>
              <w:rPr>
                <w:rFonts w:ascii="方正书宋_GBK" w:eastAsia="方正书宋_GBK"/>
              </w:rPr>
            </w:pPr>
            <w:r>
              <w:rPr>
                <w:rFonts w:ascii="方正书宋_GBK" w:eastAsia="方正书宋_GBK" w:hint="eastAsia"/>
              </w:rPr>
              <w:t>120</w:t>
            </w:r>
            <w:r>
              <w:rPr>
                <w:rFonts w:ascii="方正书宋_GBK" w:eastAsia="方正书宋_GBK"/>
              </w:rPr>
              <w:t>.00</w:t>
            </w:r>
          </w:p>
        </w:tc>
        <w:tc>
          <w:tcPr>
            <w:tcW w:w="707" w:type="dxa"/>
            <w:vAlign w:val="center"/>
          </w:tcPr>
          <w:p>
            <w:pPr>
              <w:spacing w:line="300" w:lineRule="exact"/>
              <w:jc w:val="left"/>
              <w:rPr>
                <w:rFonts w:ascii="方正书宋_GBK" w:eastAsia="方正书宋_GBK"/>
              </w:rPr>
            </w:pPr>
            <w:r>
              <w:rPr>
                <w:rFonts w:ascii="方正书宋_GBK" w:eastAsia="方正书宋_GBK" w:hint="eastAsia"/>
              </w:rPr>
              <w:t>打印设备</w:t>
            </w:r>
          </w:p>
        </w:tc>
        <w:tc>
          <w:tcPr>
            <w:tcW w:w="1136" w:type="dxa"/>
            <w:vAlign w:val="center"/>
          </w:tcPr>
          <w:p>
            <w:pPr>
              <w:spacing w:line="300" w:lineRule="exact"/>
              <w:jc w:val="left"/>
              <w:rPr>
                <w:rFonts w:ascii="方正书宋_GBK" w:eastAsia="方正书宋_GBK"/>
              </w:rPr>
            </w:pPr>
            <w:r>
              <w:rPr>
                <w:rFonts w:ascii="方正书宋_GBK" w:eastAsia="方正书宋_GBK"/>
              </w:rPr>
              <w:t>A02010</w:t>
            </w:r>
            <w:r>
              <w:rPr>
                <w:rFonts w:ascii="方正书宋_GBK" w:eastAsia="方正书宋_GBK" w:hint="eastAsia"/>
              </w:rPr>
              <w:t>601</w:t>
            </w:r>
          </w:p>
        </w:tc>
        <w:tc>
          <w:tcPr>
            <w:tcW w:w="404" w:type="dxa"/>
            <w:vAlign w:val="center"/>
          </w:tcPr>
          <w:p>
            <w:pPr>
              <w:spacing w:line="300" w:lineRule="exact"/>
              <w:jc w:val="left"/>
              <w:rPr>
                <w:rFonts w:ascii="方正书宋_GBK" w:eastAsia="方正书宋_GBK"/>
              </w:rPr>
            </w:pPr>
            <w:r>
              <w:rPr>
                <w:rFonts w:ascii="方正书宋_GBK" w:eastAsia="方正书宋_GBK" w:hint="eastAsia"/>
              </w:rPr>
              <w:t>台</w:t>
            </w:r>
          </w:p>
        </w:tc>
        <w:tc>
          <w:tcPr>
            <w:tcW w:w="871" w:type="dxa"/>
            <w:vAlign w:val="center"/>
          </w:tcPr>
          <w:p>
            <w:pPr>
              <w:spacing w:line="300" w:lineRule="exact"/>
              <w:jc w:val="right"/>
              <w:rPr>
                <w:rFonts w:ascii="方正书宋_GBK" w:eastAsia="方正书宋_GBK"/>
              </w:rPr>
            </w:pPr>
            <w:r>
              <w:rPr>
                <w:rFonts w:ascii="方正书宋_GBK" w:eastAsia="方正书宋_GBK" w:hint="eastAsia"/>
              </w:rPr>
              <w:t>4</w:t>
            </w:r>
            <w:r>
              <w:rPr>
                <w:rFonts w:ascii="方正书宋_GBK" w:eastAsia="方正书宋_GBK"/>
              </w:rPr>
              <w:t>.00</w:t>
            </w:r>
          </w:p>
        </w:tc>
        <w:tc>
          <w:tcPr>
            <w:tcW w:w="709" w:type="dxa"/>
            <w:vAlign w:val="center"/>
          </w:tcPr>
          <w:p>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5</w:t>
            </w:r>
          </w:p>
        </w:tc>
        <w:tc>
          <w:tcPr>
            <w:tcW w:w="851" w:type="dxa"/>
            <w:vAlign w:val="center"/>
          </w:tcPr>
          <w:p>
            <w:pPr>
              <w:spacing w:line="300" w:lineRule="exact"/>
              <w:jc w:val="right"/>
              <w:rPr>
                <w:rFonts w:ascii="方正书宋_GBK" w:eastAsia="方正书宋_GBK"/>
              </w:rPr>
            </w:pPr>
            <w:r>
              <w:rPr>
                <w:rFonts w:ascii="方正书宋_GBK" w:eastAsia="方正书宋_GBK" w:hint="eastAsia"/>
              </w:rPr>
              <w:t>2.00</w:t>
            </w:r>
          </w:p>
        </w:tc>
        <w:tc>
          <w:tcPr>
            <w:tcW w:w="829" w:type="dxa"/>
            <w:vAlign w:val="center"/>
          </w:tcPr>
          <w:p>
            <w:pPr>
              <w:spacing w:line="300" w:lineRule="exact"/>
              <w:jc w:val="right"/>
              <w:rPr>
                <w:rFonts w:ascii="方正书宋_GBK" w:eastAsia="方正书宋_GBK"/>
              </w:rPr>
            </w:pPr>
            <w:r>
              <w:rPr>
                <w:rFonts w:ascii="方正书宋_GBK" w:eastAsia="方正书宋_GBK" w:hint="eastAsia"/>
              </w:rPr>
              <w:t>2.00</w:t>
            </w:r>
          </w:p>
        </w:tc>
        <w:tc>
          <w:tcPr>
            <w:tcW w:w="851" w:type="dxa"/>
            <w:vAlign w:val="center"/>
          </w:tcPr>
          <w:p>
            <w:pPr>
              <w:spacing w:line="300" w:lineRule="exact"/>
              <w:jc w:val="right"/>
              <w:rPr>
                <w:rFonts w:ascii="方正书宋_GBK" w:eastAsia="方正书宋_GBK"/>
              </w:rPr>
            </w:pPr>
            <w:r>
              <w:rPr>
                <w:rFonts w:ascii="方正书宋_GBK" w:eastAsia="方正书宋_GBK" w:hint="eastAsia"/>
              </w:rPr>
              <w:t>2.00</w:t>
            </w:r>
          </w:p>
        </w:tc>
        <w:tc>
          <w:tcPr>
            <w:tcW w:w="425" w:type="dxa"/>
            <w:vAlign w:val="center"/>
          </w:tcPr>
          <w:p>
            <w:pPr>
              <w:spacing w:line="300" w:lineRule="exact"/>
              <w:jc w:val="right"/>
              <w:rPr>
                <w:rFonts w:ascii="方正书宋_GBK" w:eastAsia="方正书宋_GBK"/>
              </w:rPr>
            </w:pPr>
          </w:p>
        </w:tc>
        <w:tc>
          <w:tcPr>
            <w:tcW w:w="425" w:type="dxa"/>
            <w:vAlign w:val="center"/>
          </w:tcPr>
          <w:p>
            <w:pPr>
              <w:spacing w:line="300" w:lineRule="exact"/>
              <w:jc w:val="right"/>
              <w:rPr>
                <w:rFonts w:ascii="方正书宋_GBK" w:eastAsia="方正书宋_GBK"/>
              </w:rPr>
            </w:pPr>
          </w:p>
        </w:tc>
        <w:tc>
          <w:tcPr>
            <w:tcW w:w="426" w:type="dxa"/>
            <w:vAlign w:val="center"/>
          </w:tcPr>
          <w:p>
            <w:pPr>
              <w:spacing w:line="300" w:lineRule="exact"/>
              <w:jc w:val="right"/>
              <w:rPr>
                <w:rFonts w:ascii="方正书宋_GBK" w:eastAsia="方正书宋_GBK"/>
              </w:rPr>
            </w:pPr>
          </w:p>
        </w:tc>
        <w:tc>
          <w:tcPr>
            <w:tcW w:w="729" w:type="dxa"/>
            <w:vAlign w:val="center"/>
          </w:tcPr>
          <w:p>
            <w:pPr>
              <w:spacing w:line="300" w:lineRule="exact"/>
              <w:jc w:val="right"/>
              <w:rPr>
                <w:rFonts w:ascii="方正书宋_GBK" w:eastAsia="方正书宋_GBK"/>
              </w:rPr>
            </w:pPr>
          </w:p>
        </w:tc>
      </w:tr>
    </w:tbl>
    <w:p>
      <w:pPr>
        <w:spacing w:line="560" w:lineRule="exact"/>
        <w:ind w:firstLine="645"/>
        <w:rPr>
          <w:rFonts w:ascii="仿宋_GB2312" w:eastAsia="仿宋_GB2312" w:cs="Times New Roman"/>
          <w:sz w:val="32"/>
          <w:szCs w:val="32"/>
        </w:rPr>
      </w:pPr>
    </w:p>
    <w:p>
      <w:pPr>
        <w:spacing w:line="560" w:lineRule="exact"/>
        <w:ind w:firstLine="645"/>
        <w:rPr>
          <w:rFonts w:ascii="仿宋_GB2312" w:eastAsia="仿宋_GB2312" w:cs="Times New Roman"/>
          <w:sz w:val="32"/>
          <w:szCs w:val="32"/>
        </w:rPr>
      </w:pPr>
    </w:p>
    <w:p>
      <w:pPr>
        <w:spacing w:line="560" w:lineRule="exact"/>
        <w:ind w:firstLine="645"/>
        <w:rPr>
          <w:rFonts w:ascii="仿宋_GB2312" w:eastAsia="仿宋_GB2312" w:cs="Times New Roman"/>
          <w:sz w:val="32"/>
          <w:szCs w:val="32"/>
        </w:rPr>
      </w:pPr>
    </w:p>
    <w:p>
      <w:pPr>
        <w:spacing w:line="560" w:lineRule="exact"/>
        <w:ind w:firstLine="645"/>
        <w:rPr>
          <w:rFonts w:ascii="仿宋_GB2312" w:eastAsia="仿宋_GB2312" w:cs="Times New Roman"/>
          <w:sz w:val="32"/>
          <w:szCs w:val="32"/>
        </w:rPr>
      </w:pPr>
    </w:p>
    <w:p>
      <w:pPr>
        <w:spacing w:line="560" w:lineRule="exact"/>
        <w:ind w:firstLine="645"/>
        <w:rPr>
          <w:rFonts w:ascii="仿宋_GB2312" w:eastAsia="仿宋_GB2312" w:cs="Times New Roman" w:hint="eastAsia"/>
          <w:sz w:val="32"/>
          <w:szCs w:val="32"/>
        </w:rPr>
      </w:pPr>
    </w:p>
    <w:p>
      <w:pPr>
        <w:spacing w:line="560" w:lineRule="exact"/>
        <w:ind w:firstLine="645"/>
        <w:rPr>
          <w:rFonts w:ascii="仿宋_GB2312" w:eastAsia="仿宋_GB2312" w:cs="Times New Roman"/>
          <w:sz w:val="32"/>
          <w:szCs w:val="32"/>
        </w:rPr>
      </w:pPr>
    </w:p>
    <w:p>
      <w:pPr>
        <w:spacing w:line="560" w:lineRule="exact"/>
        <w:ind w:firstLine="645"/>
        <w:rPr>
          <w:rFonts w:ascii="仿宋_GB2312" w:eastAsia="仿宋_GB2312" w:cs="Times New Roman"/>
          <w:sz w:val="32"/>
          <w:szCs w:val="32"/>
        </w:rPr>
      </w:pPr>
    </w:p>
    <w:p>
      <w:pPr>
        <w:autoSpaceDE w:val="0"/>
        <w:autoSpaceDN w:val="0"/>
        <w:adjustRightInd w:val="0"/>
        <w:ind w:firstLineChars="200" w:firstLine="640"/>
        <w:jc w:val="left"/>
        <w:rPr>
          <w:rFonts w:ascii="黑体" w:eastAsia="黑体" w:cs="Times New Roman"/>
          <w:sz w:val="32"/>
          <w:szCs w:val="32"/>
        </w:rPr>
      </w:pPr>
      <w:r>
        <w:rPr>
          <w:rFonts w:ascii="黑体" w:eastAsia="黑体" w:cs="Times New Roman" w:hint="eastAsia"/>
          <w:sz w:val="32"/>
          <w:szCs w:val="32"/>
        </w:rPr>
        <w:t>七、国有资产信息</w:t>
      </w:r>
    </w:p>
    <w:p>
      <w:pPr>
        <w:spacing w:line="560" w:lineRule="exact"/>
        <w:ind w:firstLine="645"/>
        <w:rPr>
          <w:rFonts w:ascii="仿宋_GB2312" w:eastAsia="仿宋_GB2312" w:cs="Times New Roman"/>
          <w:sz w:val="32"/>
          <w:szCs w:val="32"/>
        </w:rPr>
      </w:pPr>
      <w:r>
        <w:rPr>
          <w:rFonts w:ascii="仿宋_GB2312" w:eastAsia="仿宋_GB2312" w:cs="Times New Roman" w:hint="eastAsia"/>
          <w:sz w:val="32"/>
          <w:szCs w:val="32"/>
        </w:rPr>
        <w:t>本部门上年末拥有流动资产24.04万元，固定资产145.16万元。其中：汽车2辆，20万元，其他固定资产125.16万元。共计145.16万元。预计2019年新增固定资产10万元。</w:t>
      </w:r>
    </w:p>
    <w:tbl>
      <w:tblPr>
        <w:jc w:val="left"/>
        <w:tblInd w:w="-1800"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3482"/>
      </w:tblGrid>
      <w:tr>
        <w:trPr>
          <w:trHeight w:val="705"/>
        </w:trPr>
        <w:tc>
          <w:tcPr>
            <w:tcW w:w="13482" w:type="dxa"/>
            <w:tcBorders>
              <w:top w:val="nil"/>
              <w:left w:val="nil"/>
              <w:bottom w:val="nil"/>
              <w:right w:val="nil"/>
            </w:tcBorders>
            <w:vAlign w:val="center"/>
          </w:tcPr>
          <w:p>
            <w:pPr>
              <w:widowControl/>
              <w:jc w:val="center"/>
              <w:rPr>
                <w:rFonts w:ascii="宋体" w:cs="宋体" w:hAnsi="宋体"/>
                <w:b/>
                <w:bCs/>
                <w:kern w:val="0"/>
                <w:sz w:val="32"/>
                <w:szCs w:val="32"/>
              </w:rPr>
            </w:pPr>
            <w:r>
              <w:rPr>
                <w:rFonts w:ascii="宋体" w:cs="宋体" w:hAnsi="宋体" w:hint="eastAsia"/>
                <w:b/>
                <w:bCs/>
                <w:kern w:val="0"/>
                <w:sz w:val="32"/>
                <w:szCs w:val="32"/>
              </w:rPr>
              <w:t>部门固定资产占用情况表</w:t>
            </w:r>
          </w:p>
          <w:tbl>
            <w:tblPr>
              <w:jc w:val="left"/>
              <w:tblInd w:w="93" w:type="dxa"/>
              <w:tblW w:w="114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87"/>
              <w:gridCol w:w="2666"/>
              <w:gridCol w:w="4435"/>
            </w:tblGrid>
            <w:tr>
              <w:trPr>
                <w:trHeight w:val="705"/>
              </w:trPr>
              <w:tc>
                <w:tcPr>
                  <w:tcW w:w="11488" w:type="dxa"/>
                  <w:gridSpan w:val="3"/>
                  <w:tcBorders>
                    <w:top w:val="nil"/>
                    <w:left w:val="nil"/>
                    <w:bottom w:val="nil"/>
                    <w:right w:val="nil"/>
                  </w:tcBorders>
                  <w:vAlign w:val="center"/>
                </w:tcPr>
                <w:p>
                  <w:pPr>
                    <w:widowControl/>
                    <w:rPr>
                      <w:rFonts w:ascii="宋体" w:cs="宋体" w:hAnsi="宋体"/>
                      <w:b/>
                      <w:bCs/>
                      <w:kern w:val="0"/>
                      <w:sz w:val="32"/>
                      <w:szCs w:val="32"/>
                    </w:rPr>
                  </w:pPr>
                </w:p>
              </w:tc>
            </w:tr>
            <w:tr>
              <w:trPr>
                <w:trHeight w:val="510"/>
              </w:trPr>
              <w:tc>
                <w:tcPr>
                  <w:tcW w:w="7053" w:type="dxa"/>
                  <w:gridSpan w:val="2"/>
                  <w:tcBorders>
                    <w:top w:val="nil"/>
                    <w:left w:val="nil"/>
                    <w:bottom w:val="nil"/>
                    <w:right w:val="nil"/>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编制部门：</w:t>
                  </w:r>
                  <w:r>
                    <w:rPr>
                      <w:rFonts w:ascii="Times New Roman" w:eastAsia="仿宋" w:cs="Times New Roman" w:hAnsi="Times New Roman" w:hint="eastAsia"/>
                      <w:kern w:val="0"/>
                      <w:sz w:val="22"/>
                    </w:rPr>
                    <w:t>审计局</w:t>
                  </w:r>
                </w:p>
              </w:tc>
              <w:tc>
                <w:tcPr>
                  <w:tcW w:w="4435" w:type="dxa"/>
                  <w:tcBorders>
                    <w:top w:val="nil"/>
                    <w:left w:val="nil"/>
                    <w:bottom w:val="nil"/>
                    <w:right w:val="nil"/>
                  </w:tcBorders>
                  <w:vAlign w:val="center"/>
                </w:tcPr>
                <w:p>
                  <w:pPr>
                    <w:widowControl/>
                    <w:ind w:firstLineChars="600" w:firstLine="1320"/>
                    <w:jc w:val="left"/>
                    <w:rPr>
                      <w:rFonts w:ascii="Times New Roman" w:eastAsia="仿宋" w:cs="Times New Roman" w:hAnsi="Times New Roman"/>
                      <w:color w:val="FF0000"/>
                      <w:kern w:val="0"/>
                      <w:sz w:val="22"/>
                    </w:rPr>
                  </w:pPr>
                  <w:r>
                    <w:rPr>
                      <w:rFonts w:ascii="Times New Roman" w:eastAsia="仿宋" w:cs="Times New Roman" w:hAnsi="Times New Roman"/>
                      <w:kern w:val="0"/>
                      <w:sz w:val="22"/>
                    </w:rPr>
                    <w:t>截止时间：201</w:t>
                  </w:r>
                  <w:r>
                    <w:rPr>
                      <w:rFonts w:ascii="Times New Roman" w:eastAsia="仿宋" w:cs="Times New Roman" w:hAnsi="Times New Roman" w:hint="eastAsia"/>
                      <w:kern w:val="0"/>
                      <w:sz w:val="22"/>
                    </w:rPr>
                    <w:t>8</w:t>
                  </w:r>
                  <w:r>
                    <w:rPr>
                      <w:rFonts w:ascii="Times New Roman" w:eastAsia="仿宋" w:cs="Times New Roman" w:hAnsi="Times New Roman"/>
                      <w:kern w:val="0"/>
                      <w:sz w:val="22"/>
                    </w:rPr>
                    <w:t>年12月31日</w:t>
                  </w:r>
                </w:p>
              </w:tc>
            </w:tr>
            <w:tr>
              <w:trPr>
                <w:trHeight w:val="645"/>
              </w:trPr>
              <w:tc>
                <w:tcPr>
                  <w:tcW w:w="438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hAnsi="宋体"/>
                      <w:b/>
                      <w:bCs/>
                      <w:kern w:val="0"/>
                      <w:sz w:val="22"/>
                    </w:rPr>
                  </w:pPr>
                  <w:r>
                    <w:rPr>
                      <w:rFonts w:ascii="宋体" w:cs="宋体" w:hAnsi="宋体" w:hint="eastAsia"/>
                      <w:b/>
                      <w:bCs/>
                      <w:kern w:val="0"/>
                      <w:sz w:val="22"/>
                    </w:rPr>
                    <w:t>项目</w:t>
                  </w:r>
                </w:p>
              </w:tc>
              <w:tc>
                <w:tcPr>
                  <w:tcW w:w="2666" w:type="dxa"/>
                  <w:tcBorders>
                    <w:top w:val="single" w:sz="4" w:space="0" w:color="auto"/>
                    <w:left w:val="nil"/>
                    <w:bottom w:val="single" w:sz="4" w:space="0" w:color="auto"/>
                    <w:right w:val="single" w:sz="4" w:space="0" w:color="auto"/>
                  </w:tcBorders>
                  <w:vAlign w:val="center"/>
                </w:tcPr>
                <w:p>
                  <w:pPr>
                    <w:widowControl/>
                    <w:jc w:val="center"/>
                    <w:rPr>
                      <w:rFonts w:ascii="宋体" w:cs="宋体" w:hAnsi="宋体"/>
                      <w:b/>
                      <w:bCs/>
                      <w:kern w:val="0"/>
                      <w:sz w:val="22"/>
                    </w:rPr>
                  </w:pPr>
                  <w:r>
                    <w:rPr>
                      <w:rFonts w:ascii="宋体" w:cs="宋体" w:hAnsi="宋体" w:hint="eastAsia"/>
                      <w:b/>
                      <w:bCs/>
                      <w:kern w:val="0"/>
                      <w:sz w:val="22"/>
                    </w:rPr>
                    <w:t>数量</w:t>
                  </w:r>
                </w:p>
              </w:tc>
              <w:tc>
                <w:tcPr>
                  <w:tcW w:w="4435" w:type="dxa"/>
                  <w:tcBorders>
                    <w:top w:val="single" w:sz="4" w:space="0" w:color="auto"/>
                    <w:left w:val="nil"/>
                    <w:bottom w:val="single" w:sz="4" w:space="0" w:color="auto"/>
                    <w:right w:val="single" w:sz="4" w:space="0" w:color="auto"/>
                  </w:tcBorders>
                  <w:vAlign w:val="center"/>
                </w:tcPr>
                <w:p>
                  <w:pPr>
                    <w:widowControl/>
                    <w:jc w:val="center"/>
                    <w:rPr>
                      <w:rFonts w:ascii="宋体" w:cs="宋体" w:hAnsi="宋体"/>
                      <w:b/>
                      <w:bCs/>
                      <w:kern w:val="0"/>
                      <w:sz w:val="22"/>
                    </w:rPr>
                  </w:pPr>
                  <w:r>
                    <w:rPr>
                      <w:rFonts w:ascii="宋体" w:cs="宋体" w:hAnsi="宋体" w:hint="eastAsia"/>
                      <w:b/>
                      <w:bCs/>
                      <w:kern w:val="0"/>
                      <w:sz w:val="22"/>
                    </w:rPr>
                    <w:t>价值（金额单位：万元）</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资产总额</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145.16</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1、房屋（平方米）</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0.00</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其中：办公用房（平方米）</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0.00</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2、车辆（台、辆）</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2</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20.00</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3、单价在20万元以上设备</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0.00</w:t>
                  </w:r>
                </w:p>
              </w:tc>
            </w:tr>
            <w:tr>
              <w:trPr>
                <w:trHeight w:val="645"/>
              </w:trPr>
              <w:tc>
                <w:tcPr>
                  <w:tcW w:w="4387"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cs="Times New Roman" w:hAnsi="Times New Roman"/>
                      <w:kern w:val="0"/>
                      <w:sz w:val="22"/>
                    </w:rPr>
                  </w:pPr>
                  <w:r>
                    <w:rPr>
                      <w:rFonts w:ascii="Times New Roman" w:eastAsia="仿宋" w:cs="Times New Roman" w:hAnsi="Times New Roman"/>
                      <w:kern w:val="0"/>
                      <w:sz w:val="22"/>
                    </w:rPr>
                    <w:t>4、其他固定资产</w:t>
                  </w:r>
                </w:p>
              </w:tc>
              <w:tc>
                <w:tcPr>
                  <w:tcW w:w="2666"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kern w:val="0"/>
                      <w:sz w:val="22"/>
                    </w:rPr>
                    <w:t>——</w:t>
                  </w:r>
                </w:p>
              </w:tc>
              <w:tc>
                <w:tcPr>
                  <w:tcW w:w="4435" w:type="dxa"/>
                  <w:tcBorders>
                    <w:top w:val="nil"/>
                    <w:left w:val="nil"/>
                    <w:bottom w:val="single" w:sz="4" w:space="0" w:color="auto"/>
                    <w:right w:val="single" w:sz="4" w:space="0" w:color="auto"/>
                  </w:tcBorders>
                  <w:vAlign w:val="center"/>
                </w:tcPr>
                <w:p>
                  <w:pPr>
                    <w:widowControl/>
                    <w:jc w:val="center"/>
                    <w:rPr>
                      <w:rFonts w:ascii="Times New Roman" w:eastAsia="仿宋" w:cs="Times New Roman" w:hAnsi="Times New Roman"/>
                      <w:kern w:val="0"/>
                      <w:sz w:val="22"/>
                    </w:rPr>
                  </w:pPr>
                  <w:r>
                    <w:rPr>
                      <w:rFonts w:ascii="Times New Roman" w:eastAsia="仿宋" w:cs="Times New Roman" w:hAnsi="Times New Roman" w:hint="eastAsia"/>
                      <w:kern w:val="0"/>
                      <w:sz w:val="22"/>
                    </w:rPr>
                    <w:t>125.16</w:t>
                  </w:r>
                </w:p>
              </w:tc>
            </w:tr>
          </w:tbl>
          <w:p>
            <w:pPr>
              <w:widowControl/>
              <w:jc w:val="center"/>
              <w:rPr>
                <w:rFonts w:ascii="宋体" w:cs="宋体" w:hAnsi="宋体"/>
                <w:b/>
                <w:bCs/>
                <w:kern w:val="0"/>
                <w:sz w:val="32"/>
                <w:szCs w:val="32"/>
              </w:rPr>
            </w:pPr>
          </w:p>
        </w:tc>
      </w:tr>
    </w:tbl>
    <w:p>
      <w:pPr>
        <w:pStyle w:val="17"/>
        <w:ind w:left="0"/>
        <w:jc w:val="both"/>
        <w:rPr>
          <w:rFonts w:ascii="黑体" w:eastAsia="黑体" w:cs="Times New Roman"/>
          <w:color w:val="auto"/>
          <w:kern w:val="2"/>
          <w:sz w:val="32"/>
          <w:szCs w:val="32"/>
        </w:rPr>
      </w:pPr>
      <w:r>
        <w:rPr>
          <w:rFonts w:ascii="仿宋_GB2312" w:eastAsia="仿宋_GB2312" w:hint="eastAsia"/>
          <w:sz w:val="32"/>
          <w:szCs w:val="32"/>
        </w:rPr>
        <w:t>20</w:t>
      </w:r>
      <w:r>
        <w:rPr>
          <w:rFonts w:ascii="仿宋_GB2312" w:eastAsia="仿宋_GB2312"/>
          <w:sz w:val="32"/>
          <w:szCs w:val="32"/>
        </w:rPr>
        <w:t>19</w:t>
      </w:r>
      <w:r>
        <w:rPr>
          <w:rFonts w:ascii="仿宋_GB2312" w:eastAsia="仿宋_GB2312" w:hint="eastAsia"/>
          <w:sz w:val="32"/>
          <w:szCs w:val="32"/>
        </w:rPr>
        <w:t>年我单位拟购置</w:t>
      </w:r>
      <w:bookmarkStart w:id="0" w:name="_GoBack"/>
      <w:bookmarkEnd w:id="0"/>
      <w:r>
        <w:rPr>
          <w:rFonts w:ascii="仿宋_GB2312" w:eastAsia="仿宋_GB2312" w:hint="eastAsia"/>
          <w:sz w:val="32"/>
          <w:szCs w:val="32"/>
        </w:rPr>
        <w:t>计算机5台、打印机4台</w:t>
      </w:r>
      <w:r>
        <w:rPr>
          <w:rFonts w:ascii="仿宋_GB2312" w:eastAsia="仿宋_GB2312" w:hint="eastAsia"/>
          <w:sz w:val="32"/>
          <w:szCs w:val="32"/>
        </w:rPr>
        <w:t>。</w:t>
      </w:r>
      <w:r>
        <w:rPr>
          <w:rFonts w:ascii="黑体" w:eastAsia="黑体" w:cs="Times New Roman" w:hint="eastAsia"/>
          <w:color w:val="auto"/>
          <w:kern w:val="2"/>
          <w:sz w:val="32"/>
          <w:szCs w:val="32"/>
        </w:rPr>
        <w:t xml:space="preserve"> </w:t>
      </w:r>
    </w:p>
    <w:p>
      <w:pPr>
        <w:pStyle w:val="17"/>
        <w:ind w:firstLineChars="200" w:firstLine="640"/>
        <w:jc w:val="both"/>
        <w:rPr>
          <w:rFonts w:ascii="黑体" w:eastAsia="黑体" w:cs="Times New Roman"/>
          <w:color w:val="auto"/>
          <w:kern w:val="2"/>
          <w:sz w:val="32"/>
          <w:szCs w:val="32"/>
        </w:rPr>
      </w:pPr>
      <w:r>
        <w:rPr>
          <w:rFonts w:ascii="黑体" w:eastAsia="黑体" w:cs="Times New Roman" w:hint="eastAsia"/>
          <w:color w:val="auto"/>
          <w:kern w:val="2"/>
          <w:sz w:val="32"/>
          <w:szCs w:val="32"/>
        </w:rPr>
        <w:t>八、专业名词解释</w:t>
      </w:r>
    </w:p>
    <w:p>
      <w:pPr>
        <w:spacing w:line="560" w:lineRule="exact"/>
        <w:ind w:firstLine="645"/>
        <w:rPr>
          <w:rFonts w:ascii="仿宋_GB2312" w:eastAsia="仿宋_GB2312" w:cs="Times New Roman"/>
          <w:sz w:val="32"/>
          <w:szCs w:val="32"/>
        </w:rPr>
      </w:pPr>
      <w:r>
        <w:rPr>
          <w:rFonts w:ascii="仿宋_GB2312" w:eastAsia="仿宋_GB2312" w:cs="Times New Roman" w:hint="eastAsia"/>
          <w:sz w:val="32"/>
          <w:szCs w:val="32"/>
        </w:rPr>
        <w:t>基本支出：为保障机构正常运转，完成日常工作任务，而发生的人员支出和公用支出。</w:t>
      </w:r>
    </w:p>
    <w:p>
      <w:pPr>
        <w:spacing w:line="560" w:lineRule="exact"/>
        <w:ind w:firstLine="645"/>
        <w:rPr>
          <w:rFonts w:ascii="仿宋_GB2312" w:eastAsia="仿宋_GB2312" w:cs="Times New Roman"/>
          <w:sz w:val="32"/>
          <w:szCs w:val="32"/>
        </w:rPr>
      </w:pPr>
      <w:r>
        <w:rPr>
          <w:rFonts w:ascii="仿宋_GB2312" w:eastAsia="仿宋_GB2312" w:cs="Times New Roman" w:hint="eastAsia"/>
          <w:sz w:val="32"/>
          <w:szCs w:val="32"/>
        </w:rPr>
        <w:t>项目支出：为完成特定行政任务和事业发展目标而发生的费用。</w:t>
      </w:r>
    </w:p>
    <w:p>
      <w:pPr>
        <w:spacing w:line="560" w:lineRule="exact"/>
        <w:ind w:firstLine="645"/>
        <w:rPr>
          <w:rFonts w:ascii="仿宋_GB2312" w:eastAsia="仿宋_GB2312" w:cs="Times New Roman"/>
          <w:sz w:val="32"/>
          <w:szCs w:val="32"/>
        </w:rPr>
      </w:pPr>
      <w:r>
        <w:rPr>
          <w:rFonts w:ascii="仿宋_GB2312" w:eastAsia="仿宋_GB2312" w:cs="Times New Roman" w:hint="eastAsia"/>
          <w:sz w:val="32"/>
          <w:szCs w:val="32"/>
        </w:rPr>
        <w:t>机关运行经费：为保障行政单位运行用于购买货物和服务的各项资金，包括办公及印刷费、邮电费、差旅费、工会费、福利费、劳务费、办公用房取暖费、公务用车运行维护费以及离退休报刊费等。</w:t>
      </w:r>
    </w:p>
    <w:p>
      <w:pPr>
        <w:pStyle w:val="17"/>
        <w:ind w:firstLineChars="200" w:firstLine="640"/>
        <w:jc w:val="both"/>
        <w:rPr>
          <w:rFonts w:ascii="黑体" w:eastAsia="黑体" w:cs="Times New Roman"/>
          <w:color w:val="auto"/>
          <w:kern w:val="2"/>
          <w:sz w:val="32"/>
          <w:szCs w:val="32"/>
        </w:rPr>
      </w:pPr>
      <w:r>
        <w:rPr>
          <w:rFonts w:ascii="黑体" w:eastAsia="黑体" w:cs="Times New Roman" w:hint="eastAsia"/>
          <w:color w:val="auto"/>
          <w:kern w:val="2"/>
          <w:sz w:val="32"/>
          <w:szCs w:val="32"/>
        </w:rPr>
        <w:t>九、其他情况说明</w:t>
      </w:r>
    </w:p>
    <w:p>
      <w:pPr>
        <w:spacing w:line="560" w:lineRule="exact"/>
        <w:ind w:firstLine="645"/>
        <w:rPr>
          <w:rFonts w:ascii="仿宋_GB2312" w:eastAsia="仿宋_GB2312" w:cs="Times New Roman"/>
          <w:sz w:val="32"/>
          <w:szCs w:val="32"/>
        </w:rPr>
      </w:pPr>
      <w:r>
        <w:rPr>
          <w:rFonts w:ascii="仿宋_GB2312" w:eastAsia="仿宋_GB2312" w:cs="Times New Roman" w:hint="eastAsia"/>
          <w:sz w:val="32"/>
          <w:szCs w:val="32"/>
        </w:rPr>
        <w:t>2019年，区审计局未安排政府性基金预算和国有资本经营预算。</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variable"/>
    <w:sig w:usb0="800002BF" w:usb1="38CF7CFA"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0" w:csb1="00000000"/>
  </w:font>
  <w:font w:name="方正书宋_GBK">
    <w:altName w:val="微软雅黑"/>
    <w:panose1 w:val="00000000000000000000"/>
    <w:charset w:val="86"/>
    <w:family w:val="script"/>
    <w:pitch w:val="variable"/>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E2D067A"/>
    <w:multiLevelType w:val="hybridMultilevel"/>
    <w:tmpl w:val="B22842D6"/>
    <w:lvl w:ilvl="0">
      <w:start w:val="1"/>
      <w:numFmt w:val="japaneseCounting"/>
      <w:lvlRestart w:val="0"/>
      <w:lvlText w:val="%1、"/>
      <w:lvlJc w:val="left"/>
      <w:pPr>
        <w:tabs>
          <w:tab w:val="num" w:pos="0"/>
        </w:tabs>
        <w:ind w:left="1360" w:hanging="72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Default"/>
    <w:pPr>
      <w:widowControl w:val="0"/>
      <w:autoSpaceDE w:val="0"/>
      <w:autoSpaceDN w:val="0"/>
      <w:adjustRightInd w:val="0"/>
    </w:pPr>
    <w:rPr>
      <w:rFonts w:ascii="宋体" w:eastAsia="等线" w:cs="宋体" w:hAnsi="宋体"/>
      <w:color w:val="000000"/>
      <w:kern w:val="0"/>
      <w:sz w:val="24"/>
      <w:szCs w:val="24"/>
      <w:lang w:val="en-US" w:eastAsia="zh-CN" w:bidi="ar-SA"/>
    </w:rPr>
  </w:style>
  <w:style w:type="paragraph"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Yozo_Office27021597764231179</Application>
  <Pages>11</Pages>
  <Words>4332</Words>
  <Characters>4679</Characters>
  <Lines>614</Lines>
  <Paragraphs>241</Paragraphs>
  <CharactersWithSpaces>4707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3</cp:revision>
  <dcterms:created xsi:type="dcterms:W3CDTF">2019-02-27T03:03:00Z</dcterms:created>
  <dcterms:modified xsi:type="dcterms:W3CDTF">2021-05-15T06:14:17Z</dcterms:modified>
</cp:coreProperties>
</file>