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val="en-US" w:eastAsia="zh-CN"/>
        </w:rPr>
        <w:t>2019</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9"/>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fldChar w:fldCharType="end"/>
      </w:r>
    </w:p>
    <w:p>
      <w:pPr>
        <w:pStyle w:val="9"/>
        <w:tabs>
          <w:tab w:val="right" w:leader="dot" w:pos="14562"/>
        </w:tabs>
        <w:rPr>
          <w:lang w:eastAsia="zh-CN"/>
        </w:rPr>
      </w:pPr>
      <w:r>
        <w:fldChar w:fldCharType="begin"/>
      </w:r>
      <w:r>
        <w:instrText xml:space="preserve"> HYPERLINK \l "_Toc_2_2_0000000002" </w:instrText>
      </w:r>
      <w:r>
        <w:fldChar w:fldCharType="separate"/>
      </w:r>
      <w:r>
        <w:t>部门预算收入总表</w:t>
      </w:r>
      <w:r>
        <w:fldChar w:fldCharType="end"/>
      </w:r>
    </w:p>
    <w:p>
      <w:pPr>
        <w:pStyle w:val="9"/>
        <w:tabs>
          <w:tab w:val="right" w:leader="dot" w:pos="14562"/>
        </w:tabs>
      </w:pPr>
      <w:r>
        <w:fldChar w:fldCharType="begin"/>
      </w:r>
      <w:r>
        <w:instrText xml:space="preserve"> HYPERLINK \l "_Toc_2_2_0000000003" </w:instrText>
      </w:r>
      <w:r>
        <w:fldChar w:fldCharType="separate"/>
      </w:r>
      <w:r>
        <w:t>部门预算支出总表</w:t>
      </w:r>
      <w:r>
        <w:fldChar w:fldCharType="end"/>
      </w:r>
    </w:p>
    <w:p>
      <w:pPr>
        <w:pStyle w:val="9"/>
        <w:tabs>
          <w:tab w:val="right" w:leader="dot" w:pos="14562"/>
        </w:tabs>
      </w:pPr>
      <w:r>
        <w:fldChar w:fldCharType="begin"/>
      </w:r>
      <w:r>
        <w:instrText xml:space="preserve"> HYPERLINK \l "_Toc_2_2_0000000004" </w:instrText>
      </w:r>
      <w:r>
        <w:fldChar w:fldCharType="separate"/>
      </w:r>
      <w:r>
        <w:t>部门预算财政拨款收支总表</w:t>
      </w:r>
      <w:r>
        <w:fldChar w:fldCharType="end"/>
      </w:r>
    </w:p>
    <w:p>
      <w:pPr>
        <w:pStyle w:val="9"/>
        <w:tabs>
          <w:tab w:val="right" w:leader="dot" w:pos="14562"/>
        </w:tabs>
      </w:pPr>
      <w:r>
        <w:fldChar w:fldCharType="begin"/>
      </w:r>
      <w:r>
        <w:instrText xml:space="preserve"> HYPERLINK \l "_Toc_2_2_0000000005" </w:instrText>
      </w:r>
      <w:r>
        <w:fldChar w:fldCharType="separate"/>
      </w:r>
      <w:r>
        <w:t>部门预算一般公共预算财政拨款支出表</w:t>
      </w:r>
      <w:r>
        <w:fldChar w:fldCharType="end"/>
      </w:r>
    </w:p>
    <w:p>
      <w:pPr>
        <w:pStyle w:val="9"/>
        <w:tabs>
          <w:tab w:val="right" w:leader="dot" w:pos="14562"/>
        </w:tabs>
      </w:pPr>
      <w:r>
        <w:fldChar w:fldCharType="begin"/>
      </w:r>
      <w:r>
        <w:instrText xml:space="preserve"> HYPERLINK \l "_Toc_2_2_0000000006" </w:instrText>
      </w:r>
      <w:r>
        <w:fldChar w:fldCharType="separate"/>
      </w:r>
      <w:r>
        <w:t>部门预算一般公共预算财政拨款基本支出表</w:t>
      </w:r>
      <w:r>
        <w:fldChar w:fldCharType="end"/>
      </w:r>
    </w:p>
    <w:p>
      <w:pPr>
        <w:pStyle w:val="9"/>
        <w:tabs>
          <w:tab w:val="right" w:leader="dot" w:pos="14562"/>
        </w:tabs>
      </w:pPr>
      <w:r>
        <w:fldChar w:fldCharType="begin"/>
      </w:r>
      <w:r>
        <w:instrText xml:space="preserve"> HYPERLINK \l "_Toc_2_2_0000000007" </w:instrText>
      </w:r>
      <w:r>
        <w:fldChar w:fldCharType="separate"/>
      </w:r>
      <w:r>
        <w:t>部门预算政府性基金预算财政拨款支出表</w:t>
      </w:r>
      <w:r>
        <w:fldChar w:fldCharType="end"/>
      </w:r>
    </w:p>
    <w:p>
      <w:pPr>
        <w:pStyle w:val="9"/>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fldChar w:fldCharType="end"/>
      </w:r>
    </w:p>
    <w:p>
      <w:pPr>
        <w:pStyle w:val="9"/>
        <w:tabs>
          <w:tab w:val="right" w:leader="dot" w:pos="14562"/>
        </w:tabs>
      </w:pPr>
      <w:r>
        <w:fldChar w:fldCharType="begin"/>
      </w:r>
      <w:r>
        <w:instrText xml:space="preserve"> HYPERLINK \l "_Toc_2_2_0000000009" </w:instrText>
      </w:r>
      <w:r>
        <w:fldChar w:fldCharType="separate"/>
      </w:r>
      <w:r>
        <w:t>部门预算财政拨款“三公”经费支出表</w:t>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9"/>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fldChar w:fldCharType="end"/>
      </w:r>
    </w:p>
    <w:p>
      <w:pPr>
        <w:pStyle w:val="9"/>
        <w:tabs>
          <w:tab w:val="right" w:leader="dot" w:pos="14562"/>
        </w:tabs>
      </w:pPr>
      <w:r>
        <w:fldChar w:fldCharType="begin"/>
      </w:r>
      <w:r>
        <w:instrText xml:space="preserve"> HYPERLINK \l "_Toc_3_3_0000000011" </w:instrText>
      </w:r>
      <w:r>
        <w:fldChar w:fldCharType="separate"/>
      </w:r>
      <w:r>
        <w:t>二、部门预算安排的总体情况</w:t>
      </w:r>
      <w:r>
        <w:fldChar w:fldCharType="end"/>
      </w:r>
    </w:p>
    <w:p>
      <w:pPr>
        <w:pStyle w:val="9"/>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pPr>
        <w:pStyle w:val="9"/>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pPr>
        <w:pStyle w:val="9"/>
        <w:tabs>
          <w:tab w:val="right" w:leader="dot" w:pos="14562"/>
        </w:tabs>
        <w:rPr>
          <w:lang w:eastAsia="zh-CN"/>
        </w:rPr>
      </w:pPr>
      <w:r>
        <w:fldChar w:fldCharType="begin"/>
      </w:r>
      <w:r>
        <w:instrText xml:space="preserve"> HYPERLINK \l "_Toc_3_3_0000000014" </w:instrText>
      </w:r>
      <w:r>
        <w:fldChar w:fldCharType="separate"/>
      </w:r>
      <w:r>
        <w:t>五、绩效预算信息</w:t>
      </w:r>
      <w:r>
        <w:fldChar w:fldCharType="end"/>
      </w:r>
    </w:p>
    <w:p>
      <w:pPr>
        <w:pStyle w:val="9"/>
        <w:tabs>
          <w:tab w:val="right" w:leader="dot" w:pos="14562"/>
        </w:tabs>
      </w:pPr>
      <w:r>
        <w:fldChar w:fldCharType="begin"/>
      </w:r>
      <w:r>
        <w:instrText xml:space="preserve"> HYPERLINK \l "_Toc_3_3_0000000017" </w:instrText>
      </w:r>
      <w:r>
        <w:fldChar w:fldCharType="separate"/>
      </w:r>
      <w:r>
        <w:t>六、政府采购预算情况</w:t>
      </w:r>
      <w:r>
        <w:fldChar w:fldCharType="end"/>
      </w:r>
    </w:p>
    <w:p>
      <w:pPr>
        <w:pStyle w:val="9"/>
        <w:tabs>
          <w:tab w:val="right" w:leader="dot" w:pos="14562"/>
        </w:tabs>
      </w:pPr>
      <w:r>
        <w:fldChar w:fldCharType="begin"/>
      </w:r>
      <w:r>
        <w:instrText xml:space="preserve"> HYPERLINK \l "_Toc_3_3_0000000018" </w:instrText>
      </w:r>
      <w:r>
        <w:fldChar w:fldCharType="separate"/>
      </w:r>
      <w:r>
        <w:t>七、国有资产信息</w:t>
      </w:r>
      <w:r>
        <w:fldChar w:fldCharType="end"/>
      </w:r>
    </w:p>
    <w:p>
      <w:pPr>
        <w:pStyle w:val="9"/>
        <w:tabs>
          <w:tab w:val="right" w:leader="dot" w:pos="14562"/>
        </w:tabs>
      </w:pPr>
      <w:r>
        <w:fldChar w:fldCharType="begin"/>
      </w:r>
      <w:r>
        <w:instrText xml:space="preserve"> HYPERLINK \l "_Toc_3_3_0000000019" </w:instrText>
      </w:r>
      <w:r>
        <w:fldChar w:fldCharType="separate"/>
      </w:r>
      <w:r>
        <w:t>八、名词解释</w:t>
      </w:r>
      <w:r>
        <w:fldChar w:fldCharType="end"/>
      </w:r>
    </w:p>
    <w:p>
      <w:pPr>
        <w:pStyle w:val="9"/>
        <w:tabs>
          <w:tab w:val="right" w:leader="dot" w:pos="14562"/>
        </w:tabs>
      </w:pPr>
      <w:r>
        <w:fldChar w:fldCharType="begin"/>
      </w:r>
      <w:r>
        <w:instrText xml:space="preserve"> HYPERLINK \l "_Toc_3_3_0000000020" </w:instrText>
      </w:r>
      <w:r>
        <w:fldChar w:fldCharType="separate"/>
      </w:r>
      <w:r>
        <w:t>九、其他需要说明的事项</w:t>
      </w:r>
      <w:r>
        <w:fldChar w:fldCharType="end"/>
      </w:r>
    </w:p>
    <w:p>
      <w:r>
        <w:fldChar w:fldCharType="end"/>
      </w:r>
    </w:p>
    <w:p/>
    <w:p/>
    <w:p/>
    <w:p/>
    <w:p/>
    <w:p/>
    <w:p/>
    <w:p/>
    <w:p/>
    <w:p/>
    <w:p/>
    <w:p/>
    <w:p/>
    <w:tbl>
      <w:tblPr>
        <w:tblW w:w="14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21"/>
        <w:gridCol w:w="4457"/>
        <w:gridCol w:w="2196"/>
        <w:gridCol w:w="4626"/>
        <w:gridCol w:w="2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14680" w:type="dxa"/>
            <w:gridSpan w:val="5"/>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部门预算收支总表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6" w:hRule="atLeast"/>
        </w:trPr>
        <w:tc>
          <w:tcPr>
            <w:tcW w:w="7774" w:type="dxa"/>
            <w:gridSpan w:val="3"/>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部门编码及名称：[302]中国人民政治协商会议唐山市丰南区委员会办公室</w:t>
            </w:r>
          </w:p>
        </w:tc>
        <w:tc>
          <w:tcPr>
            <w:tcW w:w="4626"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预算年度：2019</w:t>
            </w:r>
          </w:p>
        </w:tc>
        <w:tc>
          <w:tcPr>
            <w:tcW w:w="2280"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112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665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收入</w:t>
            </w:r>
          </w:p>
        </w:tc>
        <w:tc>
          <w:tcPr>
            <w:tcW w:w="69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112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预算数</w:t>
            </w:r>
          </w:p>
        </w:tc>
        <w:tc>
          <w:tcPr>
            <w:tcW w:w="4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11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4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4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一、财政拨款收入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451.18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二、上级拨款收入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三、事业收入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其中：财政专户收入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四、经营收入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五、附属单位上缴收入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六、其他收入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十五、资源勘探信息等支出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本年收入合计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451.18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本年支出合计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用事业基金弥补收支差额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451.18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451.18</w:t>
            </w:r>
          </w:p>
        </w:tc>
      </w:tr>
    </w:tbl>
    <w:p/>
    <w:p/>
    <w:p/>
    <w:p/>
    <w:p/>
    <w:p/>
    <w:p/>
    <w:p/>
    <w:p/>
    <w:p/>
    <w:p/>
    <w:p/>
    <w:p/>
    <w:p/>
    <w:p/>
    <w:p/>
    <w:p/>
    <w:p/>
    <w:p/>
    <w:p/>
    <w:p/>
    <w:p/>
    <w:tbl>
      <w:tblPr>
        <w:tblW w:w="14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42"/>
        <w:gridCol w:w="1229"/>
        <w:gridCol w:w="3462"/>
        <w:gridCol w:w="1347"/>
        <w:gridCol w:w="1347"/>
        <w:gridCol w:w="1085"/>
        <w:gridCol w:w="1086"/>
        <w:gridCol w:w="1084"/>
        <w:gridCol w:w="1086"/>
        <w:gridCol w:w="1085"/>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14740" w:type="dxa"/>
            <w:gridSpan w:val="11"/>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部门预算收入总表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4" w:hRule="atLeast"/>
        </w:trPr>
        <w:tc>
          <w:tcPr>
            <w:tcW w:w="10398" w:type="dxa"/>
            <w:gridSpan w:val="7"/>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部门编码及名称：[302]中国人民政治协商会议唐山市丰南区委员会办公室</w:t>
            </w:r>
          </w:p>
        </w:tc>
        <w:tc>
          <w:tcPr>
            <w:tcW w:w="2170" w:type="dxa"/>
            <w:gridSpan w:val="2"/>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预算年度：2019</w:t>
            </w:r>
          </w:p>
        </w:tc>
        <w:tc>
          <w:tcPr>
            <w:tcW w:w="2172" w:type="dxa"/>
            <w:gridSpan w:val="2"/>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84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69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w:t>
            </w:r>
          </w:p>
        </w:tc>
        <w:tc>
          <w:tcPr>
            <w:tcW w:w="134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本年收入合计</w:t>
            </w:r>
          </w:p>
        </w:tc>
        <w:tc>
          <w:tcPr>
            <w:tcW w:w="134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财政拨款收入</w:t>
            </w:r>
          </w:p>
        </w:tc>
        <w:tc>
          <w:tcPr>
            <w:tcW w:w="10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上级补助收入</w:t>
            </w:r>
          </w:p>
        </w:tc>
        <w:tc>
          <w:tcPr>
            <w:tcW w:w="21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事业收入</w:t>
            </w:r>
          </w:p>
        </w:tc>
        <w:tc>
          <w:tcPr>
            <w:tcW w:w="108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经营收入</w:t>
            </w:r>
          </w:p>
        </w:tc>
        <w:tc>
          <w:tcPr>
            <w:tcW w:w="10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附属单位上缴收入</w:t>
            </w:r>
          </w:p>
        </w:tc>
        <w:tc>
          <w:tcPr>
            <w:tcW w:w="10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5"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功能分类科目编码</w:t>
            </w:r>
          </w:p>
        </w:tc>
        <w:tc>
          <w:tcPr>
            <w:tcW w:w="3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34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小计</w:t>
            </w:r>
          </w:p>
        </w:tc>
        <w:tc>
          <w:tcPr>
            <w:tcW w:w="1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其中：财政专户收入</w:t>
            </w:r>
          </w:p>
        </w:tc>
        <w:tc>
          <w:tcPr>
            <w:tcW w:w="10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2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3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0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0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451.18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451.18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346.18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346.18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政协事务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346.18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346.18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257.93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257.93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政协会议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委员视察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其他政协事务支出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行政事业单位离退休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归口管理的行政单位离退休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bl>
    <w:p/>
    <w:p/>
    <w:tbl>
      <w:tblPr>
        <w:tblW w:w="14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73"/>
        <w:gridCol w:w="1306"/>
        <w:gridCol w:w="3584"/>
        <w:gridCol w:w="1731"/>
        <w:gridCol w:w="1732"/>
        <w:gridCol w:w="1731"/>
        <w:gridCol w:w="1254"/>
        <w:gridCol w:w="1253"/>
        <w:gridCol w:w="1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39" w:hRule="atLeast"/>
        </w:trPr>
        <w:tc>
          <w:tcPr>
            <w:tcW w:w="14720" w:type="dxa"/>
            <w:gridSpan w:val="9"/>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部门预算支出总表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9" w:hRule="atLeast"/>
        </w:trPr>
        <w:tc>
          <w:tcPr>
            <w:tcW w:w="9226" w:type="dxa"/>
            <w:gridSpan w:val="5"/>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部门编码及名称：[302]中国人民政治协商会议唐山市丰南区委员会办公室</w:t>
            </w:r>
          </w:p>
        </w:tc>
        <w:tc>
          <w:tcPr>
            <w:tcW w:w="2985" w:type="dxa"/>
            <w:gridSpan w:val="2"/>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预算年度：2019</w:t>
            </w:r>
          </w:p>
        </w:tc>
        <w:tc>
          <w:tcPr>
            <w:tcW w:w="2509" w:type="dxa"/>
            <w:gridSpan w:val="2"/>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87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89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w:t>
            </w:r>
          </w:p>
        </w:tc>
        <w:tc>
          <w:tcPr>
            <w:tcW w:w="173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本年支出合计</w:t>
            </w:r>
          </w:p>
        </w:tc>
        <w:tc>
          <w:tcPr>
            <w:tcW w:w="173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173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c>
          <w:tcPr>
            <w:tcW w:w="125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上缴上级支出</w:t>
            </w:r>
          </w:p>
        </w:tc>
        <w:tc>
          <w:tcPr>
            <w:tcW w:w="125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经营支出</w:t>
            </w:r>
          </w:p>
        </w:tc>
        <w:tc>
          <w:tcPr>
            <w:tcW w:w="125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功能分类科目编码</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7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8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5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7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7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2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2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451.18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346.18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政协事务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346.18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257.93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政协会议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委员视察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其他政协事务支出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行政事业单位离退休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归口管理的行政单位离退休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bl>
    <w:p/>
    <w:p/>
    <w:p/>
    <w:tbl>
      <w:tblPr>
        <w:tblW w:w="14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43"/>
        <w:gridCol w:w="3195"/>
        <w:gridCol w:w="1464"/>
        <w:gridCol w:w="3385"/>
        <w:gridCol w:w="1463"/>
        <w:gridCol w:w="1464"/>
        <w:gridCol w:w="1462"/>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38" w:hRule="atLeast"/>
        </w:trPr>
        <w:tc>
          <w:tcPr>
            <w:tcW w:w="14740" w:type="dxa"/>
            <w:gridSpan w:val="8"/>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部门预算财政拨款收支总表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8887" w:type="dxa"/>
            <w:gridSpan w:val="4"/>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部门编码及名称：[302]中国人民政治协商会议唐山市丰南区委员会办公室</w:t>
            </w:r>
          </w:p>
        </w:tc>
        <w:tc>
          <w:tcPr>
            <w:tcW w:w="2927" w:type="dxa"/>
            <w:gridSpan w:val="2"/>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预算年度：2019</w:t>
            </w:r>
          </w:p>
        </w:tc>
        <w:tc>
          <w:tcPr>
            <w:tcW w:w="2926" w:type="dxa"/>
            <w:gridSpan w:val="2"/>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9" w:hRule="atLeast"/>
        </w:trPr>
        <w:tc>
          <w:tcPr>
            <w:tcW w:w="84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6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收入</w:t>
            </w:r>
          </w:p>
        </w:tc>
        <w:tc>
          <w:tcPr>
            <w:tcW w:w="923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6" w:hRule="atLeast"/>
        </w:trPr>
        <w:tc>
          <w:tcPr>
            <w:tcW w:w="84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w:t>
            </w:r>
          </w:p>
        </w:tc>
        <w:tc>
          <w:tcPr>
            <w:tcW w:w="3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一般公共预算财政拨款</w:t>
            </w:r>
          </w:p>
        </w:tc>
        <w:tc>
          <w:tcPr>
            <w:tcW w:w="1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政府性基金预算财政拨款</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9" w:hRule="atLeast"/>
        </w:trPr>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31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4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451.18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346.18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346.18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十五、资源勘探信息等支出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本年收入合计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451.18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本年支出合计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451.18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451.18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451.18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451.18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451.18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bl>
    <w:p/>
    <w:p/>
    <w:p/>
    <w:p/>
    <w:p/>
    <w:p>
      <w:pPr>
        <w:spacing w:line="300" w:lineRule="exact"/>
        <w:jc w:val="left"/>
        <w:outlineLvl w:val="0"/>
      </w:pPr>
    </w:p>
    <w:p>
      <w:pPr>
        <w:spacing w:line="300" w:lineRule="exact"/>
        <w:jc w:val="left"/>
        <w:outlineLvl w:val="0"/>
      </w:pPr>
    </w:p>
    <w:p>
      <w:pPr>
        <w:bidi w:val="0"/>
        <w:rPr>
          <w:rFonts w:ascii="Times New Roman" w:hAnsi="Times New Roman" w:eastAsia="Times New Roman" w:cs="Times New Roman"/>
          <w:sz w:val="24"/>
          <w:szCs w:val="24"/>
          <w:lang w:val="en-US" w:eastAsia="uk-UA" w:bidi="ar-S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tbl>
      <w:tblPr>
        <w:tblW w:w="14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22"/>
        <w:gridCol w:w="2333"/>
        <w:gridCol w:w="4202"/>
        <w:gridCol w:w="2381"/>
        <w:gridCol w:w="2380"/>
        <w:gridCol w:w="2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3" w:hRule="atLeast"/>
        </w:trPr>
        <w:tc>
          <w:tcPr>
            <w:tcW w:w="14700" w:type="dxa"/>
            <w:gridSpan w:val="6"/>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部门预算一般公共预算财政拨款支出表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6" w:hRule="atLeast"/>
        </w:trPr>
        <w:tc>
          <w:tcPr>
            <w:tcW w:w="9938" w:type="dxa"/>
            <w:gridSpan w:val="4"/>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部门编码及名称：[302]中国人民政治协商会议唐山市丰南区委员会办公室</w:t>
            </w:r>
          </w:p>
        </w:tc>
        <w:tc>
          <w:tcPr>
            <w:tcW w:w="2380"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预算年度：2019</w:t>
            </w:r>
          </w:p>
        </w:tc>
        <w:tc>
          <w:tcPr>
            <w:tcW w:w="2382"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653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w:t>
            </w:r>
          </w:p>
        </w:tc>
        <w:tc>
          <w:tcPr>
            <w:tcW w:w="23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23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23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3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功能分类科目编码</w:t>
            </w:r>
          </w:p>
        </w:tc>
        <w:tc>
          <w:tcPr>
            <w:tcW w:w="42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23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3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23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42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3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451.18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346.18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政协事务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346.18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257.93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政协会议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委员视察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其他政协事务支出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行政事业单位离退休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归口管理的行政单位离退休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bl>
    <w:p>
      <w:pPr>
        <w:bidi w:val="0"/>
        <w:rPr>
          <w:lang w:val="en-US" w:eastAsia="uk-UA"/>
        </w:rPr>
      </w:pPr>
    </w:p>
    <w:tbl>
      <w:tblPr>
        <w:tblW w:w="14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34"/>
        <w:gridCol w:w="2364"/>
        <w:gridCol w:w="4132"/>
        <w:gridCol w:w="2417"/>
        <w:gridCol w:w="2414"/>
        <w:gridCol w:w="2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24" w:hRule="atLeast"/>
        </w:trPr>
        <w:tc>
          <w:tcPr>
            <w:tcW w:w="14780" w:type="dxa"/>
            <w:gridSpan w:val="6"/>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部门预算一般公共预算财政拨款基本支出表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 w:hRule="atLeast"/>
        </w:trPr>
        <w:tc>
          <w:tcPr>
            <w:tcW w:w="9947" w:type="dxa"/>
            <w:gridSpan w:val="4"/>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部门编码及名称：[302]中国人民政治协商会议唐山市丰南区委员会办公室</w:t>
            </w:r>
          </w:p>
        </w:tc>
        <w:tc>
          <w:tcPr>
            <w:tcW w:w="2414"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预算年度：2019</w:t>
            </w:r>
          </w:p>
        </w:tc>
        <w:tc>
          <w:tcPr>
            <w:tcW w:w="2419"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9" w:hRule="atLeast"/>
        </w:trPr>
        <w:tc>
          <w:tcPr>
            <w:tcW w:w="103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64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w:t>
            </w:r>
          </w:p>
        </w:tc>
        <w:tc>
          <w:tcPr>
            <w:tcW w:w="725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9"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经济分类科目编码</w:t>
            </w:r>
          </w:p>
        </w:tc>
        <w:tc>
          <w:tcPr>
            <w:tcW w:w="4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2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24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人员经费</w:t>
            </w:r>
          </w:p>
        </w:tc>
        <w:tc>
          <w:tcPr>
            <w:tcW w:w="2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9" w:hRule="atLeast"/>
        </w:trPr>
        <w:tc>
          <w:tcPr>
            <w:tcW w:w="10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2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4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4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4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255.78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255.78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城镇职工基本医疗保险缴费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奖励金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bl>
    <w:p>
      <w:pPr>
        <w:bidi w:val="0"/>
        <w:rPr>
          <w:lang w:val="en-US" w:eastAsia="uk-UA"/>
        </w:rPr>
      </w:pPr>
    </w:p>
    <w:p>
      <w:pPr>
        <w:bidi w:val="0"/>
        <w:rPr>
          <w:lang w:val="en-US" w:eastAsia="uk-UA"/>
        </w:rPr>
      </w:pPr>
    </w:p>
    <w:tbl>
      <w:tblPr>
        <w:tblStyle w:val="12"/>
        <w:tblW w:w="14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9"/>
        <w:gridCol w:w="3458"/>
        <w:gridCol w:w="3157"/>
        <w:gridCol w:w="3155"/>
        <w:gridCol w:w="3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4540"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部门预算政府性基金预算财政拨款支出表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977" w:type="dxa"/>
            <w:gridSpan w:val="2"/>
            <w:tcBorders>
              <w:top w:val="nil"/>
              <w:left w:val="nil"/>
              <w:bottom w:val="nil"/>
              <w:right w:val="nil"/>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r>
              <w:rPr>
                <w:rFonts w:hint="eastAsia" w:eastAsia="宋体"/>
                <w:sz w:val="24"/>
                <w:szCs w:val="24"/>
                <w:lang w:val="en-US" w:eastAsia="zh-CN"/>
              </w:rPr>
              <w:t>中国人民政治协商会议唐山市丰南区委员会</w:t>
            </w:r>
          </w:p>
        </w:tc>
        <w:tc>
          <w:tcPr>
            <w:tcW w:w="3157"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3155"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w:t>
            </w:r>
          </w:p>
        </w:tc>
        <w:tc>
          <w:tcPr>
            <w:tcW w:w="31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合计</w:t>
            </w:r>
          </w:p>
        </w:tc>
        <w:tc>
          <w:tcPr>
            <w:tcW w:w="3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基本支出</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c>
          <w:tcPr>
            <w:tcW w:w="3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功能分类科目编码</w:t>
            </w:r>
          </w:p>
        </w:tc>
        <w:tc>
          <w:tcPr>
            <w:tcW w:w="3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科目名称</w:t>
            </w:r>
          </w:p>
        </w:tc>
        <w:tc>
          <w:tcPr>
            <w:tcW w:w="3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4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合计</w:t>
            </w:r>
          </w:p>
        </w:tc>
        <w:tc>
          <w:tcPr>
            <w:tcW w:w="3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4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4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gridSpan w:val="5"/>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w:t>
            </w:r>
            <w:r>
              <w:rPr>
                <w:rFonts w:hint="eastAsia" w:ascii="方正书宋_GBK" w:hAnsi="方正书宋_GBK" w:eastAsia="方正书宋_GBK" w:cs="方正书宋_GBK"/>
                <w:color w:val="000000"/>
                <w:sz w:val="21"/>
                <w:szCs w:val="21"/>
              </w:rPr>
              <w:t>无政府基金预算财政拨款预算，空表列示。</w:t>
            </w:r>
          </w:p>
        </w:tc>
      </w:tr>
    </w:tbl>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jc w:val="left"/>
        <w:rPr>
          <w:lang w:val="en-US" w:eastAsia="uk-UA"/>
        </w:rPr>
        <w:sectPr>
          <w:pgSz w:w="16839" w:h="11907" w:orient="landscape"/>
          <w:pgMar w:top="794" w:right="1020" w:bottom="794" w:left="1020" w:header="851" w:footer="992" w:gutter="0"/>
          <w:cols w:space="425" w:num="1"/>
          <w:docGrid w:type="lines" w:linePitch="312" w:charSpace="0"/>
        </w:sectPr>
      </w:pPr>
    </w:p>
    <w:p/>
    <w:tbl>
      <w:tblPr>
        <w:tblStyle w:val="12"/>
        <w:tblW w:w="14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3"/>
        <w:gridCol w:w="3562"/>
        <w:gridCol w:w="3150"/>
        <w:gridCol w:w="2971"/>
        <w:gridCol w:w="2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4500"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部门预算国有资本经营预算财政拨款支出表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0" w:type="auto"/>
            <w:gridSpan w:val="2"/>
            <w:tcBorders>
              <w:top w:val="nil"/>
              <w:left w:val="nil"/>
              <w:bottom w:val="nil"/>
              <w:right w:val="nil"/>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r>
              <w:rPr>
                <w:rFonts w:hint="eastAsia" w:eastAsia="宋体"/>
                <w:sz w:val="24"/>
                <w:szCs w:val="24"/>
                <w:lang w:val="en-US" w:eastAsia="zh-CN"/>
              </w:rPr>
              <w:t>中国人民政治协商会议唐山市丰南区委员会</w:t>
            </w:r>
          </w:p>
        </w:tc>
        <w:tc>
          <w:tcPr>
            <w:tcW w:w="3150"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2971"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5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合计</w:t>
            </w:r>
          </w:p>
        </w:tc>
        <w:tc>
          <w:tcPr>
            <w:tcW w:w="2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基本支出</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c>
          <w:tcPr>
            <w:tcW w:w="2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功能分类科目编码</w:t>
            </w:r>
          </w:p>
        </w:tc>
        <w:tc>
          <w:tcPr>
            <w:tcW w:w="3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科目名称</w:t>
            </w: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2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2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2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5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合计</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0" w:type="auto"/>
            <w:gridSpan w:val="5"/>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w:t>
            </w:r>
            <w:r>
              <w:rPr>
                <w:rFonts w:hint="eastAsia" w:ascii="方正书宋_GBK" w:hAnsi="方正书宋_GBK" w:eastAsia="方正书宋_GBK" w:cs="方正书宋_GBK"/>
                <w:color w:val="000000"/>
                <w:sz w:val="21"/>
                <w:szCs w:val="21"/>
              </w:rPr>
              <w:t>无国有资本经营预算财政拨款预算，空表列示。</w:t>
            </w:r>
          </w:p>
        </w:tc>
      </w:tr>
    </w:tbl>
    <w:p/>
    <w:p/>
    <w:p/>
    <w:p/>
    <w:p/>
    <w:p/>
    <w:p/>
    <w:p/>
    <w:p/>
    <w:p/>
    <w:p/>
    <w:p/>
    <w:p/>
    <w:p/>
    <w:p/>
    <w:p/>
    <w:p/>
    <w:p>
      <w:bookmarkStart w:id="10" w:name="_GoBack"/>
      <w:bookmarkEnd w:id="10"/>
    </w:p>
    <w:tbl>
      <w:tblPr>
        <w:tblStyle w:val="12"/>
        <w:tblW w:w="14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80"/>
        <w:gridCol w:w="2806"/>
        <w:gridCol w:w="2804"/>
        <w:gridCol w:w="2804"/>
        <w:gridCol w:w="2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12"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部门预算财政拨款“三公”经费支出表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nil"/>
              <w:right w:val="nil"/>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r>
              <w:rPr>
                <w:rFonts w:hint="eastAsia" w:eastAsia="宋体"/>
                <w:sz w:val="24"/>
                <w:szCs w:val="24"/>
                <w:lang w:val="en-US" w:eastAsia="zh-CN"/>
              </w:rPr>
              <w:t>中国人民政治协商会议唐山市丰南区委员会</w:t>
            </w:r>
          </w:p>
        </w:tc>
        <w:tc>
          <w:tcPr>
            <w:tcW w:w="2808"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2808"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ascii="方正仿宋_GBK" w:hAnsi="方正仿宋_GBK" w:eastAsia="方正仿宋_GBK" w:cs="方正仿宋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项目</w:t>
            </w:r>
          </w:p>
        </w:tc>
        <w:tc>
          <w:tcPr>
            <w:tcW w:w="112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一般公共预算财政拨款</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政府性基金财政拨款</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合计</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29.7</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29.7</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一、因公出国（境）费</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二、公务用车购置及运行费</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其中：公务用车购置费</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 xml:space="preserve">       公务用车运行费</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三、公务接待费</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bl>
    <w:p>
      <w:pPr>
        <w:sectPr>
          <w:pgSz w:w="16840" w:h="11900" w:orient="landscape"/>
          <w:pgMar w:top="1587" w:right="1134" w:bottom="1361" w:left="1134" w:header="720" w:footer="720" w:gutter="0"/>
          <w:pgNumType w:start="1"/>
          <w:cols w:space="720" w:num="1"/>
        </w:sectPr>
      </w:pPr>
    </w:p>
    <w:p>
      <w:pPr>
        <w:jc w:val="center"/>
        <w:rPr>
          <w:rFonts w:hint="default" w:ascii="方正小标宋_GBK" w:hAnsi="方正小标宋_GBK" w:eastAsia="方正小标宋_GBK" w:cs="方正小标宋_GBK"/>
          <w:color w:val="000000"/>
          <w:sz w:val="44"/>
          <w:lang w:val="en-US" w:eastAsia="zh-CN"/>
        </w:rPr>
      </w:pPr>
      <w:r>
        <w:rPr>
          <w:rFonts w:hint="eastAsia" w:ascii="方正小标宋_GBK" w:hAnsi="方正小标宋_GBK" w:eastAsia="方正小标宋_GBK" w:cs="方正小标宋_GBK"/>
          <w:color w:val="000000"/>
          <w:sz w:val="44"/>
          <w:lang w:val="en-US" w:eastAsia="zh-CN"/>
        </w:rPr>
        <w:t>中国人民政治协商会议唐山市丰南区委员会办公室</w:t>
      </w:r>
    </w:p>
    <w:p>
      <w:pPr>
        <w:jc w:val="center"/>
      </w:pPr>
      <w:r>
        <w:rPr>
          <w:rFonts w:hint="eastAsia" w:ascii="方正小标宋_GBK" w:hAnsi="方正小标宋_GBK" w:eastAsia="方正小标宋_GBK" w:cs="方正小标宋_GBK"/>
          <w:color w:val="000000"/>
          <w:sz w:val="44"/>
          <w:lang w:val="en-US" w:eastAsia="zh-CN"/>
        </w:rPr>
        <w:t>2019</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val="en-US" w:eastAsia="zh-CN"/>
        </w:rPr>
        <w:t>中国人民政治协商会议唐山市丰南区委员会办2019</w:t>
      </w:r>
      <w:r>
        <w:rPr>
          <w:rFonts w:eastAsia="方正仿宋_GBK"/>
          <w:color w:val="000000"/>
          <w:sz w:val="28"/>
        </w:rPr>
        <w:t>年部门预算公开如下：</w:t>
      </w:r>
    </w:p>
    <w:p>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pPr>
        <w:ind w:firstLine="640"/>
      </w:pPr>
      <w:r>
        <w:rPr>
          <w:rFonts w:ascii="方正楷体_GBK" w:hAnsi="方正楷体_GBK" w:eastAsia="方正楷体_GBK" w:cs="方正楷体_GBK"/>
          <w:b/>
          <w:color w:val="000000"/>
          <w:sz w:val="32"/>
        </w:rPr>
        <w:t>部门职责：</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政协的主要职能是政治协商、民主监督、参政议政。</w:t>
      </w:r>
      <w:r>
        <w:rPr>
          <w:rFonts w:hint="eastAsia" w:ascii="仿宋" w:hAnsi="仿宋" w:eastAsia="仿宋" w:cs="仿宋"/>
          <w:kern w:val="0"/>
          <w:sz w:val="32"/>
        </w:rPr>
        <w:t>政治协商</w:t>
      </w:r>
      <w:r>
        <w:rPr>
          <w:rFonts w:hint="eastAsia" w:ascii="仿宋" w:hAnsi="仿宋" w:eastAsia="仿宋" w:cs="仿宋"/>
          <w:kern w:val="0"/>
          <w:sz w:val="32"/>
          <w:szCs w:val="32"/>
        </w:rPr>
        <w:t>是对国家和地方的大政方针以及政治、经济、文化和社会生活中的重要问题在决策之前进行协商和就决策执行过程中的重要问题进行协商。</w:t>
      </w:r>
      <w:r>
        <w:rPr>
          <w:rFonts w:hint="eastAsia" w:ascii="仿宋" w:hAnsi="仿宋" w:eastAsia="仿宋" w:cs="仿宋"/>
          <w:kern w:val="0"/>
          <w:sz w:val="32"/>
        </w:rPr>
        <w:t>民主监督</w:t>
      </w:r>
      <w:r>
        <w:rPr>
          <w:rFonts w:hint="eastAsia" w:ascii="仿宋" w:hAnsi="仿宋" w:eastAsia="仿宋" w:cs="仿宋"/>
          <w:kern w:val="0"/>
          <w:sz w:val="32"/>
          <w:szCs w:val="32"/>
        </w:rPr>
        <w:t>是对国家宪法、法律和法规的实施，重大方针政策的贯彻执行、国家机关及其工作人员的工作，通过建议和批评进行监督。</w:t>
      </w:r>
      <w:r>
        <w:rPr>
          <w:rFonts w:hint="eastAsia" w:ascii="仿宋" w:hAnsi="仿宋" w:eastAsia="仿宋" w:cs="仿宋"/>
          <w:kern w:val="0"/>
          <w:sz w:val="32"/>
        </w:rPr>
        <w:t>参政议政</w:t>
      </w:r>
      <w:r>
        <w:rPr>
          <w:rFonts w:hint="eastAsia" w:ascii="仿宋" w:hAnsi="仿宋" w:eastAsia="仿宋" w:cs="仿宋"/>
          <w:kern w:val="0"/>
          <w:sz w:val="32"/>
          <w:szCs w:val="32"/>
        </w:rPr>
        <w:t>是对政治、经济、文化和社会生活中的重要问题以及人民群众普遍关心的问题，开展调查研究，反映社情民意，进行协商讨论。通过调研报告、提案、建议案或其他形式，向中国共产党和国家机关提出意见和建议。</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政协的主要工作有：</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1、做好提案的征集、分类、登记、审查、交办、督办、立卷和归档工作。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2、做好文史资料的征集、整理、编辑、出版和发行工作。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3、组织委员学习政治理论和政协业务知识，开展委员培训，提高委员参政议政能力。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4、组织委员开展专题视察、考察、调研活动。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5、开展政协委员活动，做好反映社情民意工作。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6、组织好政协委员会全体会议、常务委员会议、主席会议等有关会议的会务工作。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7、做好政协工作的宣传报道工作，加强同委员的联系，大力宣传委员的先进事迹，扩大政协委员的影响。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320" w:firstLineChars="100"/>
        <w:rPr>
          <w:rFonts w:hint="eastAsia" w:ascii="仿宋" w:hAnsi="仿宋" w:eastAsia="仿宋" w:cs="仿宋"/>
          <w:kern w:val="0"/>
          <w:sz w:val="32"/>
          <w:szCs w:val="32"/>
        </w:rPr>
      </w:pPr>
      <w:r>
        <w:rPr>
          <w:rFonts w:hint="eastAsia" w:ascii="仿宋" w:hAnsi="仿宋" w:eastAsia="仿宋" w:cs="仿宋"/>
          <w:kern w:val="0"/>
          <w:sz w:val="32"/>
          <w:szCs w:val="32"/>
        </w:rPr>
        <w:t xml:space="preserve">  8、做好区政协自身建设、宣传工作，与有关单位的联系协调；负责机关外事工作，机构编制、人事任免、人员培训、考核奖惩、工资福利，后勤保障、经费资产管理、和审计，接待、离退休人员服务，承办政协主席、副主席、秘书长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2"/>
              <w:rPr>
                <w:rFonts w:hint="default" w:eastAsia="方正书宋_GBK"/>
                <w:lang w:val="en-US" w:eastAsia="zh-CN"/>
              </w:rPr>
            </w:pPr>
            <w:r>
              <w:rPr>
                <w:rFonts w:hint="eastAsia"/>
                <w:lang w:val="en-US" w:eastAsia="zh-CN"/>
              </w:rPr>
              <w:t>中国人民政治协商会议唐山市丰南区委员会办公室</w:t>
            </w:r>
          </w:p>
        </w:tc>
        <w:tc>
          <w:tcPr>
            <w:tcW w:w="1843" w:type="dxa"/>
            <w:vAlign w:val="center"/>
          </w:tcPr>
          <w:p>
            <w:pPr>
              <w:pStyle w:val="23"/>
            </w:pPr>
            <w:r>
              <w:t>行政</w:t>
            </w:r>
          </w:p>
        </w:tc>
        <w:tc>
          <w:tcPr>
            <w:tcW w:w="2126" w:type="dxa"/>
            <w:vAlign w:val="center"/>
          </w:tcPr>
          <w:p>
            <w:pPr>
              <w:pStyle w:val="23"/>
              <w:rPr>
                <w:rFonts w:hint="eastAsia" w:eastAsia="方正书宋_GBK"/>
                <w:lang w:eastAsia="zh-CN"/>
              </w:rPr>
            </w:pPr>
            <w:r>
              <w:rPr>
                <w:rFonts w:hint="eastAsia"/>
                <w:lang w:val="en-US" w:eastAsia="zh-CN"/>
              </w:rPr>
              <w:t>县处级</w:t>
            </w:r>
          </w:p>
        </w:tc>
        <w:tc>
          <w:tcPr>
            <w:tcW w:w="3827" w:type="dxa"/>
            <w:vAlign w:val="center"/>
          </w:tcPr>
          <w:p>
            <w:pPr>
              <w:pStyle w:val="23"/>
            </w:pPr>
            <w:r>
              <w:t>财政拨款</w:t>
            </w:r>
          </w:p>
        </w:tc>
      </w:tr>
    </w:tbl>
    <w:p>
      <w:pPr>
        <w:spacing w:before="10" w:after="10" w:line="360" w:lineRule="auto"/>
        <w:ind w:firstLine="640"/>
        <w:outlineLvl w:val="2"/>
        <w:rPr>
          <w:rFonts w:ascii="黑体" w:hAnsi="黑体" w:eastAsia="黑体" w:cs="黑体"/>
          <w:color w:val="000000"/>
          <w:sz w:val="32"/>
        </w:rPr>
      </w:pPr>
      <w:bookmarkStart w:id="1" w:name="_Toc_3_3_0000000011"/>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二、部门预算安排的总体情况</w:t>
      </w:r>
      <w:bookmarkEnd w:id="1"/>
    </w:p>
    <w:p>
      <w:pPr>
        <w:pStyle w:val="28"/>
      </w:pPr>
      <w:r>
        <w:t>按照预算管理有关规定，目前部门预算的编制实行综合预算管理，即全部收入和支出都反映在预算中。</w:t>
      </w:r>
      <w:r>
        <w:rPr>
          <w:rFonts w:hint="eastAsia"/>
          <w:lang w:val="en-US" w:eastAsia="zh-CN"/>
        </w:rPr>
        <w:t>中国人民政治协商会议唐山市丰南区委员会办公室</w:t>
      </w:r>
      <w:r>
        <w:t>机关及所属事业单位的收支包含在部门预算中。</w:t>
      </w:r>
    </w:p>
    <w:p>
      <w:pPr>
        <w:pStyle w:val="28"/>
      </w:pPr>
      <w:r>
        <w:t>1、收入说明</w:t>
      </w:r>
    </w:p>
    <w:p>
      <w:pPr>
        <w:pStyle w:val="28"/>
      </w:pPr>
      <w:r>
        <w:t>反映本部门当年全部收入。</w:t>
      </w:r>
      <w:r>
        <w:rPr>
          <w:rFonts w:hint="eastAsia"/>
          <w:lang w:val="en-US" w:eastAsia="zh-CN"/>
        </w:rPr>
        <w:t>2019</w:t>
      </w:r>
      <w:r>
        <w:t>年预算收入</w:t>
      </w:r>
      <w:r>
        <w:rPr>
          <w:rFonts w:hint="eastAsia"/>
          <w:lang w:val="en-US" w:eastAsia="zh-CN"/>
        </w:rPr>
        <w:t>451.18</w:t>
      </w:r>
      <w:r>
        <w:t>万元，其中：一般公共预算收入</w:t>
      </w:r>
      <w:r>
        <w:rPr>
          <w:rFonts w:hint="eastAsia"/>
          <w:lang w:val="en-US" w:eastAsia="zh-CN"/>
        </w:rPr>
        <w:t>451.18</w:t>
      </w:r>
      <w:r>
        <w:t>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w:t>
      </w:r>
      <w:r>
        <w:rPr>
          <w:rFonts w:hint="eastAsia"/>
          <w:lang w:val="en-US" w:eastAsia="zh-CN"/>
        </w:rPr>
        <w:t>中国人民政治协商会议唐山市丰南区委员会办公室</w:t>
      </w:r>
      <w:r>
        <w:t>年度部门预算中支出预算的总体情况。</w:t>
      </w:r>
      <w:r>
        <w:rPr>
          <w:rFonts w:hint="eastAsia"/>
          <w:lang w:val="en-US" w:eastAsia="zh-CN"/>
        </w:rPr>
        <w:t>2019</w:t>
      </w:r>
      <w:r>
        <w:t>年支出预算</w:t>
      </w:r>
      <w:r>
        <w:rPr>
          <w:rFonts w:hint="eastAsia"/>
          <w:lang w:val="en-US" w:eastAsia="zh-CN"/>
        </w:rPr>
        <w:t>451.18</w:t>
      </w:r>
      <w:r>
        <w:t>万元，其中基本支出</w:t>
      </w:r>
      <w:r>
        <w:rPr>
          <w:rFonts w:hint="eastAsia"/>
          <w:lang w:val="en-US" w:eastAsia="zh-CN"/>
        </w:rPr>
        <w:t>335.23</w:t>
      </w:r>
      <w:r>
        <w:t>万元，包括人员经费</w:t>
      </w:r>
      <w:r>
        <w:rPr>
          <w:rFonts w:hint="eastAsia"/>
          <w:lang w:val="en-US" w:eastAsia="zh-CN"/>
        </w:rPr>
        <w:t>280.03</w:t>
      </w:r>
      <w:r>
        <w:t>万元和日常公用经费</w:t>
      </w:r>
      <w:r>
        <w:rPr>
          <w:rFonts w:hint="eastAsia"/>
          <w:lang w:val="en-US" w:eastAsia="zh-CN"/>
        </w:rPr>
        <w:t>55.2</w:t>
      </w:r>
      <w:r>
        <w:t>万元；项目支出</w:t>
      </w:r>
      <w:r>
        <w:rPr>
          <w:rFonts w:hint="eastAsia"/>
          <w:lang w:val="en-US" w:eastAsia="zh-CN"/>
        </w:rPr>
        <w:t>115.95</w:t>
      </w:r>
      <w:r>
        <w:t>万元，主要为</w:t>
      </w:r>
      <w:r>
        <w:rPr>
          <w:rFonts w:hint="eastAsia"/>
          <w:lang w:val="en-US" w:eastAsia="zh-CN"/>
        </w:rPr>
        <w:t>政协会议费、差旅费、招待费、培训费等支出</w:t>
      </w:r>
      <w:r>
        <w:t>。</w:t>
      </w:r>
    </w:p>
    <w:p>
      <w:pPr>
        <w:pStyle w:val="28"/>
      </w:pPr>
      <w:r>
        <w:t>3、比上年增减情况</w:t>
      </w:r>
    </w:p>
    <w:p>
      <w:pPr>
        <w:pStyle w:val="28"/>
      </w:pPr>
      <w:r>
        <w:rPr>
          <w:rFonts w:hint="eastAsia"/>
          <w:lang w:val="en-US" w:eastAsia="zh-CN"/>
        </w:rPr>
        <w:t>2019</w:t>
      </w:r>
      <w:r>
        <w:t>年预算收支安排</w:t>
      </w:r>
      <w:r>
        <w:rPr>
          <w:rFonts w:hint="eastAsia"/>
          <w:lang w:val="en-US" w:eastAsia="zh-CN"/>
        </w:rPr>
        <w:t>451.18</w:t>
      </w:r>
      <w:r>
        <w:t>万元，较</w:t>
      </w:r>
      <w:r>
        <w:rPr>
          <w:rFonts w:hint="eastAsia"/>
          <w:lang w:val="en-US" w:eastAsia="zh-CN"/>
        </w:rPr>
        <w:t>2018</w:t>
      </w:r>
      <w:r>
        <w:t>年预算</w:t>
      </w:r>
      <w:r>
        <w:rPr>
          <w:rFonts w:hint="eastAsia"/>
          <w:lang w:val="en-US" w:eastAsia="zh-CN"/>
        </w:rPr>
        <w:t>增加26.93</w:t>
      </w:r>
      <w:r>
        <w:t>万元，其中：基本支出</w:t>
      </w:r>
      <w:r>
        <w:rPr>
          <w:rFonts w:hint="eastAsia"/>
          <w:lang w:val="en-US" w:eastAsia="zh-CN"/>
        </w:rPr>
        <w:t>增加16.93</w:t>
      </w:r>
      <w:r>
        <w:t>万元，主要为</w:t>
      </w:r>
      <w:r>
        <w:rPr>
          <w:rFonts w:hint="eastAsia"/>
        </w:rPr>
        <w:t>主要由</w:t>
      </w:r>
      <w:r>
        <w:rPr>
          <w:rFonts w:hint="eastAsia"/>
          <w:lang w:eastAsia="zh-CN"/>
        </w:rPr>
        <w:t>于人员增加、工资调整、医疗公积金等保险调整</w:t>
      </w:r>
      <w:r>
        <w:rPr>
          <w:rFonts w:hint="eastAsia"/>
          <w:lang w:val="en-US" w:eastAsia="zh-CN"/>
        </w:rPr>
        <w:t>，相应人员经费和日常公用经费增加</w:t>
      </w:r>
      <w:r>
        <w:t>。项目支出</w:t>
      </w:r>
      <w:r>
        <w:rPr>
          <w:rFonts w:hint="eastAsia"/>
          <w:lang w:val="en-US" w:eastAsia="zh-CN"/>
        </w:rPr>
        <w:t>增加10万元，主要为委员视察学习培训经费增加</w:t>
      </w:r>
      <w:r>
        <w:t>。</w:t>
      </w:r>
    </w:p>
    <w:p>
      <w:pPr>
        <w:spacing w:before="10" w:after="10" w:line="360" w:lineRule="auto"/>
        <w:ind w:firstLine="640"/>
        <w:outlineLvl w:val="2"/>
        <w:rPr>
          <w:rFonts w:ascii="黑体" w:hAnsi="黑体" w:eastAsia="黑体" w:cs="黑体"/>
          <w:color w:val="000000"/>
          <w:sz w:val="32"/>
        </w:rPr>
      </w:pPr>
      <w:bookmarkStart w:id="2" w:name="_Toc_3_3_0000000012"/>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三、机关运行经费安排情况</w:t>
      </w:r>
      <w:bookmarkEnd w:id="2"/>
    </w:p>
    <w:p>
      <w:pPr>
        <w:pStyle w:val="29"/>
      </w:pPr>
      <w:r>
        <w:rPr>
          <w:rFonts w:hint="eastAsia"/>
          <w:lang w:val="en-US" w:eastAsia="zh-CN"/>
        </w:rPr>
        <w:t>2019</w:t>
      </w:r>
      <w:r>
        <w:t>年，我部门机关运行经费共计安排</w:t>
      </w:r>
      <w:r>
        <w:rPr>
          <w:rFonts w:hint="eastAsia"/>
          <w:lang w:val="en-US" w:eastAsia="zh-CN"/>
        </w:rPr>
        <w:t>55.2</w:t>
      </w:r>
      <w:r>
        <w:t>万元，主要用于</w:t>
      </w:r>
      <w:r>
        <w:rPr>
          <w:rFonts w:hint="eastAsia"/>
        </w:rPr>
        <w:t>办公及印刷费、邮电费、公务用车运行维护费、工会费、</w:t>
      </w:r>
      <w:r>
        <w:rPr>
          <w:rFonts w:hint="eastAsia"/>
          <w:lang w:eastAsia="zh-CN"/>
        </w:rPr>
        <w:t>在职职工</w:t>
      </w:r>
      <w:r>
        <w:rPr>
          <w:rFonts w:hint="eastAsia"/>
        </w:rPr>
        <w:t>福利费、</w:t>
      </w:r>
      <w:r>
        <w:rPr>
          <w:rFonts w:hint="eastAsia"/>
          <w:lang w:eastAsia="zh-CN"/>
        </w:rPr>
        <w:t>离退休福利费</w:t>
      </w:r>
      <w:r>
        <w:rPr>
          <w:rFonts w:hint="eastAsia"/>
          <w:lang w:val="en-US" w:eastAsia="zh-CN"/>
        </w:rPr>
        <w:t>、</w:t>
      </w:r>
      <w:r>
        <w:rPr>
          <w:rFonts w:hint="eastAsia"/>
        </w:rPr>
        <w:t>移动通讯补贴、交通补贴、</w:t>
      </w:r>
      <w:r>
        <w:rPr>
          <w:rFonts w:hint="eastAsia"/>
          <w:lang w:eastAsia="zh-CN"/>
        </w:rPr>
        <w:t>离退休干部报刊费</w:t>
      </w:r>
      <w:r>
        <w:t>等日常运行支出。</w:t>
      </w:r>
    </w:p>
    <w:p>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pPr>
        <w:pStyle w:val="37"/>
      </w:pPr>
      <w:bookmarkStart w:id="4" w:name="_Toc_3_3_0000000014"/>
      <w:r>
        <w:rPr>
          <w:rFonts w:hint="eastAsia"/>
          <w:lang w:val="en-US" w:eastAsia="zh-CN"/>
        </w:rPr>
        <w:t>2019</w:t>
      </w:r>
      <w:r>
        <w:t>年，我单位财政拨款“三公”经费预算安排</w:t>
      </w:r>
      <w:r>
        <w:rPr>
          <w:rFonts w:hint="eastAsia"/>
          <w:lang w:val="en-US" w:eastAsia="zh-CN"/>
        </w:rPr>
        <w:t>29.7</w:t>
      </w:r>
      <w:r>
        <w:t>万元，其中因公出国（境）费0万元；公务用车购置及运维费</w:t>
      </w:r>
      <w:r>
        <w:rPr>
          <w:rFonts w:hint="eastAsia"/>
          <w:lang w:val="en-US" w:eastAsia="zh-CN"/>
        </w:rPr>
        <w:t>20</w:t>
      </w:r>
      <w:r>
        <w:t>万元（其中：公务用车购置费为0万元，公务用车运维费</w:t>
      </w:r>
      <w:r>
        <w:rPr>
          <w:rFonts w:hint="eastAsia"/>
          <w:lang w:val="en-US" w:eastAsia="zh-CN"/>
        </w:rPr>
        <w:t>20</w:t>
      </w:r>
      <w:r>
        <w:t>万元)；公务接待费</w:t>
      </w:r>
      <w:r>
        <w:rPr>
          <w:rFonts w:hint="eastAsia"/>
          <w:lang w:val="en-US" w:eastAsia="zh-CN"/>
        </w:rPr>
        <w:t>9.7</w:t>
      </w:r>
      <w:r>
        <w:t>万元。</w:t>
      </w:r>
      <w:r>
        <w:rPr>
          <w:rFonts w:hint="eastAsia"/>
          <w:lang w:val="en-US" w:eastAsia="zh-CN"/>
        </w:rPr>
        <w:t>与2018</w:t>
      </w:r>
      <w:r>
        <w:t>年</w:t>
      </w:r>
      <w:r>
        <w:rPr>
          <w:rFonts w:hint="eastAsia"/>
          <w:lang w:val="en-US" w:eastAsia="zh-CN"/>
        </w:rPr>
        <w:t>持平。</w:t>
      </w:r>
    </w:p>
    <w:bookmarkEnd w:id="4"/>
    <w:p>
      <w:pPr>
        <w:spacing w:line="360" w:lineRule="auto"/>
        <w:ind w:firstLine="630"/>
        <w:rPr>
          <w:rFonts w:ascii="黑体" w:hAnsi="黑体" w:eastAsia="黑体"/>
          <w:sz w:val="32"/>
          <w:szCs w:val="32"/>
        </w:rPr>
      </w:pPr>
      <w:r>
        <w:rPr>
          <w:rFonts w:hint="eastAsia" w:ascii="黑体" w:hAnsi="黑体" w:eastAsia="黑体"/>
          <w:sz w:val="32"/>
          <w:szCs w:val="32"/>
        </w:rPr>
        <w:t>五、绩效预算信息</w:t>
      </w:r>
    </w:p>
    <w:p>
      <w:pPr>
        <w:spacing w:line="500" w:lineRule="exact"/>
        <w:ind w:firstLine="560"/>
        <w:rPr>
          <w:rFonts w:eastAsia="方正仿宋_GBK"/>
          <w:color w:val="000000"/>
          <w:sz w:val="28"/>
        </w:rPr>
      </w:pPr>
      <w:r>
        <w:rPr>
          <w:rFonts w:eastAsia="方正仿宋_GBK"/>
          <w:color w:val="000000"/>
          <w:sz w:val="28"/>
        </w:rPr>
        <w:t>（一）总体绩效目标</w:t>
      </w:r>
    </w:p>
    <w:p>
      <w:pPr>
        <w:spacing w:line="500" w:lineRule="exact"/>
        <w:ind w:firstLine="560"/>
        <w:rPr>
          <w:rFonts w:hint="eastAsia" w:eastAsia="方正仿宋_GBK"/>
          <w:b/>
          <w:bCs/>
          <w:color w:val="000000"/>
          <w:sz w:val="28"/>
          <w:lang w:val="en-US" w:eastAsia="zh-CN"/>
        </w:rPr>
      </w:pPr>
      <w:r>
        <w:rPr>
          <w:rFonts w:eastAsia="方正仿宋_GBK"/>
          <w:b/>
          <w:bCs/>
          <w:color w:val="000000"/>
          <w:sz w:val="28"/>
        </w:rPr>
        <w:t>区政协</w:t>
      </w:r>
      <w:r>
        <w:rPr>
          <w:rFonts w:hint="eastAsia" w:eastAsia="方正仿宋_GBK"/>
          <w:b/>
          <w:bCs/>
          <w:color w:val="000000"/>
          <w:sz w:val="28"/>
          <w:lang w:val="en-US" w:eastAsia="zh-CN"/>
        </w:rPr>
        <w:t>总体绩效目标</w:t>
      </w:r>
    </w:p>
    <w:p>
      <w:pPr>
        <w:ind w:firstLine="560" w:firstLineChars="200"/>
        <w:outlineLvl w:val="0"/>
        <w:rPr>
          <w:rFonts w:hint="eastAsia" w:ascii="方正仿宋简体" w:hAnsi="仿宋" w:eastAsia="方正仿宋简体" w:cs="仿宋"/>
          <w:bCs/>
          <w:color w:val="000000"/>
          <w:sz w:val="28"/>
          <w:szCs w:val="28"/>
          <w:lang w:eastAsia="zh-CN"/>
        </w:rPr>
      </w:pPr>
      <w:bookmarkStart w:id="5" w:name="_Toc_3_3_0000000017"/>
      <w:r>
        <w:rPr>
          <w:rFonts w:hint="eastAsia" w:ascii="方正仿宋简体" w:hAnsi="仿宋" w:eastAsia="方正仿宋简体" w:cs="仿宋"/>
          <w:bCs/>
          <w:color w:val="000000"/>
          <w:sz w:val="28"/>
          <w:szCs w:val="28"/>
          <w:lang w:eastAsia="zh-CN"/>
        </w:rPr>
        <w:t>2019年，以习近平新时代中国特色社会主义思想为根本遵循，深入贯彻落实习近平总书记关于加强和改进人民政协工作的重要思想，紧紧围绕区委、区政府中心工作，以加强新时代政协机关党建为保障，以加强委员队伍建设为动力，着力创新平台，以助力服务全区经济社会发展为目标，发挥政协组织协商民主重要渠道和专门协商机构作用，全力服务区政协各项工作任务落实。</w:t>
      </w:r>
    </w:p>
    <w:p>
      <w:pPr>
        <w:ind w:firstLine="560" w:firstLineChars="200"/>
        <w:outlineLvl w:val="0"/>
        <w:rPr>
          <w:rFonts w:hint="eastAsia" w:ascii="方正仿宋简体" w:hAnsi="仿宋" w:eastAsia="方正仿宋简体" w:cs="仿宋"/>
          <w:bCs/>
          <w:color w:val="000000"/>
          <w:sz w:val="28"/>
          <w:szCs w:val="28"/>
          <w:lang w:eastAsia="zh-CN"/>
        </w:rPr>
      </w:pPr>
      <w:r>
        <w:rPr>
          <w:rFonts w:hint="eastAsia" w:ascii="方正仿宋简体" w:hAnsi="仿宋" w:eastAsia="方正仿宋简体" w:cs="仿宋"/>
          <w:bCs/>
          <w:color w:val="000000"/>
          <w:sz w:val="28"/>
          <w:szCs w:val="28"/>
          <w:lang w:eastAsia="zh-CN"/>
        </w:rPr>
        <w:t>从严从实，加强新时代人民政协党的建设。</w:t>
      </w:r>
    </w:p>
    <w:p>
      <w:pPr>
        <w:ind w:firstLine="560" w:firstLineChars="200"/>
        <w:outlineLvl w:val="0"/>
        <w:rPr>
          <w:rFonts w:hint="eastAsia" w:ascii="方正仿宋简体" w:hAnsi="仿宋" w:eastAsia="方正仿宋简体" w:cs="仿宋"/>
          <w:bCs/>
          <w:color w:val="000000"/>
          <w:sz w:val="28"/>
          <w:szCs w:val="28"/>
          <w:lang w:eastAsia="zh-CN"/>
        </w:rPr>
      </w:pPr>
      <w:r>
        <w:rPr>
          <w:rFonts w:hint="eastAsia" w:ascii="方正仿宋简体" w:hAnsi="仿宋" w:eastAsia="方正仿宋简体" w:cs="仿宋"/>
          <w:bCs/>
          <w:color w:val="000000"/>
          <w:sz w:val="28"/>
          <w:szCs w:val="28"/>
          <w:lang w:eastAsia="zh-CN"/>
        </w:rPr>
        <w:t>从党的思想建设入手，建立以政协党组理论中心组学习为引领，主席会议学习、常委会议学习、委员学习培训、机关干部轮训的学习制度体系，实现理论武装与履职实践的有机结合。建立党组成员联系相关界别党员委员、党员委员联系党外委员制度，实现党的工作对政协委员全覆盖。</w:t>
      </w:r>
    </w:p>
    <w:p>
      <w:pPr>
        <w:ind w:firstLine="560" w:firstLineChars="200"/>
        <w:outlineLvl w:val="0"/>
        <w:rPr>
          <w:rFonts w:hint="eastAsia" w:ascii="方正仿宋简体" w:hAnsi="仿宋" w:eastAsia="方正仿宋简体" w:cs="仿宋"/>
          <w:bCs/>
          <w:color w:val="000000"/>
          <w:sz w:val="28"/>
          <w:szCs w:val="28"/>
          <w:lang w:eastAsia="zh-CN"/>
        </w:rPr>
      </w:pPr>
      <w:r>
        <w:rPr>
          <w:rFonts w:hint="eastAsia" w:ascii="方正仿宋简体" w:hAnsi="仿宋" w:eastAsia="方正仿宋简体" w:cs="仿宋"/>
          <w:bCs/>
          <w:color w:val="000000"/>
          <w:sz w:val="28"/>
          <w:szCs w:val="28"/>
          <w:lang w:eastAsia="zh-CN"/>
        </w:rPr>
        <w:t>同向发力，服务全区经济社会发展。</w:t>
      </w:r>
    </w:p>
    <w:p>
      <w:pPr>
        <w:ind w:firstLine="560" w:firstLineChars="200"/>
        <w:outlineLvl w:val="0"/>
        <w:rPr>
          <w:rFonts w:hint="eastAsia" w:ascii="方正仿宋简体" w:hAnsi="仿宋" w:eastAsia="方正仿宋简体" w:cs="仿宋"/>
          <w:bCs/>
          <w:color w:val="000000"/>
          <w:sz w:val="28"/>
          <w:szCs w:val="28"/>
          <w:lang w:eastAsia="zh-CN"/>
        </w:rPr>
      </w:pPr>
      <w:r>
        <w:rPr>
          <w:rFonts w:hint="eastAsia" w:ascii="方正仿宋简体" w:hAnsi="仿宋" w:eastAsia="方正仿宋简体" w:cs="仿宋"/>
          <w:bCs/>
          <w:color w:val="000000"/>
          <w:sz w:val="28"/>
          <w:szCs w:val="28"/>
          <w:lang w:eastAsia="zh-CN"/>
        </w:rPr>
        <w:t>组织开展“助力招商引资、服务高质量发展”活动，为全区招商引资工作牵线搭桥，为高质量发展出谋划策。开展《丰南英才》的征编工作，征编海内外丰南籍各界精英相关资料，搭建情系故土、了解家乡的平台，促进丰南籍各界精英为家乡建设献计出力，为我区发展争取人才和人脉支持。把协助党委政府解决问题、改进工作、增进团结、凝心聚力作为民主监督的最终目标，围绕涉及改革发展稳定和民生领域的重要问题组织视察监督，推进党委政府决策部署贯彻落实。</w:t>
      </w:r>
    </w:p>
    <w:p>
      <w:pPr>
        <w:ind w:firstLine="560" w:firstLineChars="200"/>
        <w:outlineLvl w:val="0"/>
        <w:rPr>
          <w:rFonts w:hint="eastAsia" w:ascii="方正仿宋简体" w:hAnsi="仿宋" w:eastAsia="方正仿宋简体" w:cs="仿宋"/>
          <w:bCs/>
          <w:color w:val="000000"/>
          <w:sz w:val="28"/>
          <w:szCs w:val="28"/>
          <w:lang w:eastAsia="zh-CN"/>
        </w:rPr>
      </w:pPr>
      <w:r>
        <w:rPr>
          <w:rFonts w:hint="eastAsia" w:ascii="方正仿宋简体" w:hAnsi="仿宋" w:eastAsia="方正仿宋简体" w:cs="仿宋"/>
          <w:bCs/>
          <w:color w:val="000000"/>
          <w:sz w:val="28"/>
          <w:szCs w:val="28"/>
          <w:lang w:eastAsia="zh-CN"/>
        </w:rPr>
        <w:t>提高实效，增强协商建言力度。</w:t>
      </w:r>
    </w:p>
    <w:p>
      <w:pPr>
        <w:ind w:firstLine="560" w:firstLineChars="200"/>
        <w:outlineLvl w:val="0"/>
        <w:rPr>
          <w:rFonts w:hint="eastAsia" w:ascii="方正仿宋简体" w:hAnsi="仿宋" w:eastAsia="方正仿宋简体" w:cs="仿宋"/>
          <w:bCs/>
          <w:color w:val="000000"/>
          <w:sz w:val="28"/>
          <w:szCs w:val="28"/>
          <w:lang w:eastAsia="zh-CN"/>
        </w:rPr>
      </w:pPr>
      <w:r>
        <w:rPr>
          <w:rFonts w:hint="eastAsia" w:ascii="方正仿宋简体" w:hAnsi="仿宋" w:eastAsia="方正仿宋简体" w:cs="仿宋"/>
          <w:bCs/>
          <w:color w:val="000000"/>
          <w:sz w:val="28"/>
          <w:szCs w:val="28"/>
          <w:lang w:eastAsia="zh-CN"/>
        </w:rPr>
        <w:t>完善议题选定机制，坚持围绕区委中心、服务全区重点工作的选题原则，实行“协商议题会商形式提出，协商计划区委审定”的程序方法，科学制定年度协商计划。建立政情通报机制，对经济社会发展情况和重要工作阶段性进展情况，通过会议或书面等形式，向委员通报。完善协商成果采纳、落实和反馈机制，加强政协协商与党政工作的有效衔接，出台《丰南区政协提案办理协商办法》，健全提案答复机制，完善办理督查制度及考核评价机制，稳步推进提案办理结果公开。</w:t>
      </w:r>
    </w:p>
    <w:p>
      <w:pPr>
        <w:ind w:firstLine="560" w:firstLineChars="200"/>
        <w:outlineLvl w:val="0"/>
        <w:rPr>
          <w:rFonts w:hint="eastAsia" w:ascii="方正仿宋简体" w:hAnsi="仿宋" w:eastAsia="方正仿宋简体" w:cs="仿宋"/>
          <w:bCs/>
          <w:color w:val="000000"/>
          <w:sz w:val="28"/>
          <w:szCs w:val="28"/>
          <w:lang w:eastAsia="zh-CN"/>
        </w:rPr>
      </w:pPr>
      <w:r>
        <w:rPr>
          <w:rFonts w:hint="eastAsia" w:ascii="方正仿宋简体" w:hAnsi="仿宋" w:eastAsia="方正仿宋简体" w:cs="仿宋"/>
          <w:bCs/>
          <w:color w:val="000000"/>
          <w:sz w:val="28"/>
          <w:szCs w:val="28"/>
          <w:lang w:eastAsia="zh-CN"/>
        </w:rPr>
        <w:t>创新平台，丰富参政议政新载体。</w:t>
      </w:r>
    </w:p>
    <w:p>
      <w:pPr>
        <w:ind w:firstLine="560" w:firstLineChars="200"/>
        <w:outlineLvl w:val="0"/>
        <w:rPr>
          <w:rFonts w:hint="eastAsia" w:ascii="方正仿宋简体" w:hAnsi="仿宋" w:eastAsia="方正仿宋简体" w:cs="仿宋"/>
          <w:bCs/>
          <w:color w:val="000000"/>
          <w:sz w:val="28"/>
          <w:szCs w:val="28"/>
          <w:lang w:eastAsia="zh-CN"/>
        </w:rPr>
      </w:pPr>
      <w:r>
        <w:rPr>
          <w:rFonts w:hint="eastAsia" w:ascii="方正仿宋简体" w:hAnsi="仿宋" w:eastAsia="方正仿宋简体" w:cs="仿宋"/>
          <w:bCs/>
          <w:color w:val="000000"/>
          <w:sz w:val="28"/>
          <w:szCs w:val="28"/>
          <w:lang w:eastAsia="zh-CN"/>
        </w:rPr>
        <w:t>以这次机构改革为契机，加强专委会建设，精选吸收理论功底深厚、实践经验丰富的专家型委员成立专委会，提升政协履职专业化水平。创立“委员议事厅”等协商平台，在委员工作站的基础上，围绕群众关注的社会焦点和民生热点，通过政协委员、专家学者“讲”和群众“议”，搭建社会各界广泛参与、表达意见的协商平台，发出政协好声音，在全社会营造协商民主氛围，引领协商文化发展。拓展“协商于民、协商为民”的空间，开展“三进三服务”（进社区、进园区、进乡村，服务中心、服务社会、服务群众）主题活动，打造民情信息“直通车”。</w:t>
      </w:r>
    </w:p>
    <w:p>
      <w:pPr>
        <w:ind w:firstLine="560" w:firstLineChars="200"/>
        <w:outlineLvl w:val="0"/>
        <w:rPr>
          <w:rFonts w:hint="eastAsia" w:ascii="方正仿宋简体" w:hAnsi="仿宋" w:eastAsia="方正仿宋简体" w:cs="仿宋"/>
          <w:bCs/>
          <w:color w:val="000000"/>
          <w:sz w:val="28"/>
          <w:szCs w:val="28"/>
          <w:lang w:eastAsia="zh-CN"/>
        </w:rPr>
      </w:pPr>
      <w:r>
        <w:rPr>
          <w:rFonts w:hint="eastAsia" w:ascii="方正仿宋简体" w:hAnsi="仿宋" w:eastAsia="方正仿宋简体" w:cs="仿宋"/>
          <w:bCs/>
          <w:color w:val="000000"/>
          <w:sz w:val="28"/>
          <w:szCs w:val="28"/>
          <w:lang w:eastAsia="zh-CN"/>
        </w:rPr>
        <w:t>夯实基础，全面加强委员队伍建设。</w:t>
      </w:r>
    </w:p>
    <w:p>
      <w:pPr>
        <w:ind w:firstLine="560" w:firstLineChars="200"/>
        <w:outlineLvl w:val="0"/>
        <w:rPr>
          <w:rFonts w:hint="eastAsia" w:ascii="方正仿宋简体" w:hAnsi="仿宋" w:eastAsia="方正仿宋简体" w:cs="仿宋"/>
          <w:bCs/>
          <w:color w:val="000000"/>
          <w:sz w:val="28"/>
          <w:szCs w:val="28"/>
          <w:lang w:eastAsia="zh-CN"/>
        </w:rPr>
      </w:pPr>
      <w:r>
        <w:rPr>
          <w:rFonts w:hint="eastAsia" w:ascii="方正仿宋简体" w:hAnsi="仿宋" w:eastAsia="方正仿宋简体" w:cs="仿宋"/>
          <w:bCs/>
          <w:color w:val="000000"/>
          <w:sz w:val="28"/>
          <w:szCs w:val="28"/>
          <w:lang w:eastAsia="zh-CN"/>
        </w:rPr>
        <w:t>加强常委会建设。研究制定《加强常委会自身建设的方案》，增强责任担当，扎实推进作风能力建设，努力争当理论学习的表率、调查研究的表率、参政建言的表率、遵规守纪的表率，以自身的模范行动，影响带动全体委员和周边群众。加强培训提升。通过联组学习、全会期间培训、赴全国政协委员培训中心学习等形式，加强委员素质提升，深入学习贯彻习近平新时代中国特色社会主义思想和十九大精神，习近平总书记关于加强和改进人民政协工作的重要思想等重要内容以及政协履职理论、经验，落实到履职实践中。加强考核指导。围绕全面加强自身建设，修改完善《政协委员履职年度考评办法》，细化标准、规范委员言行，激发委员队伍活力，提升履职能力和水平。</w:t>
      </w:r>
    </w:p>
    <w:p>
      <w:pPr>
        <w:ind w:firstLine="560" w:firstLineChars="200"/>
        <w:outlineLvl w:val="0"/>
        <w:rPr>
          <w:rFonts w:ascii="方正仿宋简体" w:hAnsi="仿宋" w:eastAsia="方正仿宋简体" w:cs="仿宋"/>
          <w:bCs/>
          <w:color w:val="000000"/>
          <w:sz w:val="28"/>
          <w:szCs w:val="28"/>
        </w:rPr>
      </w:pPr>
      <w:r>
        <w:rPr>
          <w:rFonts w:hint="eastAsia" w:ascii="方正仿宋简体" w:hAnsi="仿宋" w:eastAsia="方正仿宋简体" w:cs="仿宋"/>
          <w:bCs/>
          <w:color w:val="000000"/>
          <w:sz w:val="28"/>
          <w:szCs w:val="28"/>
          <w:lang w:eastAsia="zh-CN"/>
        </w:rPr>
        <w:t>（二）</w:t>
      </w:r>
      <w:r>
        <w:rPr>
          <w:rFonts w:hint="eastAsia" w:ascii="方正仿宋简体" w:hAnsi="仿宋" w:eastAsia="方正仿宋简体" w:cs="仿宋"/>
          <w:bCs/>
          <w:color w:val="000000"/>
          <w:sz w:val="28"/>
          <w:szCs w:val="28"/>
        </w:rPr>
        <w:t>实现年度发展规划目标的保障措施</w:t>
      </w:r>
    </w:p>
    <w:p>
      <w:pPr>
        <w:ind w:firstLine="560"/>
        <w:rPr>
          <w:rFonts w:ascii="方正仿宋_GBK" w:eastAsia="方正仿宋_GBK"/>
          <w:sz w:val="28"/>
        </w:rPr>
      </w:pPr>
      <w:r>
        <w:rPr>
          <w:rFonts w:ascii="方正仿宋_GBK" w:eastAsia="方正仿宋_GBK"/>
          <w:sz w:val="28"/>
        </w:rPr>
        <w:t>一是明确任务，实行目标管理。对201</w:t>
      </w:r>
      <w:r>
        <w:rPr>
          <w:rFonts w:hint="eastAsia" w:ascii="方正仿宋_GBK" w:eastAsia="方正仿宋_GBK"/>
          <w:sz w:val="28"/>
          <w:lang w:val="en-US" w:eastAsia="zh-CN"/>
        </w:rPr>
        <w:t>9</w:t>
      </w:r>
      <w:r>
        <w:rPr>
          <w:rFonts w:ascii="方正仿宋_GBK" w:eastAsia="方正仿宋_GBK"/>
          <w:sz w:val="28"/>
        </w:rPr>
        <w:t>年目标任务一一梳理，对照时间节点，合理安排分工，创新工作方法，提高工作效率，实行主要领导负总责，将各项工作目标任务落实到班子成员，责任到科室，明确到个人，对目标任务逐项分析，细化分解，层层落实，责任到岗，任务到人，跟踪问效，确保按时保质完成所有工作目标。</w:t>
      </w:r>
    </w:p>
    <w:p>
      <w:pPr>
        <w:ind w:firstLine="560"/>
        <w:rPr>
          <w:rFonts w:ascii="方正仿宋_GBK" w:eastAsia="方正仿宋_GBK"/>
          <w:sz w:val="28"/>
        </w:rPr>
      </w:pPr>
      <w:r>
        <w:rPr>
          <w:rFonts w:ascii="方正仿宋_GBK" w:eastAsia="方正仿宋_GBK"/>
          <w:sz w:val="28"/>
        </w:rPr>
        <w:t>二是统筹安排，强化工作落实。整合科室力量，统筹安排工作，实行每月调度，对重要工作实行随时调度，听取项目任务进展汇报，根据需要及时调配力量，确保目标任务顺利完成。</w:t>
      </w:r>
    </w:p>
    <w:p>
      <w:pPr>
        <w:ind w:firstLine="560"/>
        <w:rPr>
          <w:rFonts w:ascii="方正仿宋_GBK" w:eastAsia="方正仿宋_GBK"/>
          <w:sz w:val="28"/>
        </w:rPr>
      </w:pPr>
      <w:r>
        <w:rPr>
          <w:rFonts w:ascii="方正仿宋_GBK" w:eastAsia="方正仿宋_GBK"/>
          <w:sz w:val="28"/>
        </w:rPr>
        <w:t>三是完善制度，确保工作质量。健全和完善各项内部管理和工作制度，坚持以制度管事、以制度管人，以制度建设规范权力运行，增强机关工作人员贯彻执行制度的自觉性，严格规范工作行为，坚持廉洁自律，为完成全年目标任务提供制度保障。</w:t>
      </w:r>
    </w:p>
    <w:p>
      <w:pPr>
        <w:ind w:firstLine="560"/>
        <w:rPr>
          <w:rFonts w:ascii="方正仿宋_GBK" w:eastAsia="方正仿宋_GBK"/>
          <w:sz w:val="28"/>
        </w:rPr>
      </w:pPr>
      <w:r>
        <w:rPr>
          <w:rFonts w:ascii="方正仿宋_GBK" w:eastAsia="方正仿宋_GBK"/>
          <w:sz w:val="28"/>
        </w:rPr>
        <w:t>四是有效激励，严格考核。为进一步调动和激发机关干部的积极性和创造性，促进工作争先进位，把目标任务的完成情况作为主要的考核内容。年终考核评比结果，作为评先评优、提拔、奖惩的重要依据，切实做到奖惩兑现，使那些会干事、能干事、干成事的同志有作为有地位，努力形成正确的用人导向和激励约束机制。</w:t>
      </w:r>
    </w:p>
    <w:p>
      <w:pPr>
        <w:jc w:val="left"/>
        <w:rPr>
          <w:rFonts w:hint="eastAsia"/>
        </w:rPr>
        <w:sectPr>
          <w:pgSz w:w="16839" w:h="11907" w:orient="landscape"/>
          <w:pgMar w:top="1134" w:right="1531" w:bottom="1134" w:left="1474" w:header="851" w:footer="992" w:gutter="0"/>
          <w:cols w:space="425" w:num="1"/>
          <w:docGrid w:type="lines" w:linePitch="312" w:charSpace="0"/>
        </w:sectPr>
      </w:pPr>
    </w:p>
    <w:p>
      <w:pPr>
        <w:spacing w:line="360" w:lineRule="auto"/>
        <w:ind w:firstLine="630"/>
        <w:rPr>
          <w:rFonts w:ascii="方正仿宋简体" w:hAnsi="楷体" w:eastAsia="方正仿宋简体"/>
          <w:sz w:val="28"/>
          <w:szCs w:val="28"/>
        </w:rPr>
      </w:pPr>
      <w:r>
        <w:rPr>
          <w:rFonts w:hint="eastAsia" w:ascii="方正仿宋简体" w:hAnsi="楷体" w:eastAsia="方正仿宋简体"/>
          <w:sz w:val="28"/>
          <w:szCs w:val="28"/>
        </w:rPr>
        <w:t>（三）部门职责及工作活动绩效目标指标</w:t>
      </w:r>
    </w:p>
    <w:p>
      <w:pPr>
        <w:jc w:val="center"/>
        <w:outlineLvl w:val="0"/>
        <w:rPr>
          <w:rFonts w:ascii="方正小标宋_GBK" w:eastAsia="方正小标宋_GBK"/>
          <w:sz w:val="32"/>
        </w:rPr>
      </w:pPr>
      <w:bookmarkStart w:id="6" w:name="_Toc441303271"/>
      <w:r>
        <w:rPr>
          <w:rFonts w:hint="eastAsia" w:ascii="方正小标宋_GBK" w:eastAsia="方正小标宋_GBK"/>
          <w:sz w:val="32"/>
        </w:rPr>
        <w:t>部门职责-工作活动绩效目标</w:t>
      </w:r>
      <w:bookmarkEnd w:id="6"/>
    </w:p>
    <w:p>
      <w:pPr>
        <w:spacing w:line="300" w:lineRule="exact"/>
        <w:outlineLvl w:val="0"/>
        <w:rPr>
          <w:rFonts w:hint="eastAsia" w:eastAsia="宋体"/>
          <w:lang w:eastAsia="zh-CN"/>
        </w:rP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color w:val="auto"/>
                <w:sz w:val="24"/>
                <w:highlight w:val="none"/>
              </w:rPr>
            </w:pPr>
            <w:r>
              <w:rPr>
                <w:rFonts w:ascii="方正小标宋_GBK" w:eastAsia="方正小标宋_GBK"/>
                <w:color w:val="auto"/>
                <w:sz w:val="24"/>
                <w:highlight w:val="none"/>
              </w:rPr>
              <w:t>302</w:t>
            </w:r>
            <w:r>
              <w:rPr>
                <w:rFonts w:hint="eastAsia" w:ascii="方正小标宋_GBK" w:eastAsia="方正小标宋_GBK"/>
                <w:color w:val="auto"/>
                <w:sz w:val="24"/>
                <w:highlight w:val="none"/>
              </w:rPr>
              <w:t>中国人民政治协商会议唐山市丰南区委员会办公室</w:t>
            </w:r>
          </w:p>
        </w:tc>
        <w:tc>
          <w:tcPr>
            <w:tcW w:w="2948"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color w:val="auto"/>
                <w:sz w:val="24"/>
                <w:highlight w:val="none"/>
              </w:rPr>
            </w:pPr>
            <w:r>
              <w:rPr>
                <w:rFonts w:hint="eastAsia" w:ascii="方正书宋_GBK" w:eastAsia="方正书宋_GBK"/>
                <w:color w:val="auto"/>
                <w:sz w:val="24"/>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职责活动</w:t>
            </w:r>
          </w:p>
        </w:tc>
        <w:tc>
          <w:tcPr>
            <w:tcW w:w="1276" w:type="dxa"/>
            <w:vMerge w:val="restart"/>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年度预算数</w:t>
            </w:r>
          </w:p>
        </w:tc>
        <w:tc>
          <w:tcPr>
            <w:tcW w:w="2976" w:type="dxa"/>
            <w:vMerge w:val="restart"/>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内容描述</w:t>
            </w:r>
          </w:p>
        </w:tc>
        <w:tc>
          <w:tcPr>
            <w:tcW w:w="2976" w:type="dxa"/>
            <w:vMerge w:val="restart"/>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绩效目标</w:t>
            </w:r>
          </w:p>
        </w:tc>
        <w:tc>
          <w:tcPr>
            <w:tcW w:w="1417" w:type="dxa"/>
            <w:vMerge w:val="restart"/>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绩效指标</w:t>
            </w:r>
          </w:p>
        </w:tc>
        <w:tc>
          <w:tcPr>
            <w:tcW w:w="2948" w:type="dxa"/>
            <w:gridSpan w:val="4"/>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noWrap w:val="0"/>
            <w:vAlign w:val="center"/>
          </w:tcPr>
          <w:p>
            <w:pPr>
              <w:spacing w:line="300" w:lineRule="exact"/>
              <w:jc w:val="left"/>
              <w:outlineLvl w:val="0"/>
              <w:rPr>
                <w:color w:val="auto"/>
                <w:highlight w:val="none"/>
              </w:rPr>
            </w:pPr>
          </w:p>
        </w:tc>
        <w:tc>
          <w:tcPr>
            <w:tcW w:w="1276" w:type="dxa"/>
            <w:vMerge w:val="continue"/>
            <w:noWrap w:val="0"/>
            <w:vAlign w:val="center"/>
          </w:tcPr>
          <w:p>
            <w:pPr>
              <w:spacing w:line="300" w:lineRule="exact"/>
              <w:jc w:val="left"/>
              <w:outlineLvl w:val="0"/>
              <w:rPr>
                <w:color w:val="auto"/>
                <w:highlight w:val="none"/>
              </w:rPr>
            </w:pPr>
          </w:p>
        </w:tc>
        <w:tc>
          <w:tcPr>
            <w:tcW w:w="2976" w:type="dxa"/>
            <w:vMerge w:val="continue"/>
            <w:noWrap w:val="0"/>
            <w:vAlign w:val="center"/>
          </w:tcPr>
          <w:p>
            <w:pPr>
              <w:spacing w:line="300" w:lineRule="exact"/>
              <w:jc w:val="left"/>
              <w:outlineLvl w:val="0"/>
              <w:rPr>
                <w:color w:val="auto"/>
                <w:highlight w:val="none"/>
              </w:rPr>
            </w:pPr>
          </w:p>
        </w:tc>
        <w:tc>
          <w:tcPr>
            <w:tcW w:w="2976" w:type="dxa"/>
            <w:vMerge w:val="continue"/>
            <w:noWrap w:val="0"/>
            <w:vAlign w:val="center"/>
          </w:tcPr>
          <w:p>
            <w:pPr>
              <w:spacing w:line="300" w:lineRule="exact"/>
              <w:jc w:val="left"/>
              <w:outlineLvl w:val="0"/>
              <w:rPr>
                <w:color w:val="auto"/>
                <w:highlight w:val="none"/>
              </w:rPr>
            </w:pPr>
          </w:p>
        </w:tc>
        <w:tc>
          <w:tcPr>
            <w:tcW w:w="1417" w:type="dxa"/>
            <w:vMerge w:val="continue"/>
            <w:noWrap w:val="0"/>
            <w:vAlign w:val="center"/>
          </w:tcPr>
          <w:p>
            <w:pPr>
              <w:spacing w:line="300" w:lineRule="exact"/>
              <w:jc w:val="left"/>
              <w:outlineLvl w:val="0"/>
              <w:rPr>
                <w:color w:val="auto"/>
                <w:highlight w:val="none"/>
              </w:rPr>
            </w:pPr>
          </w:p>
        </w:tc>
        <w:tc>
          <w:tcPr>
            <w:tcW w:w="737" w:type="dxa"/>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优</w:t>
            </w:r>
          </w:p>
        </w:tc>
        <w:tc>
          <w:tcPr>
            <w:tcW w:w="737" w:type="dxa"/>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良</w:t>
            </w:r>
          </w:p>
        </w:tc>
        <w:tc>
          <w:tcPr>
            <w:tcW w:w="737" w:type="dxa"/>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中</w:t>
            </w:r>
          </w:p>
        </w:tc>
        <w:tc>
          <w:tcPr>
            <w:tcW w:w="737" w:type="dxa"/>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color w:val="auto"/>
                <w:highlight w:val="none"/>
              </w:rPr>
            </w:pPr>
            <w:r>
              <w:rPr>
                <w:rFonts w:hint="eastAsia" w:ascii="方正书宋_GBK" w:eastAsia="方正书宋_GBK"/>
                <w:b/>
                <w:color w:val="auto"/>
                <w:highlight w:val="none"/>
              </w:rPr>
              <w:t>一、政治协商</w:t>
            </w:r>
          </w:p>
        </w:tc>
        <w:tc>
          <w:tcPr>
            <w:tcW w:w="1276" w:type="dxa"/>
            <w:noWrap w:val="0"/>
            <w:vAlign w:val="center"/>
          </w:tcPr>
          <w:p>
            <w:pPr>
              <w:spacing w:line="300" w:lineRule="exact"/>
              <w:jc w:val="left"/>
              <w:rPr>
                <w:rFonts w:ascii="方正书宋_GBK" w:eastAsia="方正书宋_GBK"/>
                <w:color w:val="auto"/>
                <w:highlight w:val="none"/>
              </w:rPr>
            </w:pPr>
            <w:r>
              <w:rPr>
                <w:rFonts w:ascii="方正书宋_GBK" w:eastAsia="方正书宋_GBK"/>
                <w:color w:val="auto"/>
                <w:highlight w:val="none"/>
              </w:rPr>
              <w:t>14.40</w:t>
            </w:r>
          </w:p>
        </w:tc>
        <w:tc>
          <w:tcPr>
            <w:tcW w:w="2976" w:type="dxa"/>
            <w:noWrap w:val="0"/>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就大政方针及重要问题在决策之前和决策执行过程中进行协商。</w:t>
            </w:r>
          </w:p>
        </w:tc>
        <w:tc>
          <w:tcPr>
            <w:tcW w:w="2976" w:type="dxa"/>
            <w:noWrap w:val="0"/>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完善各项会议制度，规范会议程序，提高会议质量，提高政治协商水平。</w:t>
            </w:r>
          </w:p>
        </w:tc>
        <w:tc>
          <w:tcPr>
            <w:tcW w:w="1417" w:type="dxa"/>
            <w:noWrap w:val="0"/>
            <w:vAlign w:val="center"/>
          </w:tcPr>
          <w:p>
            <w:pPr>
              <w:spacing w:line="300" w:lineRule="exact"/>
              <w:jc w:val="left"/>
              <w:rPr>
                <w:rFonts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　　</w:t>
            </w:r>
            <w:r>
              <w:rPr>
                <w:rFonts w:ascii="方正书宋_GBK" w:eastAsia="方正书宋_GBK"/>
                <w:b/>
                <w:color w:val="auto"/>
                <w:highlight w:val="none"/>
              </w:rPr>
              <w:t>1</w:t>
            </w:r>
            <w:r>
              <w:rPr>
                <w:rFonts w:hint="eastAsia" w:ascii="方正书宋_GBK" w:eastAsia="方正书宋_GBK"/>
                <w:b/>
                <w:color w:val="auto"/>
                <w:highlight w:val="none"/>
              </w:rPr>
              <w:t>、政协会议</w:t>
            </w:r>
          </w:p>
        </w:tc>
        <w:tc>
          <w:tcPr>
            <w:tcW w:w="1276" w:type="dxa"/>
            <w:vMerge w:val="restart"/>
            <w:noWrap w:val="0"/>
            <w:vAlign w:val="center"/>
          </w:tcPr>
          <w:p>
            <w:pPr>
              <w:spacing w:line="300" w:lineRule="exact"/>
              <w:jc w:val="left"/>
              <w:rPr>
                <w:rFonts w:ascii="方正书宋_GBK" w:eastAsia="方正书宋_GBK"/>
                <w:color w:val="auto"/>
                <w:highlight w:val="none"/>
              </w:rPr>
            </w:pPr>
            <w:r>
              <w:rPr>
                <w:rFonts w:ascii="方正书宋_GBK" w:eastAsia="方正书宋_GBK"/>
                <w:color w:val="auto"/>
                <w:highlight w:val="none"/>
              </w:rPr>
              <w:t>14.40</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各类会议是政协履行职能的主要形式，是开展工作的主体，是委员履行自身职责的主要途径。</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完善各项会议制度，规范会议程序，提高会议质量，提高政治协商水平。</w:t>
            </w:r>
          </w:p>
        </w:tc>
        <w:tc>
          <w:tcPr>
            <w:tcW w:w="1417" w:type="dxa"/>
            <w:noWrap w:val="0"/>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会议活动经济社会效益</w:t>
            </w:r>
          </w:p>
        </w:tc>
        <w:tc>
          <w:tcPr>
            <w:tcW w:w="737" w:type="dxa"/>
            <w:noWrap w:val="0"/>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每次会议活动人员参会率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会议活动组织率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　　</w:t>
            </w:r>
            <w:r>
              <w:rPr>
                <w:rFonts w:ascii="方正书宋_GBK" w:eastAsia="方正书宋_GBK"/>
                <w:b/>
                <w:color w:val="auto"/>
                <w:highlight w:val="none"/>
              </w:rPr>
              <w:t>2</w:t>
            </w:r>
            <w:r>
              <w:rPr>
                <w:rFonts w:hint="eastAsia" w:ascii="方正书宋_GBK" w:eastAsia="方正书宋_GBK"/>
                <w:b/>
                <w:color w:val="auto"/>
                <w:highlight w:val="none"/>
              </w:rPr>
              <w:t>、民主协商</w:t>
            </w:r>
          </w:p>
        </w:tc>
        <w:tc>
          <w:tcPr>
            <w:tcW w:w="1276" w:type="dxa"/>
            <w:vMerge w:val="restart"/>
            <w:noWrap w:val="0"/>
            <w:vAlign w:val="center"/>
          </w:tcPr>
          <w:p>
            <w:pPr>
              <w:spacing w:line="300" w:lineRule="exact"/>
              <w:jc w:val="left"/>
              <w:rPr>
                <w:rFonts w:ascii="方正书宋_GBK" w:eastAsia="方正书宋_GBK"/>
                <w:color w:val="auto"/>
                <w:highlight w:val="none"/>
              </w:rPr>
            </w:pP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根据形势、任务，围绕全区工作大局，安排协商活动，召开专题座谈会等。</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增强开展政治协商的自觉性和主动性，规范协商内容，丰富协商形式和层次，把政治协商纳入决策程序。</w:t>
            </w: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专题协商活动组织率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专题协商活动成果</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专题座谈会组织率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二、民主监督</w:t>
            </w:r>
          </w:p>
        </w:tc>
        <w:tc>
          <w:tcPr>
            <w:tcW w:w="1276" w:type="dxa"/>
            <w:noWrap w:val="0"/>
            <w:vAlign w:val="center"/>
          </w:tcPr>
          <w:p>
            <w:pPr>
              <w:spacing w:line="300" w:lineRule="exact"/>
              <w:jc w:val="left"/>
              <w:rPr>
                <w:rFonts w:ascii="方正书宋_GBK" w:eastAsia="方正书宋_GBK"/>
                <w:color w:val="auto"/>
                <w:highlight w:val="none"/>
              </w:rPr>
            </w:pPr>
          </w:p>
        </w:tc>
        <w:tc>
          <w:tcPr>
            <w:tcW w:w="2976"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有效履行民主监督职责。对国家法律法规的实施、重大方针政策的贯彻执行、区委、政府的工作进行政治监督。</w:t>
            </w:r>
          </w:p>
        </w:tc>
        <w:tc>
          <w:tcPr>
            <w:tcW w:w="2976"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完善民主监督机制，畅通民主监督渠道，建立健全知情、沟通制度，将民主监督寓于委员提案、进行视察、参与工作检查等活动中，提高民主监督质量和成效。</w:t>
            </w:r>
          </w:p>
        </w:tc>
        <w:tc>
          <w:tcPr>
            <w:tcW w:w="1417" w:type="dxa"/>
            <w:noWrap w:val="0"/>
            <w:vAlign w:val="center"/>
          </w:tcPr>
          <w:p>
            <w:pPr>
              <w:spacing w:line="300" w:lineRule="exact"/>
              <w:jc w:val="left"/>
              <w:rPr>
                <w:rFonts w:hint="eastAsia" w:ascii="方正书宋_GBK" w:eastAsia="方正书宋_GBK"/>
                <w:color w:val="auto"/>
                <w:highlight w:val="none"/>
              </w:rPr>
            </w:pPr>
          </w:p>
        </w:tc>
        <w:tc>
          <w:tcPr>
            <w:tcW w:w="737" w:type="dxa"/>
            <w:noWrap w:val="0"/>
            <w:vAlign w:val="center"/>
          </w:tcPr>
          <w:p>
            <w:pPr>
              <w:spacing w:line="300" w:lineRule="exact"/>
              <w:jc w:val="center"/>
              <w:rPr>
                <w:rFonts w:hint="eastAsia"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c>
          <w:tcPr>
            <w:tcW w:w="737" w:type="dxa"/>
            <w:noWrap w:val="0"/>
            <w:vAlign w:val="center"/>
          </w:tcPr>
          <w:p>
            <w:pPr>
              <w:spacing w:line="300" w:lineRule="exact"/>
              <w:jc w:val="center"/>
              <w:rPr>
                <w:rFonts w:hint="eastAsia" w:ascii="方正书宋_GBK" w:eastAsia="方正书宋_GBK"/>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　　</w:t>
            </w:r>
            <w:r>
              <w:rPr>
                <w:rFonts w:ascii="方正书宋_GBK" w:eastAsia="方正书宋_GBK"/>
                <w:b/>
                <w:color w:val="auto"/>
                <w:highlight w:val="none"/>
              </w:rPr>
              <w:t>1</w:t>
            </w:r>
            <w:r>
              <w:rPr>
                <w:rFonts w:hint="eastAsia" w:ascii="方正书宋_GBK" w:eastAsia="方正书宋_GBK"/>
                <w:b/>
                <w:color w:val="auto"/>
                <w:highlight w:val="none"/>
              </w:rPr>
              <w:t>、监督事务</w:t>
            </w:r>
          </w:p>
        </w:tc>
        <w:tc>
          <w:tcPr>
            <w:tcW w:w="1276" w:type="dxa"/>
            <w:vMerge w:val="restart"/>
            <w:noWrap w:val="0"/>
            <w:vAlign w:val="center"/>
          </w:tcPr>
          <w:p>
            <w:pPr>
              <w:spacing w:line="300" w:lineRule="exact"/>
              <w:jc w:val="left"/>
              <w:rPr>
                <w:rFonts w:ascii="方正书宋_GBK" w:eastAsia="方正书宋_GBK"/>
                <w:color w:val="auto"/>
                <w:highlight w:val="none"/>
              </w:rPr>
            </w:pP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组织、鼓励和引导委员深入实际，通过提案等形式进行监督。通过参加党委政府组织的调查和检查活动实施监督。</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完善民主监督机制，畅通民主监督渠道，建立健全知情、沟通制度，加强工作协调配合，提高民主监督的质量和成效。</w:t>
            </w: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民主监督活动组织率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委员参与率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委员知情率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　　</w:t>
            </w:r>
            <w:r>
              <w:rPr>
                <w:rFonts w:ascii="方正书宋_GBK" w:eastAsia="方正书宋_GBK"/>
                <w:b/>
                <w:color w:val="auto"/>
                <w:highlight w:val="none"/>
              </w:rPr>
              <w:t>2</w:t>
            </w:r>
            <w:r>
              <w:rPr>
                <w:rFonts w:hint="eastAsia" w:ascii="方正书宋_GBK" w:eastAsia="方正书宋_GBK"/>
                <w:b/>
                <w:color w:val="auto"/>
                <w:highlight w:val="none"/>
              </w:rPr>
              <w:t>、提案工作</w:t>
            </w:r>
          </w:p>
        </w:tc>
        <w:tc>
          <w:tcPr>
            <w:tcW w:w="1276" w:type="dxa"/>
            <w:vMerge w:val="restart"/>
            <w:noWrap w:val="0"/>
            <w:vAlign w:val="center"/>
          </w:tcPr>
          <w:p>
            <w:pPr>
              <w:spacing w:line="300" w:lineRule="exact"/>
              <w:jc w:val="left"/>
              <w:rPr>
                <w:rFonts w:ascii="方正书宋_GBK" w:eastAsia="方正书宋_GBK"/>
                <w:color w:val="auto"/>
                <w:highlight w:val="none"/>
              </w:rPr>
            </w:pP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征集提案，对政协委员和政协各参加单位的提案进行审查立案，立案后交承办单位办理，适时督办。</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完善提案审查、办理和反馈机制，做到提案程序更加规范，制度更加完善，提案质量和办理质量不断提高，政协履职作用更加突出。</w:t>
            </w: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委员满意率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提案立案率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提案办结率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三、参政议政</w:t>
            </w:r>
          </w:p>
        </w:tc>
        <w:tc>
          <w:tcPr>
            <w:tcW w:w="1276" w:type="dxa"/>
            <w:noWrap w:val="0"/>
            <w:vAlign w:val="center"/>
          </w:tcPr>
          <w:p>
            <w:pPr>
              <w:spacing w:line="300" w:lineRule="exact"/>
              <w:jc w:val="left"/>
              <w:rPr>
                <w:rFonts w:ascii="方正书宋_GBK" w:eastAsia="方正书宋_GBK"/>
                <w:color w:val="auto"/>
                <w:highlight w:val="none"/>
              </w:rPr>
            </w:pPr>
          </w:p>
        </w:tc>
        <w:tc>
          <w:tcPr>
            <w:tcW w:w="2976"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通过对重大问题以及人民群众普遍关心的问题，开展调查研究，向区委、区政府提出意见和建议。</w:t>
            </w:r>
          </w:p>
        </w:tc>
        <w:tc>
          <w:tcPr>
            <w:tcW w:w="2976"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发挥政协作为扩大社会各界有序参与的重要渠道作用，探索开展活动的新方法新途径，充分调动委员参政议政积极性，向区委、区政府提出高质量的建议案。</w:t>
            </w:r>
          </w:p>
        </w:tc>
        <w:tc>
          <w:tcPr>
            <w:tcW w:w="1417" w:type="dxa"/>
            <w:noWrap w:val="0"/>
            <w:vAlign w:val="center"/>
          </w:tcPr>
          <w:p>
            <w:pPr>
              <w:spacing w:line="300" w:lineRule="exact"/>
              <w:jc w:val="left"/>
              <w:rPr>
                <w:rFonts w:hint="eastAsia" w:ascii="方正书宋_GBK" w:eastAsia="方正书宋_GBK"/>
                <w:color w:val="auto"/>
                <w:highlight w:val="none"/>
              </w:rPr>
            </w:pPr>
          </w:p>
        </w:tc>
        <w:tc>
          <w:tcPr>
            <w:tcW w:w="737" w:type="dxa"/>
            <w:noWrap w:val="0"/>
            <w:vAlign w:val="center"/>
          </w:tcPr>
          <w:p>
            <w:pPr>
              <w:spacing w:line="300" w:lineRule="exact"/>
              <w:jc w:val="center"/>
              <w:rPr>
                <w:rFonts w:hint="eastAsia"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c>
          <w:tcPr>
            <w:tcW w:w="737" w:type="dxa"/>
            <w:noWrap w:val="0"/>
            <w:vAlign w:val="center"/>
          </w:tcPr>
          <w:p>
            <w:pPr>
              <w:spacing w:line="300" w:lineRule="exact"/>
              <w:jc w:val="center"/>
              <w:rPr>
                <w:rFonts w:hint="eastAsia" w:ascii="方正书宋_GBK" w:eastAsia="方正书宋_GBK"/>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　　</w:t>
            </w:r>
            <w:r>
              <w:rPr>
                <w:rFonts w:ascii="方正书宋_GBK" w:eastAsia="方正书宋_GBK"/>
                <w:b/>
                <w:color w:val="auto"/>
                <w:highlight w:val="none"/>
              </w:rPr>
              <w:t>1</w:t>
            </w:r>
            <w:r>
              <w:rPr>
                <w:rFonts w:hint="eastAsia" w:ascii="方正书宋_GBK" w:eastAsia="方正书宋_GBK"/>
                <w:b/>
                <w:color w:val="auto"/>
                <w:highlight w:val="none"/>
              </w:rPr>
              <w:t>、专题调研</w:t>
            </w:r>
          </w:p>
        </w:tc>
        <w:tc>
          <w:tcPr>
            <w:tcW w:w="1276" w:type="dxa"/>
            <w:vMerge w:val="restart"/>
            <w:noWrap w:val="0"/>
            <w:vAlign w:val="center"/>
          </w:tcPr>
          <w:p>
            <w:pPr>
              <w:spacing w:line="300" w:lineRule="exact"/>
              <w:jc w:val="left"/>
              <w:rPr>
                <w:rFonts w:ascii="方正书宋_GBK" w:eastAsia="方正书宋_GBK"/>
                <w:color w:val="auto"/>
                <w:highlight w:val="none"/>
              </w:rPr>
            </w:pP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关注重点，围绕难点，针对热点，选择经济社会发展中具有综合性、全局性、前瞻性的课题，组织开展视察、考察，座谈调研，专家论证等专题调研活动。</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努力汇聚才智，为经济社会发展，建睿智之言，献务实之策，不断提高建言立论的质量和水平，全力打造</w:t>
            </w:r>
            <w:r>
              <w:rPr>
                <w:rFonts w:hint="cs" w:ascii="方正书宋_GBK" w:eastAsia="方正书宋_GBK"/>
                <w:color w:val="auto"/>
                <w:highlight w:val="none"/>
                <w:cs/>
              </w:rPr>
              <w:t>“</w:t>
            </w:r>
            <w:r>
              <w:rPr>
                <w:rFonts w:hint="eastAsia" w:ascii="方正书宋_GBK" w:eastAsia="方正书宋_GBK"/>
                <w:color w:val="auto"/>
                <w:highlight w:val="none"/>
              </w:rPr>
              <w:t>精品</w:t>
            </w:r>
            <w:r>
              <w:rPr>
                <w:rFonts w:hint="cs" w:ascii="方正书宋_GBK" w:eastAsia="方正书宋_GBK"/>
                <w:color w:val="auto"/>
                <w:highlight w:val="none"/>
                <w:cs/>
              </w:rPr>
              <w:t>”</w:t>
            </w:r>
            <w:r>
              <w:rPr>
                <w:rFonts w:hint="eastAsia" w:ascii="方正书宋_GBK" w:eastAsia="方正书宋_GBK"/>
                <w:color w:val="auto"/>
                <w:highlight w:val="none"/>
              </w:rPr>
              <w:t>，在参政中增加权重，在议政中体现价值。</w:t>
            </w: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重点课题和专项调研完成率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委员参与率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视察活动组织率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　　</w:t>
            </w:r>
            <w:r>
              <w:rPr>
                <w:rFonts w:ascii="方正书宋_GBK" w:eastAsia="方正书宋_GBK"/>
                <w:b/>
                <w:color w:val="auto"/>
                <w:highlight w:val="none"/>
              </w:rPr>
              <w:t>2</w:t>
            </w:r>
            <w:r>
              <w:rPr>
                <w:rFonts w:hint="eastAsia" w:ascii="方正书宋_GBK" w:eastAsia="方正书宋_GBK"/>
                <w:b/>
                <w:color w:val="auto"/>
                <w:highlight w:val="none"/>
              </w:rPr>
              <w:t>、社情民意</w:t>
            </w:r>
          </w:p>
        </w:tc>
        <w:tc>
          <w:tcPr>
            <w:tcW w:w="1276" w:type="dxa"/>
            <w:vMerge w:val="restart"/>
            <w:noWrap w:val="0"/>
            <w:vAlign w:val="center"/>
          </w:tcPr>
          <w:p>
            <w:pPr>
              <w:spacing w:line="300" w:lineRule="exact"/>
              <w:jc w:val="left"/>
              <w:rPr>
                <w:rFonts w:ascii="方正书宋_GBK" w:eastAsia="方正书宋_GBK"/>
                <w:color w:val="auto"/>
                <w:highlight w:val="none"/>
              </w:rPr>
            </w:pP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了解社会不同阶层、群体的愿望和要求，反映给决策部门。</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密切联系群众，反映社情民意，努力做到协调关系、化解矛盾、理顺情绪，增进社会各阶层不同利益群体的和谐和稳定。</w:t>
            </w: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委员社情民意反映率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委员满意率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社情民意办结率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四、政协事务管理</w:t>
            </w:r>
          </w:p>
        </w:tc>
        <w:tc>
          <w:tcPr>
            <w:tcW w:w="1276" w:type="dxa"/>
            <w:noWrap w:val="0"/>
            <w:vAlign w:val="center"/>
          </w:tcPr>
          <w:p>
            <w:pPr>
              <w:spacing w:line="300" w:lineRule="exact"/>
              <w:jc w:val="left"/>
              <w:rPr>
                <w:rFonts w:ascii="方正书宋_GBK" w:eastAsia="方正书宋_GBK"/>
                <w:color w:val="auto"/>
                <w:highlight w:val="none"/>
              </w:rPr>
            </w:pPr>
            <w:r>
              <w:rPr>
                <w:rFonts w:ascii="方正书宋_GBK" w:eastAsia="方正书宋_GBK"/>
                <w:color w:val="auto"/>
                <w:highlight w:val="none"/>
              </w:rPr>
              <w:t>101.55</w:t>
            </w:r>
          </w:p>
        </w:tc>
        <w:tc>
          <w:tcPr>
            <w:tcW w:w="2976"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自身建设、宣传工作，与有关单位联系协调；机关外事工作，离退休人员服务，以及领导交办的其他事项</w:t>
            </w:r>
          </w:p>
        </w:tc>
        <w:tc>
          <w:tcPr>
            <w:tcW w:w="2976"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机关自身建设、服务保障能力进一步提升。</w:t>
            </w:r>
          </w:p>
        </w:tc>
        <w:tc>
          <w:tcPr>
            <w:tcW w:w="1417" w:type="dxa"/>
            <w:noWrap w:val="0"/>
            <w:vAlign w:val="center"/>
          </w:tcPr>
          <w:p>
            <w:pPr>
              <w:spacing w:line="300" w:lineRule="exact"/>
              <w:jc w:val="left"/>
              <w:rPr>
                <w:rFonts w:hint="eastAsia" w:ascii="方正书宋_GBK" w:eastAsia="方正书宋_GBK"/>
                <w:color w:val="auto"/>
                <w:highlight w:val="none"/>
              </w:rPr>
            </w:pPr>
          </w:p>
        </w:tc>
        <w:tc>
          <w:tcPr>
            <w:tcW w:w="737" w:type="dxa"/>
            <w:noWrap w:val="0"/>
            <w:vAlign w:val="center"/>
          </w:tcPr>
          <w:p>
            <w:pPr>
              <w:spacing w:line="300" w:lineRule="exact"/>
              <w:jc w:val="center"/>
              <w:rPr>
                <w:rFonts w:hint="eastAsia"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c>
          <w:tcPr>
            <w:tcW w:w="737" w:type="dxa"/>
            <w:noWrap w:val="0"/>
            <w:vAlign w:val="center"/>
          </w:tcPr>
          <w:p>
            <w:pPr>
              <w:spacing w:line="300" w:lineRule="exact"/>
              <w:jc w:val="center"/>
              <w:rPr>
                <w:rFonts w:hint="eastAsia" w:ascii="方正书宋_GBK" w:eastAsia="方正书宋_GBK"/>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　　</w:t>
            </w:r>
            <w:r>
              <w:rPr>
                <w:rFonts w:ascii="方正书宋_GBK" w:eastAsia="方正书宋_GBK"/>
                <w:b/>
                <w:color w:val="auto"/>
                <w:highlight w:val="none"/>
              </w:rPr>
              <w:t>1</w:t>
            </w:r>
            <w:r>
              <w:rPr>
                <w:rFonts w:hint="eastAsia" w:ascii="方正书宋_GBK" w:eastAsia="方正书宋_GBK"/>
                <w:b/>
                <w:color w:val="auto"/>
                <w:highlight w:val="none"/>
              </w:rPr>
              <w:t>、综合业务管理</w:t>
            </w:r>
          </w:p>
        </w:tc>
        <w:tc>
          <w:tcPr>
            <w:tcW w:w="1276" w:type="dxa"/>
            <w:vMerge w:val="restart"/>
            <w:noWrap w:val="0"/>
            <w:vAlign w:val="center"/>
          </w:tcPr>
          <w:p>
            <w:pPr>
              <w:spacing w:line="300" w:lineRule="exact"/>
              <w:jc w:val="left"/>
              <w:rPr>
                <w:rFonts w:ascii="方正书宋_GBK" w:eastAsia="方正书宋_GBK"/>
                <w:color w:val="auto"/>
                <w:highlight w:val="none"/>
              </w:rPr>
            </w:pPr>
            <w:r>
              <w:rPr>
                <w:rFonts w:ascii="方正书宋_GBK" w:eastAsia="方正书宋_GBK"/>
                <w:color w:val="auto"/>
                <w:highlight w:val="none"/>
              </w:rPr>
              <w:t>48.00</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加强区政协机关自身建设和宣传工作，编辑出版《委员园地》等宣传资料，加强政协与区委、区人大、区政府，各民主党派、工商联、人民团体、区直有关部门的联系、协调工作。搜集、撰写、整理文史资料，搞好文史资料的发行。组织委员开展参观学习培训活动。</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政协自身建设更加扎实，工作科学化水平进一步提升。文史资料的社会功能增强，理论研究成果服务履职作用明显。</w:t>
            </w: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文史资料编辑率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委员履职能力提升度</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委员学习培训率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　　</w:t>
            </w:r>
            <w:r>
              <w:rPr>
                <w:rFonts w:ascii="方正书宋_GBK" w:eastAsia="方正书宋_GBK"/>
                <w:b/>
                <w:color w:val="auto"/>
                <w:highlight w:val="none"/>
              </w:rPr>
              <w:t>2</w:t>
            </w:r>
            <w:r>
              <w:rPr>
                <w:rFonts w:hint="eastAsia" w:ascii="方正书宋_GBK" w:eastAsia="方正书宋_GBK"/>
                <w:b/>
                <w:color w:val="auto"/>
                <w:highlight w:val="none"/>
              </w:rPr>
              <w:t>、综合事务管理</w:t>
            </w:r>
          </w:p>
        </w:tc>
        <w:tc>
          <w:tcPr>
            <w:tcW w:w="1276" w:type="dxa"/>
            <w:vMerge w:val="restart"/>
            <w:noWrap w:val="0"/>
            <w:vAlign w:val="center"/>
          </w:tcPr>
          <w:p>
            <w:pPr>
              <w:spacing w:line="300" w:lineRule="exact"/>
              <w:jc w:val="left"/>
              <w:rPr>
                <w:rFonts w:ascii="方正书宋_GBK" w:eastAsia="方正书宋_GBK"/>
                <w:color w:val="auto"/>
                <w:highlight w:val="none"/>
              </w:rPr>
            </w:pPr>
            <w:r>
              <w:rPr>
                <w:rFonts w:ascii="方正书宋_GBK" w:eastAsia="方正书宋_GBK"/>
                <w:color w:val="auto"/>
                <w:highlight w:val="none"/>
              </w:rPr>
              <w:t>53.55</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机关外事工作，处理群众来信来访，机构编制、人事任免、后勤保障、车辆管理等机关事务工作，机关接待、离退休人员服务，承办区政协主席、副主席、秘书长交办的其他事项。</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机关基本设施设备正常运转、信息化保障、老干部服务保障能力进一步提高。</w:t>
            </w: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综合事务保障率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领导交办其他工作完成率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机关工作人员培训率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bl>
    <w:p>
      <w:pPr>
        <w:spacing w:line="300" w:lineRule="exact"/>
        <w:outlineLvl w:val="0"/>
        <w:rPr>
          <w:rFonts w:hint="eastAsia" w:eastAsia="宋体"/>
          <w:lang w:eastAsia="zh-CN"/>
        </w:rPr>
        <w:sectPr>
          <w:pgSz w:w="16839" w:h="11907" w:orient="landscape"/>
          <w:pgMar w:top="1020" w:right="1361" w:bottom="1020" w:left="1361" w:header="851" w:footer="992" w:gutter="0"/>
          <w:cols w:space="425" w:num="1"/>
          <w:docGrid w:type="lines" w:linePitch="312" w:charSpace="0"/>
        </w:sectPr>
      </w:pPr>
    </w:p>
    <w:p>
      <w:pPr>
        <w:spacing w:before="10" w:after="10"/>
        <w:ind w:firstLine="640"/>
        <w:outlineLvl w:val="2"/>
      </w:pPr>
      <w:r>
        <w:rPr>
          <w:rFonts w:ascii="黑体" w:hAnsi="黑体" w:eastAsia="黑体" w:cs="黑体"/>
          <w:color w:val="000000"/>
          <w:sz w:val="32"/>
        </w:rPr>
        <w:t>六、政府采购预算情况</w:t>
      </w:r>
      <w:bookmarkEnd w:id="5"/>
    </w:p>
    <w:p>
      <w:pPr>
        <w:jc w:val="center"/>
      </w:pPr>
      <w:r>
        <w:rPr>
          <w:rFonts w:ascii="方正小标宋_GBK" w:hAnsi="方正小标宋_GBK" w:eastAsia="方正小标宋_GBK" w:cs="方正小标宋_GBK"/>
          <w:color w:val="000000"/>
          <w:sz w:val="36"/>
        </w:rPr>
        <w:t>部门政府采购预算</w:t>
      </w:r>
    </w:p>
    <w:tbl>
      <w:tblPr>
        <w:tblStyle w:val="12"/>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9"/>
              <w:rPr>
                <w:rFonts w:hint="default"/>
                <w:lang w:val="en-US"/>
              </w:rPr>
            </w:pPr>
            <w:r>
              <w:rPr>
                <w:rFonts w:hint="eastAsia"/>
                <w:lang w:val="en-US" w:eastAsia="zh-CN"/>
              </w:rPr>
              <w:t>中国人民政治协商会议唐山市丰南区委员会</w:t>
            </w:r>
          </w:p>
        </w:tc>
        <w:tc>
          <w:tcPr>
            <w:tcW w:w="7712" w:type="dxa"/>
            <w:gridSpan w:val="8"/>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0"/>
            </w:pPr>
            <w:r>
              <w:t>政府采购项目来源</w:t>
            </w:r>
          </w:p>
        </w:tc>
        <w:tc>
          <w:tcPr>
            <w:tcW w:w="1134" w:type="dxa"/>
            <w:vMerge w:val="restart"/>
            <w:vAlign w:val="center"/>
          </w:tcPr>
          <w:p>
            <w:pPr>
              <w:pStyle w:val="20"/>
            </w:pPr>
            <w:r>
              <w:t>采购物品名称</w:t>
            </w:r>
          </w:p>
        </w:tc>
        <w:tc>
          <w:tcPr>
            <w:tcW w:w="1134" w:type="dxa"/>
            <w:vMerge w:val="restart"/>
            <w:vAlign w:val="center"/>
          </w:tcPr>
          <w:p>
            <w:pPr>
              <w:pStyle w:val="20"/>
            </w:pPr>
            <w:r>
              <w:t>政府采购目录序号</w:t>
            </w:r>
          </w:p>
        </w:tc>
        <w:tc>
          <w:tcPr>
            <w:tcW w:w="709" w:type="dxa"/>
            <w:vMerge w:val="restart"/>
            <w:vAlign w:val="center"/>
          </w:tcPr>
          <w:p>
            <w:pPr>
              <w:pStyle w:val="20"/>
            </w:pPr>
            <w:r>
              <w:t>计量  单位</w:t>
            </w:r>
          </w:p>
        </w:tc>
        <w:tc>
          <w:tcPr>
            <w:tcW w:w="850" w:type="dxa"/>
            <w:vMerge w:val="restart"/>
            <w:vAlign w:val="center"/>
          </w:tcPr>
          <w:p>
            <w:pPr>
              <w:pStyle w:val="20"/>
            </w:pPr>
            <w:r>
              <w:t>数量</w:t>
            </w:r>
          </w:p>
        </w:tc>
        <w:tc>
          <w:tcPr>
            <w:tcW w:w="850" w:type="dxa"/>
            <w:vMerge w:val="restart"/>
            <w:vAlign w:val="center"/>
          </w:tcPr>
          <w:p>
            <w:pPr>
              <w:pStyle w:val="20"/>
            </w:pPr>
            <w:r>
              <w:t>单价</w:t>
            </w:r>
          </w:p>
        </w:tc>
        <w:tc>
          <w:tcPr>
            <w:tcW w:w="6748" w:type="dxa"/>
            <w:gridSpan w:val="7"/>
            <w:vAlign w:val="center"/>
          </w:tcPr>
          <w:p>
            <w:pPr>
              <w:pStyle w:val="20"/>
            </w:pPr>
            <w:r>
              <w:t>政府采购金额（当年部门预算安排资金）</w:t>
            </w:r>
          </w:p>
        </w:tc>
        <w:tc>
          <w:tcPr>
            <w:tcW w:w="964" w:type="dxa"/>
            <w:vMerge w:val="restart"/>
            <w:vAlign w:val="center"/>
          </w:tcPr>
          <w:p>
            <w:pPr>
              <w:pStyle w:val="20"/>
            </w:pPr>
            <w:r>
              <w:rPr>
                <w:rFonts w:hint="eastAsia"/>
                <w:lang w:eastAsia="zh-CN"/>
              </w:rPr>
              <w:t>XXXX</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0"/>
            </w:pPr>
            <w:r>
              <w:t>项目名称</w:t>
            </w:r>
          </w:p>
        </w:tc>
        <w:tc>
          <w:tcPr>
            <w:tcW w:w="964" w:type="dxa"/>
            <w:vAlign w:val="center"/>
          </w:tcPr>
          <w:p>
            <w:pPr>
              <w:pStyle w:val="2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0"/>
            </w:pPr>
            <w:r>
              <w:t>合计</w:t>
            </w:r>
          </w:p>
        </w:tc>
        <w:tc>
          <w:tcPr>
            <w:tcW w:w="964" w:type="dxa"/>
            <w:vAlign w:val="center"/>
          </w:tcPr>
          <w:p>
            <w:pPr>
              <w:pStyle w:val="20"/>
            </w:pPr>
            <w:r>
              <w:t>一般公共预算拨款</w:t>
            </w:r>
          </w:p>
        </w:tc>
        <w:tc>
          <w:tcPr>
            <w:tcW w:w="964" w:type="dxa"/>
            <w:vAlign w:val="center"/>
          </w:tcPr>
          <w:p>
            <w:pPr>
              <w:pStyle w:val="20"/>
            </w:pPr>
            <w:r>
              <w:t>基金预算拨款</w:t>
            </w:r>
          </w:p>
        </w:tc>
        <w:tc>
          <w:tcPr>
            <w:tcW w:w="964" w:type="dxa"/>
            <w:vAlign w:val="center"/>
          </w:tcPr>
          <w:p>
            <w:pPr>
              <w:pStyle w:val="20"/>
            </w:pPr>
            <w:r>
              <w:t>国有资本经营预算拨款</w:t>
            </w:r>
          </w:p>
        </w:tc>
        <w:tc>
          <w:tcPr>
            <w:tcW w:w="964" w:type="dxa"/>
            <w:vAlign w:val="center"/>
          </w:tcPr>
          <w:p>
            <w:pPr>
              <w:pStyle w:val="20"/>
            </w:pPr>
            <w:r>
              <w:t>财政专户核拨</w:t>
            </w:r>
          </w:p>
        </w:tc>
        <w:tc>
          <w:tcPr>
            <w:tcW w:w="964" w:type="dxa"/>
            <w:vAlign w:val="center"/>
          </w:tcPr>
          <w:p>
            <w:pPr>
              <w:pStyle w:val="20"/>
            </w:pPr>
            <w:r>
              <w:t>单位    资金</w:t>
            </w:r>
          </w:p>
        </w:tc>
        <w:tc>
          <w:tcPr>
            <w:tcW w:w="964" w:type="dxa"/>
            <w:vAlign w:val="center"/>
          </w:tcPr>
          <w:p>
            <w:pPr>
              <w:pStyle w:val="2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4"/>
            </w:pPr>
            <w:r>
              <w:t>合  计</w:t>
            </w:r>
          </w:p>
        </w:tc>
        <w:tc>
          <w:tcPr>
            <w:tcW w:w="964" w:type="dxa"/>
            <w:vAlign w:val="center"/>
          </w:tcPr>
          <w:p>
            <w:pPr>
              <w:pStyle w:val="25"/>
            </w:pPr>
          </w:p>
        </w:tc>
        <w:tc>
          <w:tcPr>
            <w:tcW w:w="1134" w:type="dxa"/>
            <w:vAlign w:val="center"/>
          </w:tcPr>
          <w:p>
            <w:pPr>
              <w:pStyle w:val="26"/>
            </w:pPr>
          </w:p>
        </w:tc>
        <w:tc>
          <w:tcPr>
            <w:tcW w:w="1134" w:type="dxa"/>
            <w:vAlign w:val="center"/>
          </w:tcPr>
          <w:p>
            <w:pPr>
              <w:pStyle w:val="26"/>
            </w:pPr>
          </w:p>
        </w:tc>
        <w:tc>
          <w:tcPr>
            <w:tcW w:w="709" w:type="dxa"/>
            <w:vAlign w:val="center"/>
          </w:tcPr>
          <w:p>
            <w:pPr>
              <w:pStyle w:val="24"/>
            </w:pPr>
          </w:p>
        </w:tc>
        <w:tc>
          <w:tcPr>
            <w:tcW w:w="850" w:type="dxa"/>
            <w:vAlign w:val="center"/>
          </w:tcPr>
          <w:p>
            <w:pPr>
              <w:pStyle w:val="25"/>
            </w:pPr>
          </w:p>
        </w:tc>
        <w:tc>
          <w:tcPr>
            <w:tcW w:w="850"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4"/>
            </w:pPr>
          </w:p>
        </w:tc>
        <w:tc>
          <w:tcPr>
            <w:tcW w:w="964" w:type="dxa"/>
            <w:vAlign w:val="center"/>
          </w:tcPr>
          <w:p>
            <w:pPr>
              <w:pStyle w:val="25"/>
            </w:pPr>
          </w:p>
        </w:tc>
        <w:tc>
          <w:tcPr>
            <w:tcW w:w="1134" w:type="dxa"/>
            <w:vAlign w:val="center"/>
          </w:tcPr>
          <w:p>
            <w:pPr>
              <w:pStyle w:val="26"/>
            </w:pPr>
          </w:p>
        </w:tc>
        <w:tc>
          <w:tcPr>
            <w:tcW w:w="1134" w:type="dxa"/>
            <w:vAlign w:val="center"/>
          </w:tcPr>
          <w:p>
            <w:pPr>
              <w:pStyle w:val="26"/>
            </w:pPr>
          </w:p>
        </w:tc>
        <w:tc>
          <w:tcPr>
            <w:tcW w:w="709" w:type="dxa"/>
            <w:vAlign w:val="center"/>
          </w:tcPr>
          <w:p>
            <w:pPr>
              <w:pStyle w:val="24"/>
            </w:pPr>
          </w:p>
        </w:tc>
        <w:tc>
          <w:tcPr>
            <w:tcW w:w="850" w:type="dxa"/>
            <w:vAlign w:val="center"/>
          </w:tcPr>
          <w:p>
            <w:pPr>
              <w:pStyle w:val="25"/>
            </w:pPr>
          </w:p>
        </w:tc>
        <w:tc>
          <w:tcPr>
            <w:tcW w:w="850" w:type="dxa"/>
            <w:vAlign w:val="center"/>
          </w:tcPr>
          <w:p>
            <w:pPr>
              <w:pStyle w:val="25"/>
            </w:pPr>
          </w:p>
        </w:tc>
        <w:tc>
          <w:tcPr>
            <w:tcW w:w="964" w:type="dxa"/>
            <w:vAlign w:val="center"/>
          </w:tcPr>
          <w:p>
            <w:pPr>
              <w:pStyle w:val="25"/>
              <w:rPr>
                <w:rFonts w:hint="eastAsia"/>
                <w:lang w:eastAsia="zh-CN"/>
              </w:rPr>
            </w:pPr>
          </w:p>
        </w:tc>
        <w:tc>
          <w:tcPr>
            <w:tcW w:w="964" w:type="dxa"/>
            <w:vAlign w:val="center"/>
          </w:tcPr>
          <w:p>
            <w:pPr>
              <w:pStyle w:val="25"/>
              <w:rPr>
                <w:rFonts w:hint="eastAsia"/>
                <w:lang w:eastAsia="zh-CN"/>
              </w:rPr>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rPr>
                <w:rFonts w:hint="eastAsia"/>
                <w:lang w:eastAsia="zh-CN"/>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7" w:name="_Toc_3_3_0000000018"/>
      <w:r>
        <w:rPr>
          <w:rFonts w:ascii="黑体" w:hAnsi="黑体" w:eastAsia="黑体" w:cs="黑体"/>
          <w:color w:val="000000"/>
          <w:sz w:val="32"/>
        </w:rPr>
        <w:t>七、国有资产信息</w:t>
      </w:r>
      <w:bookmarkEnd w:id="7"/>
    </w:p>
    <w:p>
      <w:pPr>
        <w:spacing w:line="500" w:lineRule="exact"/>
        <w:ind w:firstLine="560"/>
      </w:pPr>
      <w:r>
        <w:rPr>
          <w:rFonts w:hint="eastAsia" w:eastAsia="方正仿宋_GBK"/>
          <w:color w:val="000000"/>
          <w:sz w:val="28"/>
          <w:lang w:val="en-US" w:eastAsia="zh-CN"/>
        </w:rPr>
        <w:t>中国人民政治协商会议唐山市丰南区委员会</w:t>
      </w:r>
      <w:r>
        <w:rPr>
          <w:rFonts w:eastAsia="方正仿宋_GBK"/>
          <w:color w:val="000000"/>
          <w:sz w:val="28"/>
        </w:rPr>
        <w:t>上年末固定资产金额为</w:t>
      </w:r>
      <w:r>
        <w:rPr>
          <w:rFonts w:hint="eastAsia" w:eastAsia="方正仿宋_GBK"/>
          <w:color w:val="000000"/>
          <w:sz w:val="28"/>
          <w:lang w:val="en-US" w:eastAsia="zh-CN"/>
        </w:rPr>
        <w:t>122.12</w:t>
      </w:r>
      <w:r>
        <w:rPr>
          <w:rFonts w:eastAsia="方正仿宋_GBK"/>
          <w:color w:val="000000"/>
          <w:sz w:val="28"/>
        </w:rPr>
        <w:t>万元（详见下表）。本年度拟购置固定资产总额为</w:t>
      </w:r>
      <w:r>
        <w:rPr>
          <w:rFonts w:hint="eastAsia" w:eastAsia="方正仿宋_GBK"/>
          <w:color w:val="000000"/>
          <w:sz w:val="28"/>
          <w:lang w:val="en-US" w:eastAsia="zh-CN"/>
        </w:rPr>
        <w:t>4</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9"/>
              <w:rPr>
                <w:lang w:eastAsia="zh-CN"/>
              </w:rPr>
            </w:pPr>
            <w:r>
              <w:rPr>
                <w:rFonts w:hint="eastAsia"/>
                <w:lang w:val="en-US" w:eastAsia="zh-CN"/>
              </w:rPr>
              <w:t>中国人民政治协商会议唐山市丰南区委员会</w:t>
            </w:r>
          </w:p>
        </w:tc>
        <w:tc>
          <w:tcPr>
            <w:tcW w:w="5669" w:type="dxa"/>
            <w:gridSpan w:val="2"/>
            <w:tcBorders>
              <w:top w:val="single" w:color="FFFFFF" w:sz="6" w:space="0"/>
              <w:left w:val="single" w:color="FFFFFF" w:sz="6" w:space="0"/>
              <w:right w:val="single" w:color="FFFFFF" w:sz="6" w:space="0"/>
            </w:tcBorders>
            <w:vAlign w:val="center"/>
          </w:tcPr>
          <w:p>
            <w:pPr>
              <w:pStyle w:val="17"/>
            </w:pPr>
            <w:r>
              <w:t>截止时间：</w:t>
            </w:r>
            <w:r>
              <w:rPr>
                <w:rFonts w:hint="eastAsia"/>
                <w:lang w:val="en-US" w:eastAsia="zh-CN"/>
              </w:rPr>
              <w:t>2018</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0"/>
            </w:pPr>
            <w:r>
              <w:t>项   目</w:t>
            </w:r>
          </w:p>
        </w:tc>
        <w:tc>
          <w:tcPr>
            <w:tcW w:w="2835" w:type="dxa"/>
            <w:vAlign w:val="center"/>
          </w:tcPr>
          <w:p>
            <w:pPr>
              <w:pStyle w:val="20"/>
            </w:pPr>
            <w:r>
              <w:t>数量</w:t>
            </w:r>
          </w:p>
        </w:tc>
        <w:tc>
          <w:tcPr>
            <w:tcW w:w="2835" w:type="dxa"/>
            <w:vAlign w:val="center"/>
          </w:tcPr>
          <w:p>
            <w:pPr>
              <w:pStyle w:val="2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资产总额</w:t>
            </w:r>
          </w:p>
        </w:tc>
        <w:tc>
          <w:tcPr>
            <w:tcW w:w="2835" w:type="dxa"/>
            <w:vAlign w:val="center"/>
          </w:tcPr>
          <w:p>
            <w:pPr>
              <w:pStyle w:val="23"/>
            </w:pPr>
          </w:p>
        </w:tc>
        <w:tc>
          <w:tcPr>
            <w:tcW w:w="2835" w:type="dxa"/>
            <w:vAlign w:val="center"/>
          </w:tcPr>
          <w:p>
            <w:pPr>
              <w:pStyle w:val="21"/>
              <w:rPr>
                <w:rFonts w:hint="default" w:eastAsia="方正书宋_GBK"/>
                <w:lang w:val="en-US" w:eastAsia="zh-CN"/>
              </w:rPr>
            </w:pPr>
            <w:r>
              <w:rPr>
                <w:rFonts w:hint="eastAsia"/>
                <w:lang w:val="en-US" w:eastAsia="zh-CN"/>
              </w:rPr>
              <w:t>122.12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1、房屋（平方米）</w:t>
            </w:r>
          </w:p>
        </w:tc>
        <w:tc>
          <w:tcPr>
            <w:tcW w:w="2835" w:type="dxa"/>
            <w:vAlign w:val="center"/>
          </w:tcPr>
          <w:p>
            <w:pPr>
              <w:pStyle w:val="23"/>
            </w:pPr>
          </w:p>
        </w:tc>
        <w:tc>
          <w:tcPr>
            <w:tcW w:w="283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　　其中：办公用房（平方米）</w:t>
            </w:r>
          </w:p>
        </w:tc>
        <w:tc>
          <w:tcPr>
            <w:tcW w:w="2835" w:type="dxa"/>
            <w:vAlign w:val="center"/>
          </w:tcPr>
          <w:p>
            <w:pPr>
              <w:pStyle w:val="23"/>
            </w:pPr>
          </w:p>
        </w:tc>
        <w:tc>
          <w:tcPr>
            <w:tcW w:w="283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2、车辆（台、辆）</w:t>
            </w:r>
          </w:p>
        </w:tc>
        <w:tc>
          <w:tcPr>
            <w:tcW w:w="2835" w:type="dxa"/>
            <w:vAlign w:val="center"/>
          </w:tcPr>
          <w:p>
            <w:pPr>
              <w:pStyle w:val="23"/>
              <w:rPr>
                <w:rFonts w:hint="eastAsia" w:eastAsia="方正书宋_GBK"/>
                <w:lang w:eastAsia="zh-CN"/>
              </w:rPr>
            </w:pPr>
            <w:r>
              <w:rPr>
                <w:rFonts w:hint="eastAsia"/>
                <w:lang w:val="en-US" w:eastAsia="zh-CN"/>
              </w:rPr>
              <w:t>4</w:t>
            </w:r>
          </w:p>
        </w:tc>
        <w:tc>
          <w:tcPr>
            <w:tcW w:w="2835" w:type="dxa"/>
            <w:vAlign w:val="center"/>
          </w:tcPr>
          <w:p>
            <w:pPr>
              <w:pStyle w:val="21"/>
              <w:rPr>
                <w:rFonts w:hint="default" w:eastAsia="方正书宋_GBK"/>
                <w:lang w:val="en-US" w:eastAsia="zh-CN"/>
              </w:rPr>
            </w:pPr>
            <w:r>
              <w:rPr>
                <w:rFonts w:hint="eastAsia"/>
                <w:lang w:val="en-US" w:eastAsia="zh-CN"/>
              </w:rPr>
              <w:t>90.66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3、单价在20万元以上的设备</w:t>
            </w:r>
          </w:p>
        </w:tc>
        <w:tc>
          <w:tcPr>
            <w:tcW w:w="2835" w:type="dxa"/>
            <w:vAlign w:val="center"/>
          </w:tcPr>
          <w:p>
            <w:pPr>
              <w:pStyle w:val="23"/>
            </w:pPr>
          </w:p>
        </w:tc>
        <w:tc>
          <w:tcPr>
            <w:tcW w:w="283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4、其他固定资产</w:t>
            </w:r>
          </w:p>
        </w:tc>
        <w:tc>
          <w:tcPr>
            <w:tcW w:w="2835" w:type="dxa"/>
            <w:vAlign w:val="center"/>
          </w:tcPr>
          <w:p>
            <w:pPr>
              <w:pStyle w:val="23"/>
              <w:rPr>
                <w:rFonts w:hint="default" w:eastAsia="方正书宋_GBK"/>
                <w:lang w:val="en-US" w:eastAsia="zh-CN"/>
              </w:rPr>
            </w:pPr>
          </w:p>
        </w:tc>
        <w:tc>
          <w:tcPr>
            <w:tcW w:w="2835" w:type="dxa"/>
            <w:vAlign w:val="center"/>
          </w:tcPr>
          <w:p>
            <w:pPr>
              <w:pStyle w:val="21"/>
              <w:rPr>
                <w:rFonts w:hint="default" w:eastAsia="方正书宋_GBK"/>
                <w:lang w:val="en-US" w:eastAsia="zh-CN"/>
              </w:rPr>
            </w:pPr>
            <w:r>
              <w:rPr>
                <w:rFonts w:hint="eastAsia"/>
                <w:lang w:val="en-US" w:eastAsia="zh-CN"/>
              </w:rPr>
              <w:t>31.46</w:t>
            </w:r>
          </w:p>
        </w:tc>
      </w:tr>
    </w:tbl>
    <w:p>
      <w:pPr>
        <w:ind w:firstLine="640"/>
      </w:pPr>
      <w:r>
        <w:rPr>
          <w:rFonts w:eastAsia="方正仿宋_GBK"/>
          <w:color w:val="000000"/>
          <w:sz w:val="32"/>
        </w:rPr>
        <w:t xml:space="preserve"> </w:t>
      </w:r>
    </w:p>
    <w:p>
      <w:pPr>
        <w:spacing w:before="10" w:after="10"/>
        <w:ind w:firstLine="640"/>
        <w:outlineLvl w:val="2"/>
      </w:pPr>
      <w:bookmarkStart w:id="8" w:name="_Toc_3_3_0000000019"/>
      <w:r>
        <w:rPr>
          <w:rFonts w:ascii="黑体" w:hAnsi="黑体" w:eastAsia="黑体" w:cs="黑体"/>
          <w:color w:val="000000"/>
          <w:sz w:val="32"/>
        </w:rPr>
        <w:t>八、名词解释</w:t>
      </w:r>
      <w:bookmarkEnd w:id="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9" w:name="_Toc_3_3_0000000020"/>
      <w:r>
        <w:rPr>
          <w:rFonts w:ascii="黑体" w:hAnsi="黑体" w:eastAsia="黑体" w:cs="黑体"/>
          <w:color w:val="000000"/>
          <w:sz w:val="32"/>
        </w:rPr>
        <w:t>九、其他需要说明的事项</w:t>
      </w:r>
      <w:bookmarkEnd w:id="9"/>
    </w:p>
    <w:p>
      <w:pPr>
        <w:spacing w:line="500" w:lineRule="exact"/>
        <w:ind w:firstLine="560"/>
        <w:rPr>
          <w:rFonts w:eastAsiaTheme="minorEastAsia"/>
          <w:lang w:eastAsia="zh-CN"/>
        </w:rPr>
      </w:pPr>
      <w:r>
        <w:rPr>
          <w:rFonts w:eastAsia="方正仿宋_GBK"/>
          <w:color w:val="000000"/>
          <w:sz w:val="28"/>
        </w:rPr>
        <w:t>我部门无其他需要说明的事项。</w:t>
      </w: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方正楷体_GBK">
    <w:altName w:val="微软雅黑"/>
    <w:panose1 w:val="00000000000000000000"/>
    <w:charset w:val="86"/>
    <w:family w:val="roma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lZWI4NWE4NmIxYjRiNmE5MzYyNmI0YjgyZWUzMmYifQ=="/>
    <w:docVar w:name="KSO_WPS_MARK_KEY" w:val="95849150-0e59-4b34-a127-6922d588a6ac"/>
  </w:docVars>
  <w:rsids>
    <w:rsidRoot w:val="006277C0"/>
    <w:rsid w:val="00074A21"/>
    <w:rsid w:val="00177DA3"/>
    <w:rsid w:val="001A5C8C"/>
    <w:rsid w:val="003B79D8"/>
    <w:rsid w:val="003D29B6"/>
    <w:rsid w:val="006277C0"/>
    <w:rsid w:val="006A4512"/>
    <w:rsid w:val="008B309E"/>
    <w:rsid w:val="00AE3414"/>
    <w:rsid w:val="00B479C0"/>
    <w:rsid w:val="00BC0652"/>
    <w:rsid w:val="00CD471C"/>
    <w:rsid w:val="00D25C90"/>
    <w:rsid w:val="00F76141"/>
    <w:rsid w:val="00FB57FD"/>
    <w:rsid w:val="1A8674B2"/>
    <w:rsid w:val="1A893D63"/>
    <w:rsid w:val="1F3A1A74"/>
    <w:rsid w:val="225B780D"/>
    <w:rsid w:val="235A6E60"/>
    <w:rsid w:val="28B2037A"/>
    <w:rsid w:val="2CD81CF1"/>
    <w:rsid w:val="33DE37FC"/>
    <w:rsid w:val="3ADC31E0"/>
    <w:rsid w:val="3C3739C2"/>
    <w:rsid w:val="401F0E59"/>
    <w:rsid w:val="454E67C6"/>
    <w:rsid w:val="47AB5DF4"/>
    <w:rsid w:val="4DF15EB4"/>
    <w:rsid w:val="50B718AF"/>
    <w:rsid w:val="58896749"/>
    <w:rsid w:val="5CA606DA"/>
    <w:rsid w:val="67074692"/>
    <w:rsid w:val="76D15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8"/>
    <w:qFormat/>
    <w:uiPriority w:val="0"/>
    <w:pPr>
      <w:keepNext/>
      <w:keepLines/>
      <w:widowControl w:val="0"/>
      <w:spacing w:before="340" w:after="330" w:line="578" w:lineRule="auto"/>
      <w:jc w:val="both"/>
      <w:outlineLvl w:val="0"/>
    </w:pPr>
    <w:rPr>
      <w:rFonts w:eastAsia="宋体"/>
      <w:b/>
      <w:bCs/>
      <w:kern w:val="44"/>
      <w:sz w:val="44"/>
      <w:szCs w:val="20"/>
      <w:lang w:eastAsia="zh-CN"/>
    </w:rPr>
  </w:style>
  <w:style w:type="paragraph" w:styleId="3">
    <w:name w:val="heading 2"/>
    <w:basedOn w:val="1"/>
    <w:next w:val="1"/>
    <w:link w:val="39"/>
    <w:qFormat/>
    <w:uiPriority w:val="0"/>
    <w:pPr>
      <w:keepNext/>
      <w:keepLines/>
      <w:widowControl w:val="0"/>
      <w:spacing w:before="260" w:after="260" w:line="415" w:lineRule="auto"/>
      <w:jc w:val="both"/>
      <w:outlineLvl w:val="1"/>
    </w:pPr>
    <w:rPr>
      <w:rFonts w:ascii="Arial" w:hAnsi="Arial" w:eastAsia="黑体"/>
      <w:b/>
      <w:kern w:val="2"/>
      <w:sz w:val="32"/>
      <w:szCs w:val="20"/>
      <w:lang w:eastAsia="zh-CN"/>
    </w:rPr>
  </w:style>
  <w:style w:type="paragraph" w:styleId="4">
    <w:name w:val="heading 3"/>
    <w:basedOn w:val="1"/>
    <w:next w:val="1"/>
    <w:link w:val="40"/>
    <w:qFormat/>
    <w:uiPriority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Date"/>
    <w:basedOn w:val="1"/>
    <w:next w:val="1"/>
    <w:link w:val="43"/>
    <w:qFormat/>
    <w:uiPriority w:val="0"/>
    <w:pPr>
      <w:widowControl w:val="0"/>
      <w:ind w:left="2500" w:leftChars="2500"/>
      <w:jc w:val="both"/>
    </w:pPr>
    <w:rPr>
      <w:rFonts w:eastAsia="宋体"/>
      <w:kern w:val="2"/>
      <w:sz w:val="21"/>
      <w:szCs w:val="20"/>
      <w:lang w:eastAsia="zh-CN"/>
    </w:rPr>
  </w:style>
  <w:style w:type="paragraph" w:styleId="7">
    <w:name w:val="footer"/>
    <w:basedOn w:val="1"/>
    <w:link w:val="36"/>
    <w:unhideWhenUsed/>
    <w:qFormat/>
    <w:uiPriority w:val="0"/>
    <w:pPr>
      <w:tabs>
        <w:tab w:val="center" w:pos="4153"/>
        <w:tab w:val="right" w:pos="8306"/>
      </w:tabs>
      <w:snapToGrid w:val="0"/>
    </w:pPr>
    <w:rPr>
      <w:sz w:val="18"/>
      <w:szCs w:val="18"/>
    </w:rPr>
  </w:style>
  <w:style w:type="paragraph" w:styleId="8">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ind w:firstLine="560"/>
    </w:pPr>
    <w:rPr>
      <w:rFonts w:eastAsia="方正仿宋_GBK"/>
      <w:color w:val="000000"/>
      <w:sz w:val="28"/>
    </w:rPr>
  </w:style>
  <w:style w:type="paragraph" w:styleId="10">
    <w:name w:val="footnote text"/>
    <w:basedOn w:val="1"/>
    <w:link w:val="44"/>
    <w:qFormat/>
    <w:uiPriority w:val="0"/>
    <w:pPr>
      <w:widowControl w:val="0"/>
      <w:snapToGrid w:val="0"/>
    </w:pPr>
    <w:rPr>
      <w:rFonts w:eastAsia="宋体"/>
      <w:kern w:val="2"/>
      <w:sz w:val="18"/>
      <w:szCs w:val="18"/>
      <w:lang w:eastAsia="zh-CN"/>
    </w:rPr>
  </w:style>
  <w:style w:type="paragraph" w:styleId="11">
    <w:name w:val="toc 2"/>
    <w:basedOn w:val="1"/>
    <w:next w:val="1"/>
    <w:qFormat/>
    <w:uiPriority w:val="0"/>
    <w:pPr>
      <w:ind w:left="24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otnote reference"/>
    <w:basedOn w:val="14"/>
    <w:qFormat/>
    <w:uiPriority w:val="0"/>
    <w:rPr>
      <w:vertAlign w:val="superscript"/>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预算公开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character" w:customStyle="1" w:styleId="35">
    <w:name w:val="页眉 Char"/>
    <w:basedOn w:val="14"/>
    <w:link w:val="8"/>
    <w:qFormat/>
    <w:uiPriority w:val="99"/>
    <w:rPr>
      <w:rFonts w:eastAsia="Times New Roman"/>
      <w:sz w:val="18"/>
      <w:szCs w:val="18"/>
      <w:lang w:eastAsia="uk-UA"/>
    </w:rPr>
  </w:style>
  <w:style w:type="character" w:customStyle="1" w:styleId="36">
    <w:name w:val="页脚 Char"/>
    <w:basedOn w:val="14"/>
    <w:link w:val="7"/>
    <w:qFormat/>
    <w:uiPriority w:val="99"/>
    <w:rPr>
      <w:rFonts w:eastAsia="Times New Roman"/>
      <w:sz w:val="18"/>
      <w:szCs w:val="18"/>
      <w:lang w:eastAsia="uk-UA"/>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标题 1 Char"/>
    <w:basedOn w:val="14"/>
    <w:link w:val="2"/>
    <w:qFormat/>
    <w:uiPriority w:val="0"/>
    <w:rPr>
      <w:rFonts w:eastAsia="宋体"/>
      <w:b/>
      <w:bCs/>
      <w:kern w:val="44"/>
      <w:sz w:val="44"/>
    </w:rPr>
  </w:style>
  <w:style w:type="character" w:customStyle="1" w:styleId="39">
    <w:name w:val="标题 2 Char"/>
    <w:basedOn w:val="14"/>
    <w:link w:val="3"/>
    <w:qFormat/>
    <w:uiPriority w:val="0"/>
    <w:rPr>
      <w:rFonts w:ascii="Arial" w:hAnsi="Arial" w:eastAsia="黑体"/>
      <w:b/>
      <w:kern w:val="2"/>
      <w:sz w:val="32"/>
    </w:rPr>
  </w:style>
  <w:style w:type="character" w:customStyle="1" w:styleId="40">
    <w:name w:val="标题 3 Char"/>
    <w:basedOn w:val="14"/>
    <w:link w:val="4"/>
    <w:qFormat/>
    <w:uiPriority w:val="0"/>
    <w:rPr>
      <w:rFonts w:eastAsia="宋体"/>
      <w:b/>
      <w:kern w:val="2"/>
      <w:sz w:val="32"/>
    </w:rPr>
  </w:style>
  <w:style w:type="character" w:customStyle="1" w:styleId="41">
    <w:name w:val="font21"/>
    <w:basedOn w:val="14"/>
    <w:qFormat/>
    <w:uiPriority w:val="0"/>
    <w:rPr>
      <w:rFonts w:ascii="宋体" w:eastAsia="宋体" w:cs="宋体"/>
      <w:color w:val="000000"/>
      <w:sz w:val="20"/>
      <w:szCs w:val="20"/>
      <w:u w:val="none"/>
      <w:lang w:bidi="ar-SA"/>
    </w:rPr>
  </w:style>
  <w:style w:type="character" w:customStyle="1" w:styleId="42">
    <w:name w:val="font31"/>
    <w:basedOn w:val="14"/>
    <w:qFormat/>
    <w:uiPriority w:val="0"/>
    <w:rPr>
      <w:rFonts w:ascii="宋体" w:eastAsia="宋体" w:cs="宋体"/>
      <w:color w:val="000000"/>
      <w:sz w:val="20"/>
      <w:szCs w:val="20"/>
      <w:u w:val="none"/>
      <w:lang w:bidi="ar-SA"/>
    </w:rPr>
  </w:style>
  <w:style w:type="character" w:customStyle="1" w:styleId="43">
    <w:name w:val="日期 Char"/>
    <w:basedOn w:val="14"/>
    <w:link w:val="6"/>
    <w:qFormat/>
    <w:uiPriority w:val="0"/>
    <w:rPr>
      <w:rFonts w:eastAsia="宋体"/>
      <w:kern w:val="2"/>
      <w:sz w:val="21"/>
    </w:rPr>
  </w:style>
  <w:style w:type="character" w:customStyle="1" w:styleId="44">
    <w:name w:val="脚注文本 Char"/>
    <w:basedOn w:val="14"/>
    <w:link w:val="10"/>
    <w:qFormat/>
    <w:uiPriority w:val="0"/>
    <w:rPr>
      <w:rFonts w:eastAsia="宋体"/>
      <w:kern w:val="2"/>
      <w:sz w:val="18"/>
      <w:szCs w:val="18"/>
    </w:rPr>
  </w:style>
  <w:style w:type="character" w:customStyle="1" w:styleId="45">
    <w:name w:val="font71"/>
    <w:basedOn w:val="14"/>
    <w:qFormat/>
    <w:uiPriority w:val="0"/>
    <w:rPr>
      <w:rFonts w:ascii="方正仿宋_GBK" w:hAnsi="方正仿宋_GBK" w:eastAsia="方正仿宋_GBK" w:cs="方正仿宋_GBK"/>
      <w:color w:val="000000"/>
      <w:sz w:val="22"/>
      <w:szCs w:val="22"/>
      <w:u w:val="none"/>
    </w:rPr>
  </w:style>
  <w:style w:type="character" w:customStyle="1" w:styleId="46">
    <w:name w:val="font61"/>
    <w:basedOn w:val="14"/>
    <w:qFormat/>
    <w:uiPriority w:val="0"/>
    <w:rPr>
      <w:rFonts w:ascii="方正书宋_GBK" w:hAnsi="方正书宋_GBK" w:eastAsia="方正书宋_GBK" w:cs="方正书宋_GBK"/>
      <w:b/>
      <w:bCs/>
      <w:color w:val="000000"/>
      <w:sz w:val="22"/>
      <w:szCs w:val="22"/>
      <w:u w:val="none"/>
    </w:rPr>
  </w:style>
  <w:style w:type="character" w:customStyle="1" w:styleId="47">
    <w:name w:val="font81"/>
    <w:basedOn w:val="14"/>
    <w:qFormat/>
    <w:uiPriority w:val="0"/>
    <w:rPr>
      <w:rFonts w:hint="default" w:ascii="方正仿宋_GBK" w:hAnsi="方正仿宋_GBK" w:eastAsia="方正仿宋_GBK" w:cs="方正仿宋_GBK"/>
      <w:color w:val="000000"/>
      <w:sz w:val="22"/>
      <w:szCs w:val="22"/>
      <w:u w:val="none"/>
    </w:rPr>
  </w:style>
  <w:style w:type="character" w:customStyle="1" w:styleId="48">
    <w:name w:val="font91"/>
    <w:basedOn w:val="14"/>
    <w:qFormat/>
    <w:uiPriority w:val="0"/>
    <w:rPr>
      <w:rFonts w:hint="default" w:ascii="方正仿宋_GBK" w:hAnsi="方正仿宋_GBK" w:eastAsia="方正仿宋_GBK" w:cs="方正仿宋_GBK"/>
      <w:b/>
      <w:bCs/>
      <w:color w:val="000000"/>
      <w:sz w:val="22"/>
      <w:szCs w:val="22"/>
      <w:u w:val="none"/>
    </w:rPr>
  </w:style>
  <w:style w:type="character" w:customStyle="1" w:styleId="49">
    <w:name w:val="font121"/>
    <w:basedOn w:val="14"/>
    <w:qFormat/>
    <w:uiPriority w:val="0"/>
    <w:rPr>
      <w:rFonts w:ascii="方正仿宋_GBK" w:hAnsi="方正仿宋_GBK" w:eastAsia="方正仿宋_GBK" w:cs="方正仿宋_GBK"/>
      <w:color w:val="000000"/>
      <w:sz w:val="22"/>
      <w:szCs w:val="22"/>
      <w:u w:val="none"/>
    </w:rPr>
  </w:style>
  <w:style w:type="character" w:customStyle="1" w:styleId="50">
    <w:name w:val="font131"/>
    <w:basedOn w:val="14"/>
    <w:qFormat/>
    <w:uiPriority w:val="0"/>
    <w:rPr>
      <w:rFonts w:hint="default" w:ascii="方正仿宋_GBK" w:hAnsi="方正仿宋_GBK" w:eastAsia="方正仿宋_GBK" w:cs="方正仿宋_GBK"/>
      <w:color w:val="000000"/>
      <w:sz w:val="22"/>
      <w:szCs w:val="22"/>
      <w:u w:val="none"/>
    </w:rPr>
  </w:style>
  <w:style w:type="character" w:customStyle="1" w:styleId="51">
    <w:name w:val="font141"/>
    <w:basedOn w:val="14"/>
    <w:qFormat/>
    <w:uiPriority w:val="0"/>
    <w:rPr>
      <w:rFonts w:hint="default" w:ascii="方正仿宋_GBK" w:hAnsi="方正仿宋_GBK" w:eastAsia="方正仿宋_GBK" w:cs="方正仿宋_GBK"/>
      <w:b/>
      <w:bCs/>
      <w:color w:val="000000"/>
      <w:sz w:val="22"/>
      <w:szCs w:val="22"/>
      <w:u w:val="none"/>
    </w:rPr>
  </w:style>
  <w:style w:type="character" w:customStyle="1" w:styleId="52">
    <w:name w:val="font101"/>
    <w:basedOn w:val="14"/>
    <w:qFormat/>
    <w:uiPriority w:val="0"/>
    <w:rPr>
      <w:rFonts w:hint="eastAsia" w:ascii="宋体" w:hAnsi="宋体" w:eastAsia="宋体" w:cs="宋体"/>
      <w:color w:val="000000"/>
      <w:sz w:val="20"/>
      <w:szCs w:val="20"/>
      <w:u w:val="none"/>
    </w:rPr>
  </w:style>
  <w:style w:type="character" w:customStyle="1" w:styleId="53">
    <w:name w:val="font111"/>
    <w:basedOn w:val="14"/>
    <w:qFormat/>
    <w:uiPriority w:val="0"/>
    <w:rPr>
      <w:rFonts w:hint="default" w:ascii="Times New Roman" w:hAnsi="Times New Roman" w:cs="Times New Roman"/>
      <w:color w:val="000000"/>
      <w:sz w:val="20"/>
      <w:szCs w:val="20"/>
      <w:u w:val="none"/>
    </w:rPr>
  </w:style>
  <w:style w:type="character" w:customStyle="1" w:styleId="54">
    <w:name w:val="font122"/>
    <w:basedOn w:val="14"/>
    <w:uiPriority w:val="0"/>
    <w:rPr>
      <w:rFonts w:ascii="方正仿宋_GBK" w:hAnsi="方正仿宋_GBK" w:eastAsia="方正仿宋_GBK" w:cs="方正仿宋_GBK"/>
      <w:color w:val="000000"/>
      <w:sz w:val="22"/>
      <w:szCs w:val="22"/>
      <w:u w:val="none"/>
    </w:rPr>
  </w:style>
  <w:style w:type="character" w:customStyle="1" w:styleId="55">
    <w:name w:val="font112"/>
    <w:basedOn w:val="14"/>
    <w:qFormat/>
    <w:uiPriority w:val="0"/>
    <w:rPr>
      <w:rFonts w:hint="default" w:ascii="Times New Roman" w:hAnsi="Times New Roman" w:cs="Times New Roman"/>
      <w:color w:val="000000"/>
      <w:sz w:val="20"/>
      <w:szCs w:val="20"/>
      <w:u w:val="none"/>
    </w:rPr>
  </w:style>
  <w:style w:type="character" w:customStyle="1" w:styleId="56">
    <w:name w:val="font151"/>
    <w:basedOn w:val="14"/>
    <w:qFormat/>
    <w:uiPriority w:val="0"/>
    <w:rPr>
      <w:rFonts w:hint="default" w:ascii="方正仿宋_GBK" w:hAnsi="方正仿宋_GBK" w:eastAsia="方正仿宋_GBK" w:cs="方正仿宋_GBK"/>
      <w:color w:val="000000"/>
      <w:sz w:val="22"/>
      <w:szCs w:val="22"/>
      <w:u w:val="none"/>
    </w:rPr>
  </w:style>
  <w:style w:type="character" w:customStyle="1" w:styleId="57">
    <w:name w:val="font41"/>
    <w:basedOn w:val="14"/>
    <w:qFormat/>
    <w:uiPriority w:val="0"/>
    <w:rPr>
      <w:rFonts w:hint="default" w:ascii="Times New Roman" w:hAnsi="Times New Roman" w:cs="Times New Roman"/>
      <w:b/>
      <w:bCs/>
      <w:color w:val="000000"/>
      <w:sz w:val="22"/>
      <w:szCs w:val="22"/>
      <w:u w:val="none"/>
    </w:rPr>
  </w:style>
  <w:style w:type="character" w:customStyle="1" w:styleId="58">
    <w:name w:val="font161"/>
    <w:basedOn w:val="14"/>
    <w:qFormat/>
    <w:uiPriority w:val="0"/>
    <w:rPr>
      <w:rFonts w:hint="default" w:ascii="方正仿宋_GBK" w:hAnsi="方正仿宋_GBK" w:eastAsia="方正仿宋_GBK" w:cs="方正仿宋_GBK"/>
      <w:color w:val="000000"/>
      <w:sz w:val="22"/>
      <w:szCs w:val="22"/>
      <w:u w:val="none"/>
    </w:rPr>
  </w:style>
  <w:style w:type="character" w:customStyle="1" w:styleId="59">
    <w:name w:val="font51"/>
    <w:basedOn w:val="14"/>
    <w:qFormat/>
    <w:uiPriority w:val="0"/>
    <w:rPr>
      <w:rFonts w:hint="default" w:ascii="Times New Roman" w:hAnsi="Times New Roman" w:cs="Times New Roman"/>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576DE6E-C1A6-442A-A85F-68C8D0DB18A9}">
  <ds:schemaRefs/>
</ds:datastoreItem>
</file>

<file path=customXml/itemProps10.xml><?xml version="1.0" encoding="utf-8"?>
<ds:datastoreItem xmlns:ds="http://schemas.openxmlformats.org/officeDocument/2006/customXml" ds:itemID="{1D749E7D-BFD6-40F9-9DEC-CECC0DB51434}">
  <ds:schemaRefs/>
</ds:datastoreItem>
</file>

<file path=customXml/itemProps11.xml><?xml version="1.0" encoding="utf-8"?>
<ds:datastoreItem xmlns:ds="http://schemas.openxmlformats.org/officeDocument/2006/customXml" ds:itemID="{7F00D4D5-0020-496D-B59A-407FFB73482C}">
  <ds:schemaRefs/>
</ds:datastoreItem>
</file>

<file path=customXml/itemProps12.xml><?xml version="1.0" encoding="utf-8"?>
<ds:datastoreItem xmlns:ds="http://schemas.openxmlformats.org/officeDocument/2006/customXml" ds:itemID="{78E5979C-97E7-47D5-AEA1-CDD50C40EA94}">
  <ds:schemaRefs/>
</ds:datastoreItem>
</file>

<file path=customXml/itemProps13.xml><?xml version="1.0" encoding="utf-8"?>
<ds:datastoreItem xmlns:ds="http://schemas.openxmlformats.org/officeDocument/2006/customXml" ds:itemID="{7DFE330B-1A60-4E85-8AB8-8E4F9E0355E8}">
  <ds:schemaRefs/>
</ds:datastoreItem>
</file>

<file path=customXml/itemProps14.xml><?xml version="1.0" encoding="utf-8"?>
<ds:datastoreItem xmlns:ds="http://schemas.openxmlformats.org/officeDocument/2006/customXml" ds:itemID="{71BA1E49-5683-4584-B508-59F594FA0C8F}">
  <ds:schemaRefs/>
</ds:datastoreItem>
</file>

<file path=customXml/itemProps15.xml><?xml version="1.0" encoding="utf-8"?>
<ds:datastoreItem xmlns:ds="http://schemas.openxmlformats.org/officeDocument/2006/customXml" ds:itemID="{590DCAF1-D4C8-4C79-9E84-3D6D21FCA2DF}">
  <ds:schemaRefs/>
</ds:datastoreItem>
</file>

<file path=customXml/itemProps16.xml><?xml version="1.0" encoding="utf-8"?>
<ds:datastoreItem xmlns:ds="http://schemas.openxmlformats.org/officeDocument/2006/customXml" ds:itemID="{9BA4627D-51E2-414D-BAD3-6FA7A394E770}">
  <ds:schemaRefs/>
</ds:datastoreItem>
</file>

<file path=customXml/itemProps17.xml><?xml version="1.0" encoding="utf-8"?>
<ds:datastoreItem xmlns:ds="http://schemas.openxmlformats.org/officeDocument/2006/customXml" ds:itemID="{F10AFA5F-8285-4C84-8AD7-40EEEDDA18D4}">
  <ds:schemaRefs/>
</ds:datastoreItem>
</file>

<file path=customXml/itemProps18.xml><?xml version="1.0" encoding="utf-8"?>
<ds:datastoreItem xmlns:ds="http://schemas.openxmlformats.org/officeDocument/2006/customXml" ds:itemID="{6AAC531E-5310-43E4-8F09-A6BF4FDB056F}">
  <ds:schemaRefs/>
</ds:datastoreItem>
</file>

<file path=customXml/itemProps19.xml><?xml version="1.0" encoding="utf-8"?>
<ds:datastoreItem xmlns:ds="http://schemas.openxmlformats.org/officeDocument/2006/customXml" ds:itemID="{C6EC87E6-5E97-42CF-B7A6-6227396A9F22}">
  <ds:schemaRefs/>
</ds:datastoreItem>
</file>

<file path=customXml/itemProps2.xml><?xml version="1.0" encoding="utf-8"?>
<ds:datastoreItem xmlns:ds="http://schemas.openxmlformats.org/officeDocument/2006/customXml" ds:itemID="{404EA866-08CA-4D86-B2E5-CCA192ED2CDC}">
  <ds:schemaRefs/>
</ds:datastoreItem>
</file>

<file path=customXml/itemProps20.xml><?xml version="1.0" encoding="utf-8"?>
<ds:datastoreItem xmlns:ds="http://schemas.openxmlformats.org/officeDocument/2006/customXml" ds:itemID="{20FE05CD-3C79-4E7A-9AD2-5F5B52562D10}">
  <ds:schemaRefs/>
</ds:datastoreItem>
</file>

<file path=customXml/itemProps21.xml><?xml version="1.0" encoding="utf-8"?>
<ds:datastoreItem xmlns:ds="http://schemas.openxmlformats.org/officeDocument/2006/customXml" ds:itemID="{21089136-BA2F-4D54-89E4-0D9D0064AE77}">
  <ds:schemaRefs/>
</ds:datastoreItem>
</file>

<file path=customXml/itemProps22.xml><?xml version="1.0" encoding="utf-8"?>
<ds:datastoreItem xmlns:ds="http://schemas.openxmlformats.org/officeDocument/2006/customXml" ds:itemID="{BBE63375-195F-4526-8474-764936AD7129}">
  <ds:schemaRefs/>
</ds:datastoreItem>
</file>

<file path=customXml/itemProps3.xml><?xml version="1.0" encoding="utf-8"?>
<ds:datastoreItem xmlns:ds="http://schemas.openxmlformats.org/officeDocument/2006/customXml" ds:itemID="{572390BA-D9ED-4209-B823-78702ED00FD9}">
  <ds:schemaRefs/>
</ds:datastoreItem>
</file>

<file path=customXml/itemProps4.xml><?xml version="1.0" encoding="utf-8"?>
<ds:datastoreItem xmlns:ds="http://schemas.openxmlformats.org/officeDocument/2006/customXml" ds:itemID="{D4774865-B743-4B10-8A81-6376B3C056D5}">
  <ds:schemaRefs/>
</ds:datastoreItem>
</file>

<file path=customXml/itemProps5.xml><?xml version="1.0" encoding="utf-8"?>
<ds:datastoreItem xmlns:ds="http://schemas.openxmlformats.org/officeDocument/2006/customXml" ds:itemID="{61205465-A135-41B9-9E3B-2CB107CB49D0}">
  <ds:schemaRefs/>
</ds:datastoreItem>
</file>

<file path=customXml/itemProps6.xml><?xml version="1.0" encoding="utf-8"?>
<ds:datastoreItem xmlns:ds="http://schemas.openxmlformats.org/officeDocument/2006/customXml" ds:itemID="{A71FD7F5-5F4B-4135-9681-FF39299F7340}">
  <ds:schemaRefs/>
</ds:datastoreItem>
</file>

<file path=customXml/itemProps7.xml><?xml version="1.0" encoding="utf-8"?>
<ds:datastoreItem xmlns:ds="http://schemas.openxmlformats.org/officeDocument/2006/customXml" ds:itemID="{F9FF386D-A4B0-47CD-B297-404825FA2112}">
  <ds:schemaRefs/>
</ds:datastoreItem>
</file>

<file path=customXml/itemProps8.xml><?xml version="1.0" encoding="utf-8"?>
<ds:datastoreItem xmlns:ds="http://schemas.openxmlformats.org/officeDocument/2006/customXml" ds:itemID="{A7A8A8C2-3ADD-439A-A4A3-9D4D936376F6}">
  <ds:schemaRefs/>
</ds:datastoreItem>
</file>

<file path=customXml/itemProps9.xml><?xml version="1.0" encoding="utf-8"?>
<ds:datastoreItem xmlns:ds="http://schemas.openxmlformats.org/officeDocument/2006/customXml" ds:itemID="{81DA4214-09F5-421A-A4A5-59DE7E3A667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9286</Words>
  <Characters>12004</Characters>
  <Lines>41</Lines>
  <Paragraphs>11</Paragraphs>
  <TotalTime>1</TotalTime>
  <ScaleCrop>false</ScaleCrop>
  <LinksUpToDate>false</LinksUpToDate>
  <CharactersWithSpaces>12183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2024-02-19T16:18:00Z</dcterms:created>
  <dc:creator>Lenovo</dc:creator>
  <cp:lastModifiedBy>Administrator</cp:lastModifiedBy>
  <dcterms:modified xsi:type="dcterms:W3CDTF">2024-11-20T01:34:59Z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BEE37EA13CE94EEBB63BDCE67BEAFD88_13</vt:lpwstr>
  </property>
</Properties>
</file>