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tbl>
      <w:tblPr>
        <w:tblStyle w:val="12"/>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6"/>
        <w:gridCol w:w="2048"/>
        <w:gridCol w:w="4763"/>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4700" w:type="dxa"/>
            <w:gridSpan w:val="4"/>
            <w:tcBorders>
              <w:top w:val="nil"/>
              <w:left w:val="nil"/>
              <w:bottom w:val="nil"/>
              <w:right w:val="nil"/>
            </w:tcBorders>
            <w:shd w:val="clear" w:color="auto" w:fill="auto"/>
            <w:noWrap/>
            <w:vAlign w:val="center"/>
          </w:tcPr>
          <w:p>
            <w:pPr>
              <w:jc w:val="center"/>
            </w:pPr>
            <w:r>
              <w:rPr>
                <w:rFonts w:hint="default"/>
                <w:lang w:val="en-US" w:eastAsia="zh-CN"/>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6026" w:type="dxa"/>
            <w:tcBorders>
              <w:top w:val="nil"/>
              <w:left w:val="nil"/>
              <w:bottom w:val="nil"/>
              <w:right w:val="nil"/>
            </w:tcBorders>
            <w:shd w:val="clear" w:color="auto" w:fill="FFFFFF"/>
            <w:noWrap/>
            <w:vAlign w:val="center"/>
          </w:tcPr>
          <w:p>
            <w:pPr>
              <w:rPr>
                <w:rFonts w:hint="default" w:eastAsia="宋体"/>
                <w:lang w:val="en-US" w:eastAsia="zh-CN"/>
              </w:rPr>
            </w:pPr>
            <w:r>
              <w:rPr>
                <w:rFonts w:hint="eastAsia" w:eastAsia="宋体"/>
                <w:lang w:val="en-US" w:eastAsia="zh-CN"/>
              </w:rPr>
              <w:t>中国人民政治协商会议唐山市丰南区委员会</w:t>
            </w:r>
          </w:p>
        </w:tc>
        <w:tc>
          <w:tcPr>
            <w:tcW w:w="2048" w:type="dxa"/>
            <w:tcBorders>
              <w:top w:val="nil"/>
              <w:left w:val="nil"/>
              <w:bottom w:val="nil"/>
              <w:right w:val="nil"/>
            </w:tcBorders>
            <w:shd w:val="clear" w:color="auto" w:fill="FFFFFF"/>
            <w:noWrap/>
            <w:vAlign w:val="center"/>
          </w:tcPr>
          <w:p>
            <w:pPr>
              <w:rPr>
                <w:rFonts w:hint="default"/>
              </w:rPr>
            </w:pPr>
          </w:p>
        </w:tc>
        <w:tc>
          <w:tcPr>
            <w:tcW w:w="4763" w:type="dxa"/>
            <w:tcBorders>
              <w:top w:val="nil"/>
              <w:left w:val="nil"/>
              <w:bottom w:val="nil"/>
              <w:right w:val="nil"/>
            </w:tcBorders>
            <w:shd w:val="clear" w:color="auto" w:fill="FFFFFF"/>
            <w:noWrap/>
            <w:vAlign w:val="center"/>
          </w:tcPr>
          <w:p>
            <w:pPr>
              <w:rPr>
                <w:rFonts w:hint="default"/>
              </w:rPr>
            </w:pPr>
          </w:p>
        </w:tc>
        <w:tc>
          <w:tcPr>
            <w:tcW w:w="1863" w:type="dxa"/>
            <w:tcBorders>
              <w:top w:val="nil"/>
              <w:left w:val="nil"/>
              <w:bottom w:val="nil"/>
              <w:right w:val="nil"/>
            </w:tcBorders>
            <w:shd w:val="clear" w:color="auto" w:fill="FFFFFF"/>
            <w:noWrap/>
            <w:vAlign w:val="center"/>
          </w:tcPr>
          <w:p>
            <w:pPr>
              <w:rPr>
                <w:rFonts w:hint="default"/>
              </w:rPr>
            </w:pPr>
            <w:r>
              <w:rPr>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0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收入</w:t>
            </w:r>
          </w:p>
        </w:tc>
        <w:tc>
          <w:tcPr>
            <w:tcW w:w="66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项</w:t>
            </w:r>
            <w:r>
              <w:rPr>
                <w:rFonts w:hint="default"/>
                <w:lang w:val="en-US" w:eastAsia="zh-CN"/>
              </w:rPr>
              <w:t xml:space="preserve">    </w:t>
            </w:r>
            <w:r>
              <w:rPr>
                <w:lang w:val="en-US" w:eastAsia="zh-CN"/>
              </w:rPr>
              <w:t>目</w:t>
            </w:r>
          </w:p>
        </w:tc>
        <w:tc>
          <w:tcPr>
            <w:tcW w:w="20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预算数</w:t>
            </w: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lang w:val="en-US" w:eastAsia="zh-CN"/>
              </w:rPr>
              <w:t>项</w:t>
            </w:r>
            <w:r>
              <w:rPr>
                <w:rFonts w:hint="default"/>
                <w:lang w:val="en-US" w:eastAsia="zh-CN"/>
              </w:rPr>
              <w:t xml:space="preserve">    </w:t>
            </w:r>
            <w:r>
              <w:rPr>
                <w:lang w:val="en-US" w:eastAsia="zh-CN"/>
              </w:rPr>
              <w:t>目</w:t>
            </w:r>
          </w:p>
        </w:tc>
        <w:tc>
          <w:tcPr>
            <w:tcW w:w="1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一、财政拨款收入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479.97 </w:t>
            </w: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一、一般公共服务支出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427.36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二、上级补助收入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二、外交支出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三、事业收入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三、国防支出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四、经营收入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四、公共安全支出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五、附属单位上缴收入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五、教育支出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六、其他收入</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六、科学技术支出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七、文化体育与传媒支出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八、社会保障和就业支出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九、医疗卫生与计划生育支出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lang w:val="en-US" w:eastAsia="zh-CN"/>
              </w:rPr>
              <w:t xml:space="preserve">30.32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十、节能环保支出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十一、城乡社区支出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十二、农林水支出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十三、交通运输支出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十四、资源勘探信息等支出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十五、商业服务业等支出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十六、金融支出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十七、援助其他地区支出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十八、国土海洋气象等支出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十九、住房保障支出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lang w:val="en-US" w:eastAsia="zh-CN"/>
              </w:rPr>
              <w:t xml:space="preserve">22.29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二十、粮油物资储备支出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二十一、国债还本付息支出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二十二、其他支出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本年收入合计</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479.97 </w:t>
            </w: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本年支出合计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479.97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用事业基金弥补收支差额</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结余分配</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年初结转和结余</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c>
          <w:tcPr>
            <w:tcW w:w="4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                年末结转和结余</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合计</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479.97 </w:t>
            </w:r>
          </w:p>
        </w:tc>
        <w:tc>
          <w:tcPr>
            <w:tcW w:w="4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default"/>
              </w:rPr>
            </w:pPr>
            <w:r>
              <w:rPr>
                <w:rFonts w:hint="default"/>
                <w:lang w:val="en-US" w:eastAsia="zh-CN"/>
              </w:rPr>
              <w:t>合计</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rPr>
            </w:pPr>
            <w:r>
              <w:rPr>
                <w:rFonts w:hint="default"/>
                <w:lang w:val="en-US" w:eastAsia="zh-CN"/>
              </w:rPr>
              <w:t xml:space="preserve">479.97 </w:t>
            </w:r>
          </w:p>
        </w:tc>
      </w:tr>
    </w:tbl>
    <w:p/>
    <w:tbl>
      <w:tblPr>
        <w:tblStyle w:val="12"/>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3960"/>
        <w:gridCol w:w="1642"/>
        <w:gridCol w:w="1642"/>
        <w:gridCol w:w="1049"/>
        <w:gridCol w:w="1049"/>
        <w:gridCol w:w="1049"/>
        <w:gridCol w:w="1049"/>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47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5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本年收入合计</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财政拨款收入</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上级补助收入</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事业收入</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经营收入</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附属单位上缴收入</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科目名称</w:t>
            </w: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2" w:hRule="atLeast"/>
        </w:trPr>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333.44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333.44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其他政协事务支出—业务差旅费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
    <w:p/>
    <w:p/>
    <w:p>
      <w:pPr>
        <w:rPr>
          <w:sz w:val="32"/>
          <w:szCs w:val="32"/>
        </w:rPr>
      </w:pPr>
    </w:p>
    <w:tbl>
      <w:tblPr>
        <w:tblStyle w:val="12"/>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6"/>
        <w:gridCol w:w="2430"/>
        <w:gridCol w:w="1966"/>
        <w:gridCol w:w="1993"/>
        <w:gridCol w:w="1973"/>
        <w:gridCol w:w="1498"/>
        <w:gridCol w:w="1498"/>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1" w:hRule="atLeast"/>
        </w:trPr>
        <w:tc>
          <w:tcPr>
            <w:tcW w:w="14760" w:type="dxa"/>
            <w:gridSpan w:val="8"/>
            <w:tcBorders>
              <w:top w:val="nil"/>
              <w:left w:val="nil"/>
              <w:bottom w:val="nil"/>
              <w:right w:val="nil"/>
            </w:tcBorders>
            <w:shd w:val="clear" w:color="auto" w:fill="auto"/>
            <w:noWrap/>
            <w:vAlign w:val="center"/>
          </w:tcPr>
          <w:p>
            <w:pPr>
              <w:spacing w:line="300" w:lineRule="exact"/>
              <w:jc w:val="center"/>
              <w:outlineLvl w:val="0"/>
              <w:rPr>
                <w:sz w:val="32"/>
                <w:szCs w:val="32"/>
              </w:rPr>
            </w:pPr>
            <w:r>
              <w:rPr>
                <w:rFonts w:hint="default" w:ascii="方正小标宋_GBK" w:hAnsi="方正小标宋_GBK" w:eastAsia="方正小标宋_GBK" w:cs="方正小标宋_GBK"/>
                <w:i w:val="0"/>
                <w:iCs w:val="0"/>
                <w:color w:val="000000"/>
                <w:kern w:val="0"/>
                <w:sz w:val="32"/>
                <w:szCs w:val="32"/>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gridSpan w:val="3"/>
            <w:tcBorders>
              <w:top w:val="nil"/>
              <w:left w:val="nil"/>
              <w:bottom w:val="nil"/>
              <w:right w:val="nil"/>
            </w:tcBorders>
            <w:shd w:val="clear" w:color="auto" w:fill="FFFFFF"/>
            <w:noWrap/>
            <w:vAlign w:val="center"/>
          </w:tcPr>
          <w:p>
            <w:pPr>
              <w:spacing w:line="300" w:lineRule="exact"/>
              <w:jc w:val="left"/>
              <w:outlineLvl w:val="0"/>
              <w:rPr>
                <w:rFonts w:hint="default"/>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spacing w:line="300" w:lineRule="exact"/>
              <w:jc w:val="left"/>
              <w:outlineLvl w:val="0"/>
              <w:rPr>
                <w:rFonts w:hint="default"/>
              </w:rPr>
            </w:pPr>
          </w:p>
        </w:tc>
        <w:tc>
          <w:tcPr>
            <w:tcW w:w="0" w:type="auto"/>
            <w:tcBorders>
              <w:top w:val="nil"/>
              <w:left w:val="nil"/>
              <w:bottom w:val="nil"/>
              <w:right w:val="nil"/>
            </w:tcBorders>
            <w:shd w:val="clear" w:color="auto" w:fill="FFFFFF"/>
            <w:noWrap/>
            <w:vAlign w:val="center"/>
          </w:tcPr>
          <w:p>
            <w:pPr>
              <w:spacing w:line="300" w:lineRule="exact"/>
              <w:jc w:val="left"/>
              <w:outlineLvl w:val="0"/>
              <w:rPr>
                <w:rFonts w:hint="default"/>
              </w:rPr>
            </w:pPr>
          </w:p>
        </w:tc>
        <w:tc>
          <w:tcPr>
            <w:tcW w:w="0" w:type="auto"/>
            <w:tcBorders>
              <w:top w:val="nil"/>
              <w:left w:val="nil"/>
              <w:bottom w:val="nil"/>
              <w:right w:val="nil"/>
            </w:tcBorders>
            <w:shd w:val="clear" w:color="auto" w:fill="FFFFFF"/>
            <w:noWrap/>
            <w:vAlign w:val="center"/>
          </w:tcPr>
          <w:p>
            <w:pPr>
              <w:spacing w:line="300" w:lineRule="exact"/>
              <w:jc w:val="left"/>
              <w:outlineLvl w:val="0"/>
              <w:rPr>
                <w:rFonts w:hint="default"/>
              </w:rPr>
            </w:pPr>
          </w:p>
        </w:tc>
        <w:tc>
          <w:tcPr>
            <w:tcW w:w="0" w:type="auto"/>
            <w:tcBorders>
              <w:top w:val="nil"/>
              <w:left w:val="nil"/>
              <w:bottom w:val="nil"/>
              <w:right w:val="nil"/>
            </w:tcBorders>
            <w:shd w:val="clear" w:color="auto" w:fill="FFFFFF"/>
            <w:noWrap/>
            <w:vAlign w:val="center"/>
          </w:tcPr>
          <w:p>
            <w:pPr>
              <w:spacing w:line="300" w:lineRule="exact"/>
              <w:jc w:val="left"/>
              <w:outlineLvl w:val="0"/>
              <w:rPr>
                <w:rFonts w:hint="default"/>
              </w:rPr>
            </w:pPr>
          </w:p>
        </w:tc>
        <w:tc>
          <w:tcPr>
            <w:tcW w:w="0" w:type="auto"/>
            <w:tcBorders>
              <w:top w:val="nil"/>
              <w:left w:val="nil"/>
              <w:bottom w:val="nil"/>
              <w:right w:val="nil"/>
            </w:tcBorders>
            <w:shd w:val="clear" w:color="auto" w:fill="FFFFFF"/>
            <w:noWrap/>
            <w:vAlign w:val="center"/>
          </w:tcPr>
          <w:p>
            <w:pPr>
              <w:spacing w:line="300" w:lineRule="exact"/>
              <w:jc w:val="left"/>
              <w:outlineLvl w:val="0"/>
              <w:rPr>
                <w:rFonts w:hint="default"/>
              </w:rPr>
            </w:pPr>
            <w:r>
              <w:rPr>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38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eastAsia"/>
              </w:rPr>
            </w:pPr>
            <w:r>
              <w:rPr>
                <w:rFonts w:hint="eastAsia"/>
                <w:lang w:val="en-US" w:eastAsia="zh-CN"/>
              </w:rPr>
              <w:t>科目</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本年支出合计</w:t>
            </w:r>
          </w:p>
        </w:tc>
        <w:tc>
          <w:tcPr>
            <w:tcW w:w="19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基本支出</w:t>
            </w:r>
          </w:p>
        </w:tc>
        <w:tc>
          <w:tcPr>
            <w:tcW w:w="1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项目支出</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上缴上级支出</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经营支出</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功能分类科目编码</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r>
              <w:rPr>
                <w:lang w:val="en-US" w:eastAsia="zh-CN"/>
              </w:rPr>
              <w:t>科目名称</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left"/>
              <w:outlineLvl w:val="0"/>
              <w:rPr>
                <w:rFonts w:hint="default"/>
              </w:rPr>
            </w:pPr>
            <w:r>
              <w:rPr>
                <w:rFonts w:hint="default"/>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399.86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80.11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347.25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80.11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333.44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257.49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75.95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277.49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257.49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委员视察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2010299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outlineLvl w:val="0"/>
              <w:rPr>
                <w:rFonts w:hint="eastAsia"/>
              </w:rPr>
            </w:pPr>
            <w:r>
              <w:rPr>
                <w:rFonts w:hint="eastAsia"/>
                <w:lang w:val="en-US" w:eastAsia="zh-CN"/>
              </w:rPr>
              <w:t>其他政协事务支出—业务差旅费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统战事务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89.76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4.16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2013401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93.92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89.76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4.16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outlineLvl w:val="0"/>
              <w:rPr>
                <w:rFonts w:hint="eastAsia"/>
              </w:rPr>
            </w:pPr>
            <w:r>
              <w:rPr>
                <w:rFonts w:hint="eastAsia"/>
                <w:lang w:val="en-US" w:eastAsia="zh-CN"/>
              </w:rPr>
              <w:t>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医疗保障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eastAsia"/>
              </w:rPr>
            </w:pPr>
            <w:r>
              <w:rPr>
                <w:rFonts w:hint="eastAsia"/>
                <w:lang w:val="en-US" w:eastAsia="zh-CN"/>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r>
              <w:rPr>
                <w:rFonts w:hint="default"/>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left"/>
              <w:outlineLvl w:val="0"/>
              <w:rPr>
                <w:rFonts w:hint="default"/>
              </w:rPr>
            </w:pPr>
          </w:p>
        </w:tc>
      </w:tr>
    </w:tbl>
    <w:p>
      <w:pPr>
        <w:spacing w:line="300" w:lineRule="exact"/>
        <w:jc w:val="left"/>
        <w:outlineLvl w:val="0"/>
        <w:sectPr>
          <w:pgSz w:w="16839" w:h="11907" w:orient="landscape"/>
          <w:pgMar w:top="794" w:right="1020" w:bottom="794" w:left="1020" w:header="851" w:footer="992" w:gutter="0"/>
          <w:cols w:space="425" w:num="1"/>
          <w:docGrid w:type="lines" w:linePitch="312" w:charSpace="0"/>
        </w:sectPr>
      </w:pPr>
    </w:p>
    <w:tbl>
      <w:tblPr>
        <w:tblStyle w:val="12"/>
        <w:tblW w:w="15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6"/>
        <w:gridCol w:w="1070"/>
        <w:gridCol w:w="4346"/>
        <w:gridCol w:w="1070"/>
        <w:gridCol w:w="1365"/>
        <w:gridCol w:w="1115"/>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02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项</w:t>
            </w:r>
            <w:r>
              <w:rPr>
                <w:rStyle w:val="57"/>
                <w:rFonts w:eastAsia="宋体"/>
                <w:lang w:val="en-US" w:eastAsia="zh-CN" w:bidi="ar"/>
              </w:rPr>
              <w:t xml:space="preserve">    </w:t>
            </w:r>
            <w:r>
              <w:rPr>
                <w:rFonts w:ascii="方正书宋_GBK" w:hAnsi="方正书宋_GBK" w:eastAsia="方正书宋_GBK" w:cs="方正书宋_GBK"/>
                <w:b/>
                <w:bCs/>
                <w:i w:val="0"/>
                <w:iCs w:val="0"/>
                <w:color w:val="000000"/>
                <w:kern w:val="0"/>
                <w:sz w:val="22"/>
                <w:szCs w:val="22"/>
                <w:u w:val="none"/>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项</w:t>
            </w:r>
            <w:r>
              <w:rPr>
                <w:rStyle w:val="57"/>
                <w:rFonts w:eastAsia="宋体"/>
                <w:lang w:val="en-US" w:eastAsia="zh-CN" w:bidi="ar"/>
              </w:rPr>
              <w:t xml:space="preserve">    </w:t>
            </w:r>
            <w:r>
              <w:rPr>
                <w:rFonts w:ascii="方正书宋_GBK" w:hAnsi="方正书宋_GBK" w:eastAsia="方正书宋_GBK" w:cs="方正书宋_GBK"/>
                <w:b/>
                <w:bCs/>
                <w:i w:val="0"/>
                <w:iCs w:val="0"/>
                <w:color w:val="000000"/>
                <w:kern w:val="0"/>
                <w:sz w:val="22"/>
                <w:szCs w:val="22"/>
                <w:u w:val="none"/>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方正书宋_GBK" w:hAnsi="方正书宋_GBK" w:eastAsia="方正书宋_GBK" w:cs="方正书宋_GBK"/>
                <w:b/>
                <w:bCs/>
                <w:i w:val="0"/>
                <w:iCs w:val="0"/>
                <w:color w:val="000000"/>
                <w:kern w:val="0"/>
                <w:sz w:val="22"/>
                <w:szCs w:val="22"/>
                <w:u w:val="none"/>
                <w:lang w:val="en-US" w:eastAsia="zh-CN" w:bidi="ar"/>
              </w:rPr>
              <w:t>政府性基金预算财政拨款</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七、文化体育与传媒支出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九、医疗卫生与计划生育支出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十四、资源勘探信息等支出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十八、国土海洋气象等支出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二十一、国债还本付息支出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二十二、其他支出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_GBK" w:hAnsi="方正仿宋_GBK" w:eastAsia="方正仿宋_GBK" w:cs="方正仿宋_GBK"/>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宋体" w:hAnsi="宋体" w:eastAsia="宋体" w:cs="宋体"/>
                <w:i w:val="0"/>
                <w:iCs w:val="0"/>
                <w:color w:val="000000"/>
                <w:kern w:val="0"/>
                <w:sz w:val="24"/>
                <w:szCs w:val="24"/>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仿宋_GBK" w:hAnsi="方正仿宋_GBK" w:eastAsia="方正仿宋_GBK" w:cs="方正仿宋_GBK"/>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b/>
                <w:bCs/>
                <w:i w:val="0"/>
                <w:iCs w:val="0"/>
                <w:color w:val="000000"/>
                <w:sz w:val="22"/>
                <w:szCs w:val="22"/>
                <w:u w:val="none"/>
              </w:rPr>
            </w:pPr>
          </w:p>
        </w:tc>
      </w:tr>
    </w:tbl>
    <w:p/>
    <w:p/>
    <w:p/>
    <w:p/>
    <w:p/>
    <w:p/>
    <w:p/>
    <w:p/>
    <w:p/>
    <w:p/>
    <w:p/>
    <w:p/>
    <w:p/>
    <w:p/>
    <w:p/>
    <w:p/>
    <w:p/>
    <w:p/>
    <w:p/>
    <w:p/>
    <w:p/>
    <w:p/>
    <w:p/>
    <w:p/>
    <w:tbl>
      <w:tblPr>
        <w:tblStyle w:val="12"/>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7"/>
        <w:gridCol w:w="4702"/>
        <w:gridCol w:w="2746"/>
        <w:gridCol w:w="2746"/>
        <w:gridCol w:w="2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6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3"/>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746"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4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4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4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479.97</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399.86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427.36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政协事务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333.44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75.95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277.49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257.49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政协会议</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委员视察</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2010299</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其他政协事务支出—业务差旅费</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医疗卫生与计划生育支出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医疗保障</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bl>
    <w:p/>
    <w:tbl>
      <w:tblPr>
        <w:tblStyle w:val="12"/>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2"/>
        <w:gridCol w:w="3764"/>
        <w:gridCol w:w="3034"/>
        <w:gridCol w:w="3034"/>
        <w:gridCol w:w="3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448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034"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3034" w:type="dxa"/>
            <w:tcBorders>
              <w:top w:val="nil"/>
              <w:left w:val="nil"/>
              <w:bottom w:val="nil"/>
              <w:right w:val="nil"/>
            </w:tcBorders>
            <w:shd w:val="clear" w:color="auto" w:fill="FFFFFF"/>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5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9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经济分类科目编码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5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58"/>
                <w:lang w:val="en-US" w:eastAsia="zh-CN" w:bidi="ar"/>
              </w:rPr>
              <w:t>合计</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479.97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349.42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305.23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305.23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95.02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95.02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96.64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96.64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19.72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19.72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30104</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社会保障缴费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82.81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82.81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11.04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11.04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13.85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12.25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14.80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20.70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20.00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3.78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3.17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32.50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0.80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44.19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44.19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6.42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6.42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0.08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0.08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22.29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22.29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30314</w:t>
            </w:r>
          </w:p>
        </w:tc>
        <w:tc>
          <w:tcPr>
            <w:tcW w:w="0" w:type="auto"/>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在职住宅取暖费</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15.40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15.40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c>
          <w:tcPr>
            <w:tcW w:w="3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r>
    </w:tbl>
    <w:p/>
    <w:p/>
    <w:p/>
    <w:p/>
    <w:p/>
    <w:p/>
    <w:p/>
    <w:p/>
    <w:p/>
    <w:p/>
    <w:p/>
    <w:p/>
    <w:p/>
    <w:p/>
    <w:p/>
    <w:p/>
    <w:p/>
    <w:p/>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
    <w:p/>
    <w:p/>
    <w:p/>
    <w:p/>
    <w:p/>
    <w:p/>
    <w:p/>
    <w:p/>
    <w:p/>
    <w:p/>
    <w:p/>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p/>
    <w:p/>
    <w:tbl>
      <w:tblPr>
        <w:tblStyle w:val="12"/>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0"/>
        <w:gridCol w:w="2806"/>
        <w:gridCol w:w="2804"/>
        <w:gridCol w:w="2804"/>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412"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808"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方正仿宋_GBK" w:hAnsi="方正仿宋_GBK" w:eastAsia="方正仿宋_GBK" w:cs="方正仿宋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w:t>
            </w:r>
          </w:p>
        </w:tc>
        <w:tc>
          <w:tcPr>
            <w:tcW w:w="112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一般公共预算财政拨款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政府性基金财政拨款</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一、因公出国（境）费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二、公务用车购置及运行费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其中：公务用车购置费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 xml:space="preserve">       公务用车运行费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三、公务接待费</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sectPr>
          <w:pgSz w:w="16840" w:h="11900" w:orient="landscape"/>
          <w:pgMar w:top="1587" w:right="1134" w:bottom="1361" w:left="1134" w:header="720" w:footer="720" w:gutter="0"/>
          <w:pgNumType w:start="1"/>
          <w:cols w:space="720" w:num="1"/>
        </w:sectPr>
      </w:pPr>
    </w:p>
    <w:p>
      <w:pPr>
        <w:jc w:val="center"/>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w:t>
      </w:r>
    </w:p>
    <w:p>
      <w:pPr>
        <w:jc w:val="center"/>
      </w:pP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中国人民政治协商会议唐山市丰南区委员会办2016</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ind w:firstLine="560"/>
        <w:rPr>
          <w:rFonts w:ascii="方正仿宋_GBK" w:eastAsia="方正仿宋_GBK"/>
          <w:sz w:val="28"/>
        </w:rPr>
      </w:pPr>
      <w:r>
        <w:rPr>
          <w:rFonts w:ascii="方正仿宋_GBK" w:eastAsia="方正仿宋_GBK"/>
          <w:sz w:val="28"/>
        </w:rPr>
        <w:t>政协的主要职能是政治协商、民主监督、参政议政。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ind w:firstLine="560"/>
        <w:rPr>
          <w:rFonts w:ascii="方正仿宋_GBK" w:eastAsia="方正仿宋_GBK"/>
          <w:sz w:val="28"/>
        </w:rPr>
      </w:pPr>
      <w:r>
        <w:rPr>
          <w:rFonts w:ascii="方正仿宋_GBK" w:eastAsia="方正仿宋_GBK"/>
          <w:sz w:val="28"/>
        </w:rPr>
        <w:t>政协的主要工作有：</w:t>
      </w:r>
    </w:p>
    <w:p>
      <w:pPr>
        <w:ind w:firstLine="560"/>
        <w:rPr>
          <w:rFonts w:ascii="方正仿宋_GBK" w:eastAsia="方正仿宋_GBK"/>
          <w:sz w:val="28"/>
        </w:rPr>
      </w:pPr>
      <w:r>
        <w:rPr>
          <w:rFonts w:ascii="方正仿宋_GBK" w:eastAsia="方正仿宋_GBK"/>
          <w:sz w:val="28"/>
        </w:rPr>
        <w:t>1、做好提案的征集、分类、登记、审查、交办、督办、立卷和归档工作。</w:t>
      </w:r>
    </w:p>
    <w:p>
      <w:pPr>
        <w:ind w:firstLine="560"/>
        <w:rPr>
          <w:rFonts w:ascii="方正仿宋_GBK" w:eastAsia="方正仿宋_GBK"/>
          <w:sz w:val="28"/>
        </w:rPr>
      </w:pPr>
      <w:r>
        <w:rPr>
          <w:rFonts w:ascii="方正仿宋_GBK" w:eastAsia="方正仿宋_GBK"/>
          <w:sz w:val="28"/>
        </w:rPr>
        <w:t>2、做好文史资料的征集、整理、编辑、出版和发行工作。</w:t>
      </w:r>
    </w:p>
    <w:p>
      <w:pPr>
        <w:ind w:firstLine="560"/>
        <w:rPr>
          <w:rFonts w:ascii="方正仿宋_GBK" w:eastAsia="方正仿宋_GBK"/>
          <w:sz w:val="28"/>
        </w:rPr>
      </w:pPr>
      <w:r>
        <w:rPr>
          <w:rFonts w:ascii="方正仿宋_GBK" w:eastAsia="方正仿宋_GBK"/>
          <w:sz w:val="28"/>
        </w:rPr>
        <w:t>3、组织委员学习政治理论和政协业务知识，开展委员培训，提高委员参政议政能力。</w:t>
      </w:r>
    </w:p>
    <w:p>
      <w:pPr>
        <w:ind w:firstLine="560"/>
        <w:rPr>
          <w:rFonts w:ascii="方正仿宋_GBK" w:eastAsia="方正仿宋_GBK"/>
          <w:sz w:val="28"/>
        </w:rPr>
      </w:pPr>
      <w:r>
        <w:rPr>
          <w:rFonts w:ascii="方正仿宋_GBK" w:eastAsia="方正仿宋_GBK"/>
          <w:sz w:val="28"/>
        </w:rPr>
        <w:t>4、组织委员开展专题视察、考察、调研活动。</w:t>
      </w:r>
    </w:p>
    <w:p>
      <w:pPr>
        <w:ind w:firstLine="560"/>
        <w:rPr>
          <w:rFonts w:ascii="方正仿宋_GBK" w:eastAsia="方正仿宋_GBK"/>
          <w:sz w:val="28"/>
        </w:rPr>
      </w:pPr>
      <w:r>
        <w:rPr>
          <w:rFonts w:ascii="方正仿宋_GBK" w:eastAsia="方正仿宋_GBK"/>
          <w:sz w:val="28"/>
        </w:rPr>
        <w:t>5、开展政协委员活动，做好反映社情民意工作。</w:t>
      </w:r>
    </w:p>
    <w:p>
      <w:pPr>
        <w:ind w:firstLine="560"/>
        <w:rPr>
          <w:rFonts w:ascii="方正仿宋_GBK" w:eastAsia="方正仿宋_GBK"/>
          <w:sz w:val="28"/>
        </w:rPr>
      </w:pPr>
      <w:r>
        <w:rPr>
          <w:rFonts w:ascii="方正仿宋_GBK" w:eastAsia="方正仿宋_GBK"/>
          <w:sz w:val="28"/>
        </w:rPr>
        <w:t>6、组织好政协委员会全体会议、常务委员会议、主席会议等有关会议的会务工作。</w:t>
      </w:r>
    </w:p>
    <w:p>
      <w:pPr>
        <w:ind w:firstLine="560"/>
        <w:rPr>
          <w:rFonts w:ascii="方正仿宋_GBK" w:eastAsia="方正仿宋_GBK"/>
          <w:sz w:val="28"/>
        </w:rPr>
      </w:pPr>
      <w:r>
        <w:rPr>
          <w:rFonts w:ascii="方正仿宋_GBK" w:eastAsia="方正仿宋_GBK"/>
          <w:sz w:val="28"/>
        </w:rPr>
        <w:t>7、做好政协工作的宣传报道工作，加强同委员的联系，大力宣传委员的先进事迹，扩大政协委员的影响。</w:t>
      </w:r>
    </w:p>
    <w:p>
      <w:pPr>
        <w:ind w:firstLine="560"/>
        <w:rPr>
          <w:rFonts w:ascii="方正仿宋_GBK" w:eastAsia="方正仿宋_GBK"/>
          <w:sz w:val="28"/>
        </w:rPr>
      </w:pPr>
      <w:r>
        <w:rPr>
          <w:rFonts w:ascii="方正仿宋_GBK" w:eastAsia="方正仿宋_GBK"/>
          <w:sz w:val="28"/>
        </w:rPr>
        <w:t xml:space="preserve"> 8、做好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p>
      <w:pPr>
        <w:ind w:firstLine="560"/>
        <w:rPr>
          <w:rFonts w:ascii="方正仿宋_GBK" w:eastAsia="方正仿宋_GBK"/>
          <w:sz w:val="28"/>
        </w:rPr>
      </w:pPr>
      <w:r>
        <w:rPr>
          <w:rFonts w:ascii="方正仿宋_GBK" w:eastAsia="方正仿宋_GBK"/>
          <w:sz w:val="28"/>
        </w:rPr>
        <w:t>区委统战部是区委主管统一战线工作的职能部门，承担了解情况、掌握政策、协调关系、安排人事、增进共识、加强团结等职责，主要是：</w:t>
      </w:r>
    </w:p>
    <w:p>
      <w:pPr>
        <w:ind w:firstLine="560"/>
        <w:rPr>
          <w:rFonts w:ascii="方正仿宋_GBK" w:eastAsia="方正仿宋_GBK"/>
          <w:sz w:val="28"/>
        </w:rPr>
      </w:pPr>
      <w:r>
        <w:rPr>
          <w:rFonts w:ascii="方正仿宋_GBK" w:eastAsia="方正仿宋_GBK"/>
          <w:sz w:val="28"/>
        </w:rPr>
        <w:t>1、调查研究统一战线的理论、政策和法律法规，向区委全面反映统一战线情况，提出开展统一战线工作的意见和建议，组织协调统一战线政策和法律法规的贯彻落实，检查执行情况，协调统一战线各个方面关系。</w:t>
      </w:r>
    </w:p>
    <w:p>
      <w:pPr>
        <w:ind w:firstLine="560"/>
        <w:rPr>
          <w:rFonts w:ascii="方正仿宋_GBK" w:eastAsia="方正仿宋_GBK"/>
          <w:sz w:val="28"/>
        </w:rPr>
      </w:pPr>
      <w:r>
        <w:rPr>
          <w:rFonts w:ascii="方正仿宋_GBK" w:eastAsia="方正仿宋_GBK"/>
          <w:sz w:val="28"/>
        </w:rPr>
        <w:t>2、负责联系民主党派，牵头协调无党派人士工作，研究贯彻做好民主党派和无党派人士工作的方针政策，支持民主党派和无党派人士履行职责、发挥作用，支持、帮助民主党派和无党派人士加强自身建设。</w:t>
      </w:r>
    </w:p>
    <w:p>
      <w:pPr>
        <w:ind w:firstLine="560"/>
        <w:rPr>
          <w:rFonts w:ascii="方正仿宋_GBK" w:eastAsia="方正仿宋_GBK"/>
          <w:sz w:val="28"/>
        </w:rPr>
      </w:pPr>
      <w:r>
        <w:rPr>
          <w:rFonts w:ascii="方正仿宋_GBK" w:eastAsia="方正仿宋_GBK"/>
          <w:sz w:val="28"/>
        </w:rPr>
        <w:t>3、调查研究党外知识分子的情况，反映意见，协调关系，提出政策建议，联系党外知识分子代表人士。</w:t>
      </w:r>
    </w:p>
    <w:p>
      <w:pPr>
        <w:ind w:firstLine="560"/>
        <w:rPr>
          <w:rFonts w:ascii="方正仿宋_GBK" w:eastAsia="方正仿宋_GBK"/>
          <w:sz w:val="28"/>
        </w:rPr>
      </w:pPr>
      <w:r>
        <w:rPr>
          <w:rFonts w:ascii="方正仿宋_GBK" w:eastAsia="方正仿宋_GBK"/>
          <w:sz w:val="28"/>
        </w:rPr>
        <w:t>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pPr>
        <w:ind w:firstLine="560"/>
        <w:rPr>
          <w:rFonts w:ascii="方正仿宋_GBK" w:eastAsia="方正仿宋_GBK"/>
          <w:sz w:val="28"/>
        </w:rPr>
      </w:pPr>
      <w:r>
        <w:rPr>
          <w:rFonts w:ascii="方正仿宋_GBK" w:eastAsia="方正仿宋_GBK"/>
          <w:sz w:val="28"/>
        </w:rPr>
        <w:t>5、调查研究非公有制经济人士的情况，协调关系，提出政策建议，团结、服务、引导、教育非公有制经济人士，开展思想政治工作。</w:t>
      </w:r>
    </w:p>
    <w:p>
      <w:pPr>
        <w:ind w:firstLine="560"/>
        <w:rPr>
          <w:rFonts w:ascii="方正仿宋_GBK" w:eastAsia="方正仿宋_GBK"/>
          <w:sz w:val="28"/>
        </w:rPr>
      </w:pPr>
      <w:r>
        <w:rPr>
          <w:rFonts w:ascii="方正仿宋_GBK" w:eastAsia="方正仿宋_GBK"/>
          <w:sz w:val="28"/>
        </w:rPr>
        <w:t>6、开展港澳台海外统一战线工作，研究和贯彻执行对香港、澳门地区统一战线工作方针和法律法规，做好台胞、台属有关工作。负责区委交办的其他港澳、对台工作。</w:t>
      </w:r>
    </w:p>
    <w:p>
      <w:pPr>
        <w:ind w:firstLine="560"/>
        <w:rPr>
          <w:rFonts w:ascii="方正仿宋_GBK" w:eastAsia="方正仿宋_GBK"/>
          <w:sz w:val="28"/>
        </w:rPr>
      </w:pPr>
      <w:r>
        <w:rPr>
          <w:rFonts w:ascii="方正仿宋_GBK" w:eastAsia="方正仿宋_GBK"/>
          <w:sz w:val="28"/>
        </w:rPr>
        <w:t>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ind w:firstLine="560"/>
        <w:rPr>
          <w:rFonts w:ascii="方正仿宋_GBK" w:eastAsia="方正仿宋_GBK"/>
          <w:sz w:val="28"/>
        </w:rPr>
      </w:pPr>
      <w:r>
        <w:rPr>
          <w:rFonts w:ascii="方正仿宋_GBK" w:eastAsia="方正仿宋_GBK"/>
          <w:sz w:val="28"/>
        </w:rPr>
        <w:t>8、指导基层党委（党组）统一战线工作，负责基层统战委员和统战干部的培训工作；协调政府有关部门统一战线工作，协助做好民族、宗教等工作部门领导班子成员推荐工作；领导工商联党组，指导工商联工作；做好有关统战团体管理工作。</w:t>
      </w:r>
    </w:p>
    <w:p>
      <w:pPr>
        <w:ind w:firstLine="560"/>
        <w:rPr>
          <w:rFonts w:ascii="方正仿宋_GBK" w:eastAsia="方正仿宋_GBK"/>
          <w:sz w:val="28"/>
        </w:rPr>
      </w:pPr>
      <w:r>
        <w:rPr>
          <w:rFonts w:ascii="方正仿宋_GBK" w:eastAsia="方正仿宋_GBK"/>
          <w:sz w:val="28"/>
        </w:rPr>
        <w:t>9、负责开展统一战线宣传工作。</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w:t>
            </w:r>
            <w:bookmarkStart w:id="10" w:name="_GoBack"/>
            <w:bookmarkEnd w:id="10"/>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outlineLvl w:val="2"/>
      </w:pPr>
      <w:bookmarkStart w:id="1" w:name="_Toc_3_3_0000000011"/>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w:t>
      </w:r>
      <w:r>
        <w:t>机关及所属事业单位的收支包含在部门预算中。</w:t>
      </w:r>
    </w:p>
    <w:p>
      <w:pPr>
        <w:pStyle w:val="28"/>
      </w:pPr>
      <w:r>
        <w:t>1、收入说明</w:t>
      </w:r>
    </w:p>
    <w:p>
      <w:pPr>
        <w:pStyle w:val="28"/>
      </w:pPr>
      <w:r>
        <w:t>反映本部门当年全部收入。</w:t>
      </w:r>
      <w:r>
        <w:rPr>
          <w:rFonts w:hint="eastAsia"/>
          <w:lang w:val="en-US" w:eastAsia="zh-CN"/>
        </w:rPr>
        <w:t>2016</w:t>
      </w:r>
      <w:r>
        <w:t>年预算收入</w:t>
      </w:r>
      <w:r>
        <w:rPr>
          <w:rFonts w:hint="eastAsia"/>
          <w:lang w:val="en-US" w:eastAsia="zh-CN"/>
        </w:rPr>
        <w:t>479.97</w:t>
      </w:r>
      <w:r>
        <w:t>万元，其中：一般公共预算收入</w:t>
      </w:r>
      <w:r>
        <w:rPr>
          <w:rFonts w:hint="eastAsia"/>
          <w:lang w:val="en-US" w:eastAsia="zh-CN"/>
        </w:rPr>
        <w:t>479.97</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w:t>
      </w:r>
      <w:r>
        <w:t>年度部门预算中支出预算的总体情况。</w:t>
      </w:r>
      <w:r>
        <w:rPr>
          <w:rFonts w:hint="eastAsia"/>
          <w:lang w:val="en-US" w:eastAsia="zh-CN"/>
        </w:rPr>
        <w:t>2016</w:t>
      </w:r>
      <w:r>
        <w:t>年支出预算</w:t>
      </w:r>
      <w:r>
        <w:rPr>
          <w:rFonts w:hint="eastAsia"/>
          <w:lang w:val="en-US" w:eastAsia="zh-CN"/>
        </w:rPr>
        <w:t>479.97</w:t>
      </w:r>
      <w:r>
        <w:t>万元，其中基本支出</w:t>
      </w:r>
      <w:r>
        <w:rPr>
          <w:rFonts w:hint="eastAsia"/>
          <w:lang w:val="en-US" w:eastAsia="zh-CN"/>
        </w:rPr>
        <w:t>399.86</w:t>
      </w:r>
      <w:r>
        <w:t>万元，包括人员经费</w:t>
      </w:r>
      <w:r>
        <w:rPr>
          <w:rFonts w:hint="eastAsia"/>
          <w:lang w:val="en-US" w:eastAsia="zh-CN"/>
        </w:rPr>
        <w:t>348.02</w:t>
      </w:r>
      <w:r>
        <w:t>万元和日常公用经费</w:t>
      </w:r>
      <w:r>
        <w:rPr>
          <w:rFonts w:hint="eastAsia"/>
          <w:lang w:val="en-US" w:eastAsia="zh-CN"/>
        </w:rPr>
        <w:t>51.84</w:t>
      </w:r>
      <w:r>
        <w:t>万元；项目支出</w:t>
      </w:r>
      <w:r>
        <w:rPr>
          <w:rFonts w:hint="eastAsia"/>
          <w:lang w:val="en-US" w:eastAsia="zh-CN"/>
        </w:rPr>
        <w:t>80.11</w:t>
      </w:r>
      <w:r>
        <w:t>万元，主要为</w:t>
      </w:r>
      <w:r>
        <w:rPr>
          <w:rFonts w:hint="eastAsia"/>
          <w:lang w:val="en-US" w:eastAsia="zh-CN"/>
        </w:rPr>
        <w:t>政协会议费、差旅费、培训费等支出</w:t>
      </w:r>
      <w:r>
        <w:t>。</w:t>
      </w:r>
    </w:p>
    <w:p>
      <w:pPr>
        <w:pStyle w:val="28"/>
      </w:pPr>
      <w:r>
        <w:t>3、比上年增减情况</w:t>
      </w:r>
    </w:p>
    <w:p>
      <w:pPr>
        <w:pStyle w:val="28"/>
      </w:pPr>
      <w:r>
        <w:rPr>
          <w:rFonts w:hint="eastAsia"/>
          <w:lang w:val="en-US" w:eastAsia="zh-CN"/>
        </w:rPr>
        <w:t>2016</w:t>
      </w:r>
      <w:r>
        <w:t>年预算收支安排</w:t>
      </w:r>
      <w:r>
        <w:rPr>
          <w:rFonts w:hint="eastAsia"/>
          <w:lang w:val="en-US" w:eastAsia="zh-CN"/>
        </w:rPr>
        <w:t>479.97</w:t>
      </w:r>
      <w:r>
        <w:t>万元，较</w:t>
      </w:r>
      <w:r>
        <w:rPr>
          <w:rFonts w:hint="eastAsia"/>
          <w:lang w:val="en-US" w:eastAsia="zh-CN"/>
        </w:rPr>
        <w:t>2015</w:t>
      </w:r>
      <w:r>
        <w:t>年预算</w:t>
      </w:r>
      <w:r>
        <w:rPr>
          <w:rFonts w:hint="eastAsia"/>
          <w:lang w:val="en-US" w:eastAsia="zh-CN"/>
        </w:rPr>
        <w:t>增加37.18</w:t>
      </w:r>
      <w:r>
        <w:t>万元，其中：基本支出</w:t>
      </w:r>
      <w:r>
        <w:rPr>
          <w:rFonts w:hint="eastAsia"/>
          <w:lang w:val="en-US" w:eastAsia="zh-CN"/>
        </w:rPr>
        <w:t>增加37.18</w:t>
      </w:r>
      <w:r>
        <w:t>万元，主要为人员经费</w:t>
      </w:r>
      <w:r>
        <w:rPr>
          <w:rFonts w:hint="eastAsia"/>
          <w:lang w:eastAsia="zh-CN"/>
        </w:rPr>
        <w:t>增加</w:t>
      </w:r>
      <w:r>
        <w:t>。项目支出</w:t>
      </w:r>
      <w:r>
        <w:rPr>
          <w:rFonts w:hint="eastAsia"/>
          <w:lang w:val="en-US" w:eastAsia="zh-CN"/>
        </w:rPr>
        <w:t>增加0万元</w:t>
      </w:r>
      <w:r>
        <w:t>。</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29"/>
      </w:pPr>
      <w:r>
        <w:rPr>
          <w:rFonts w:hint="eastAsia"/>
          <w:lang w:val="en-US" w:eastAsia="zh-CN"/>
        </w:rPr>
        <w:t>2016</w:t>
      </w:r>
      <w:r>
        <w:t>年，我部门机关运行经费共计安排</w:t>
      </w:r>
      <w:r>
        <w:rPr>
          <w:rFonts w:hint="eastAsia"/>
          <w:lang w:val="en-US" w:eastAsia="zh-CN"/>
        </w:rPr>
        <w:t>51.84</w:t>
      </w:r>
      <w:r>
        <w:t>万元，主要用于日常维修</w:t>
      </w:r>
      <w:r>
        <w:rPr>
          <w:rFonts w:hint="eastAsia"/>
          <w:lang w:eastAsia="zh-CN"/>
        </w:rPr>
        <w:t>、</w:t>
      </w:r>
      <w:r>
        <w:t>办公用房物业管理费等日常运行支出。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2016</w:t>
      </w:r>
      <w:r>
        <w:t>年，我单位财政拨款“三公”经费预算安排</w:t>
      </w:r>
      <w:r>
        <w:rPr>
          <w:rFonts w:hint="eastAsia"/>
          <w:lang w:val="en-US" w:eastAsia="zh-CN"/>
        </w:rPr>
        <w:t>52.5</w:t>
      </w:r>
      <w:r>
        <w:t>万元，其中因公出国（境）费0万元；公务用车购置及运维费</w:t>
      </w:r>
      <w:r>
        <w:rPr>
          <w:rFonts w:hint="eastAsia"/>
          <w:lang w:val="en-US" w:eastAsia="zh-CN"/>
        </w:rPr>
        <w:t>32.5</w:t>
      </w:r>
      <w:r>
        <w:t>万元（其中：公务用车购置费为0万元，公务用车运维费</w:t>
      </w:r>
      <w:r>
        <w:rPr>
          <w:rFonts w:hint="eastAsia"/>
          <w:lang w:val="en-US" w:eastAsia="zh-CN"/>
        </w:rPr>
        <w:t>32.5</w:t>
      </w:r>
      <w:r>
        <w:t>万元)；公务接待费</w:t>
      </w:r>
      <w:r>
        <w:rPr>
          <w:rFonts w:hint="eastAsia"/>
          <w:lang w:val="en-US" w:eastAsia="zh-CN"/>
        </w:rPr>
        <w:t>20</w:t>
      </w:r>
      <w:r>
        <w:t>万元。与</w:t>
      </w:r>
      <w:r>
        <w:rPr>
          <w:rFonts w:hint="eastAsia"/>
          <w:lang w:val="en-US" w:eastAsia="zh-CN"/>
        </w:rPr>
        <w:t>2015</w:t>
      </w:r>
      <w:r>
        <w:t>年</w:t>
      </w:r>
      <w:r>
        <w:rPr>
          <w:rFonts w:hint="eastAsia"/>
          <w:lang w:val="en-US" w:eastAsia="zh-CN"/>
        </w:rPr>
        <w:t>持平</w:t>
      </w:r>
      <w:r>
        <w:rPr>
          <w:rFonts w:hint="eastAsia"/>
          <w:lang w:eastAsia="zh-CN"/>
        </w:rPr>
        <w:t>，</w:t>
      </w:r>
      <w:r>
        <w:t>没有增减变</w:t>
      </w:r>
      <w:r>
        <w:rPr>
          <w:rFonts w:hint="eastAsia"/>
          <w:lang w:val="en-US" w:eastAsia="zh-CN"/>
        </w:rPr>
        <w:t>化</w:t>
      </w:r>
      <w:r>
        <w:t>。</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hint="eastAsia" w:eastAsia="方正仿宋_GBK"/>
          <w:b/>
          <w:bCs/>
          <w:color w:val="000000"/>
          <w:sz w:val="28"/>
          <w:lang w:val="en-US" w:eastAsia="zh-CN"/>
        </w:rPr>
      </w:pPr>
      <w:r>
        <w:rPr>
          <w:rFonts w:eastAsia="方正仿宋_GBK"/>
          <w:b/>
          <w:bCs/>
          <w:color w:val="000000"/>
          <w:sz w:val="28"/>
        </w:rPr>
        <w:t>区政协</w:t>
      </w:r>
      <w:r>
        <w:rPr>
          <w:rFonts w:hint="eastAsia" w:eastAsia="方正仿宋_GBK"/>
          <w:b/>
          <w:bCs/>
          <w:color w:val="000000"/>
          <w:sz w:val="28"/>
          <w:lang w:val="en-US" w:eastAsia="zh-CN"/>
        </w:rPr>
        <w:t>总体绩效目标</w:t>
      </w:r>
    </w:p>
    <w:p>
      <w:pPr>
        <w:spacing w:line="500" w:lineRule="exact"/>
        <w:ind w:firstLine="560"/>
        <w:rPr>
          <w:rFonts w:eastAsia="方正仿宋_GBK"/>
          <w:b w:val="0"/>
          <w:bCs w:val="0"/>
          <w:color w:val="000000"/>
          <w:sz w:val="28"/>
        </w:rPr>
      </w:pPr>
      <w:r>
        <w:rPr>
          <w:rFonts w:eastAsia="方正仿宋_GBK"/>
          <w:b w:val="0"/>
          <w:bCs w:val="0"/>
          <w:color w:val="000000"/>
          <w:sz w:val="28"/>
        </w:rPr>
        <w:t>一、发展为先，务实履职，为转型发展献良策。开展主题实践活动。组织全区政协委员开展“助推‘十三五’，争创新业绩”主题实践活动，动员全区广大政协委员，尤其经济界委员在“十三五”开局之年，进一步解放思想、奋发作为，在创新发展、协调发展、绿色发展、开放发展上建功立业。搭建委员开放平台。抓住京津冀协同发展机遇，组织我区经济界委员到北京、天津等地，与当地经济界、科技界委员交流，学习转型升级、创新发展的经验，寻求招商引资引智合作信息。着力开展建言献策。围绕区委抓好的八件大事重点内容和关键环节，选定“工业转型升级”、“创新驱动”等八个重要课题，进行调研，邀请政府有关领导和相关部门，召开专题会议研究协商，为丰南发展提出有价值的意见建议。　</w:t>
      </w:r>
    </w:p>
    <w:p>
      <w:pPr>
        <w:spacing w:line="500" w:lineRule="exact"/>
        <w:ind w:firstLine="560"/>
        <w:rPr>
          <w:rFonts w:eastAsia="方正仿宋_GBK"/>
          <w:b w:val="0"/>
          <w:bCs w:val="0"/>
          <w:color w:val="000000"/>
          <w:sz w:val="28"/>
        </w:rPr>
      </w:pPr>
      <w:r>
        <w:rPr>
          <w:rFonts w:eastAsia="方正仿宋_GBK"/>
          <w:b w:val="0"/>
          <w:bCs w:val="0"/>
          <w:color w:val="000000"/>
          <w:sz w:val="28"/>
        </w:rPr>
        <w:t>二、创新为要，科学履职，为民主协商搭平台。提案协商求高度。通过媒体面向社会公开征集提案线索，坚持关注中心、关注民生、关注难点选题调研，撰写提案精品。搞好提案的审查和整合，减少重复提案，提高团体提案比例，提高提案质量。建立政协组织、提案人和承办单位“三结合”的提案协商机制，实现提案办理工作的良性互动。抓好办前、办中、办后沟通，避免文来文往，促进提案成果转化。专题协商求深度。围绕我区培育改革开放创新三大动力，做大做强沿海、城市、农村三大经济板块等方面重大题目深入调查研究，开展常委会、主席会协商，为党政决策提供参考。基层协商求广度。指导乡镇委员工作组，立足本镇实际，发挥直面群众、掌握实情的优势，向党委政府提出建议，为推动区域发展献计出力。</w:t>
      </w:r>
    </w:p>
    <w:p>
      <w:pPr>
        <w:spacing w:line="500" w:lineRule="exact"/>
        <w:ind w:firstLine="560"/>
        <w:rPr>
          <w:rFonts w:eastAsia="方正仿宋_GBK"/>
          <w:b w:val="0"/>
          <w:bCs w:val="0"/>
          <w:color w:val="000000"/>
          <w:sz w:val="28"/>
        </w:rPr>
      </w:pPr>
      <w:r>
        <w:rPr>
          <w:rFonts w:eastAsia="方正仿宋_GBK"/>
          <w:b w:val="0"/>
          <w:bCs w:val="0"/>
          <w:color w:val="000000"/>
          <w:sz w:val="28"/>
        </w:rPr>
        <w:t>三、民生为本，倾情履职，为改善民生建诤言。在联系群众中倾听民声。制定《政协委员收集社情民意工作规则》，规范工作规则。动员委员开展“知民情、解民忧、暖民心”大走访活动，进社区、入农户、察民情，畅通民情民意收集渠道。在服务群众中反映民意。把了解的情况综合分析，努力在关键问题、关键环节上提出符合人民群众实际需求和真实愿望的社情民意。创办《社情民意反映》，以专报形式，综合委员收集的社情民意及时反馈给党委、政府及有关部门。在履职尽责中为民谋利。热切关注教育事业、医疗卫生、社会保障等民生工程，优先将民生类提案列为重点提案，把民生类议题做为重点视察、评议内容，促进群众普遍关注的热点难点问题及时解决。开展“关注民生委员行动”，组织委员下乡服务、结对帮扶、回报社会，在履职奉献中体现价值。</w:t>
      </w:r>
    </w:p>
    <w:p>
      <w:pPr>
        <w:spacing w:line="500" w:lineRule="exact"/>
        <w:ind w:firstLine="560"/>
        <w:rPr>
          <w:rFonts w:eastAsia="方正仿宋_GBK"/>
          <w:b w:val="0"/>
          <w:bCs w:val="0"/>
          <w:color w:val="000000"/>
          <w:sz w:val="28"/>
        </w:rPr>
      </w:pPr>
      <w:r>
        <w:rPr>
          <w:rFonts w:eastAsia="方正仿宋_GBK"/>
          <w:b w:val="0"/>
          <w:bCs w:val="0"/>
          <w:color w:val="000000"/>
          <w:sz w:val="28"/>
        </w:rPr>
        <w:t>四、合力为重，协力履职，为和谐稳定增共识。坚持大团结、大联合，加强与各民主党派和无党派人士、各人民团体沟通联系，支持他们通过政协舞台合作共事，履行职责，发挥作用。密切与港澳台同胞、海外侨眷、侨属的联系，巩固壮大爱国统一战线。坚持定期走访各界人士制度，加强与民族宗教和新经济阶层人士的团结，共同为促进经济社会和谐发展服务。坚持发挥政协独特优势，动员委员联系走访在外的丰南籍企业家，吸引他们返乡创业。坚持与各界别、各阶层群众加强联系，协助党委做好协调关系、理顺情绪、化解矛盾工作，营造政通人和的社会氛围。</w:t>
      </w:r>
    </w:p>
    <w:p>
      <w:pPr>
        <w:spacing w:line="500" w:lineRule="exact"/>
        <w:ind w:firstLine="560"/>
        <w:rPr>
          <w:rFonts w:eastAsia="方正仿宋_GBK"/>
          <w:b/>
          <w:bCs/>
          <w:color w:val="000000"/>
          <w:sz w:val="28"/>
        </w:rPr>
      </w:pPr>
      <w:r>
        <w:rPr>
          <w:rFonts w:eastAsia="方正仿宋_GBK"/>
          <w:b w:val="0"/>
          <w:bCs w:val="0"/>
          <w:color w:val="000000"/>
          <w:sz w:val="28"/>
        </w:rPr>
        <w:t>五、自身为基，用心履职，为政协工作强保障。强化委员素质提升。组织学习习近平总书记系列重要讲话和中央、省、市委全会和区委重要决策部署精神，着力提高政治把握能力、调查研究能力、联系群众能力和合作共事能力，分期分批组织政协委员到全国政协培训机构集中学习。培树委员责任意识。开展思想教育活动，增强委员责任感、使命感，在宏观经济形势错综复杂、经济下行压力持续增大的形势下，围绕“十三五”开好局、起好步，勇于担当，有所作为，不辜负党和政府对我们的信任。创新服务委员平台。政协机关开展“贴近委员、推动履职”活动，加强与委员广泛交流，为他们撑腰、代言，激发委员履职热情；搭建委员明政知情、协商议政履职平台，让他们在宽松和谐、融洽的环境里，广开言路、各抒己见，使政协机关成为委员亲和温暖的娘家、施展才华的舞台。</w:t>
      </w:r>
    </w:p>
    <w:p>
      <w:pPr>
        <w:spacing w:line="500" w:lineRule="exact"/>
        <w:ind w:firstLine="560" w:firstLineChars="200"/>
        <w:rPr>
          <w:rFonts w:eastAsia="方正仿宋_GBK"/>
          <w:color w:val="000000"/>
          <w:sz w:val="28"/>
        </w:rPr>
      </w:pPr>
      <w:r>
        <w:rPr>
          <w:rFonts w:eastAsia="方正仿宋_GBK"/>
          <w:b/>
          <w:bCs/>
          <w:color w:val="000000"/>
          <w:sz w:val="28"/>
        </w:rPr>
        <w:t>统战部</w:t>
      </w:r>
      <w:r>
        <w:rPr>
          <w:rFonts w:hint="eastAsia" w:eastAsia="方正仿宋_GBK"/>
          <w:b/>
          <w:bCs/>
          <w:color w:val="000000"/>
          <w:sz w:val="28"/>
          <w:lang w:val="en-US" w:eastAsia="zh-CN"/>
        </w:rPr>
        <w:t>总体绩效目标</w:t>
      </w:r>
    </w:p>
    <w:p>
      <w:pPr>
        <w:spacing w:line="500" w:lineRule="exact"/>
        <w:ind w:firstLine="560"/>
        <w:rPr>
          <w:rFonts w:eastAsia="方正仿宋_GBK"/>
          <w:color w:val="000000"/>
          <w:sz w:val="28"/>
        </w:rPr>
      </w:pPr>
      <w:r>
        <w:rPr>
          <w:rFonts w:eastAsia="方正仿宋_GBK"/>
          <w:color w:val="000000"/>
          <w:sz w:val="28"/>
        </w:rPr>
        <w:t>按照中央及省、市统战工作会议精神，确定我部2016年工作目标及工作重点是：</w:t>
      </w:r>
    </w:p>
    <w:p>
      <w:pPr>
        <w:spacing w:line="500" w:lineRule="exact"/>
        <w:ind w:firstLine="560"/>
        <w:rPr>
          <w:rFonts w:eastAsia="方正仿宋_GBK"/>
          <w:color w:val="000000"/>
          <w:sz w:val="28"/>
        </w:rPr>
      </w:pPr>
      <w:r>
        <w:rPr>
          <w:rFonts w:eastAsia="方正仿宋_GBK"/>
          <w:color w:val="000000"/>
          <w:sz w:val="28"/>
        </w:rPr>
        <w:t>一、坚持和完善中国共产党领导的多党合作和政治协商制度，发挥民主党派和无党派代表人士的积极作用</w:t>
      </w:r>
    </w:p>
    <w:p>
      <w:pPr>
        <w:spacing w:line="500" w:lineRule="exact"/>
        <w:ind w:firstLine="560"/>
        <w:rPr>
          <w:rFonts w:eastAsia="方正仿宋_GBK"/>
          <w:color w:val="000000"/>
          <w:sz w:val="28"/>
        </w:rPr>
      </w:pPr>
      <w:r>
        <w:rPr>
          <w:rFonts w:eastAsia="方正仿宋_GBK"/>
          <w:color w:val="000000"/>
          <w:sz w:val="28"/>
        </w:rPr>
        <w:t>一是组织民主党派和无党派代表人士深入学习贯彻党的十八届五中全会及中央、省、市统战会议精神，通过报告会、座谈会、培训会等形式，组织统一战线广大成员切实把握好中央及省、市、区委重大方针政策的精神实质，领会好上级的重大决策部署，切实凝聚人心，汇聚才智和力量，把思想统一到上级精神上来；二是搞好同民主党派的政治协商，真正使协商在凝聚共识、优化决策等方面起到重要作用。支持民主党派和无党派代表人士参政议政、民主监督，发挥民主党派和无党派代表人士的参政议政作用；三是支持民主党派加强自身建设，主要是思想建设和组织制度建设。</w:t>
      </w:r>
    </w:p>
    <w:p>
      <w:pPr>
        <w:spacing w:line="500" w:lineRule="exact"/>
        <w:ind w:firstLine="560"/>
        <w:rPr>
          <w:rFonts w:eastAsia="方正仿宋_GBK"/>
          <w:color w:val="000000"/>
          <w:sz w:val="28"/>
        </w:rPr>
      </w:pPr>
      <w:r>
        <w:rPr>
          <w:rFonts w:eastAsia="方正仿宋_GBK"/>
          <w:color w:val="000000"/>
          <w:sz w:val="28"/>
        </w:rPr>
        <w:t>二、创造性的做好党外知识分子工作，为改革发展激发活力</w:t>
      </w:r>
    </w:p>
    <w:p>
      <w:pPr>
        <w:spacing w:line="500" w:lineRule="exact"/>
        <w:ind w:firstLine="560"/>
        <w:rPr>
          <w:rFonts w:eastAsia="方正仿宋_GBK"/>
          <w:color w:val="000000"/>
          <w:sz w:val="28"/>
        </w:rPr>
      </w:pPr>
      <w:r>
        <w:rPr>
          <w:rFonts w:eastAsia="方正仿宋_GBK"/>
          <w:color w:val="000000"/>
          <w:sz w:val="28"/>
        </w:rPr>
        <w:t>一是切实加强对党外知识分子的团结引导，鼓励和支持他们广泛开展科技创新、自主创业、发挥自身优势创造、服务发展。重点是协调教育、发改、国资委等部门共同推进；二是加强新社会阶层党外知识分子工作，充分发挥有关行业和社团组织的作用，把新经济组织、新社会组织中的知识分子组织起来，对其中的代表人士进行重点培养，引导他们发挥积极作用。</w:t>
      </w:r>
    </w:p>
    <w:p>
      <w:pPr>
        <w:spacing w:line="500" w:lineRule="exact"/>
        <w:ind w:firstLine="560"/>
        <w:rPr>
          <w:rFonts w:eastAsia="方正仿宋_GBK"/>
          <w:color w:val="000000"/>
          <w:sz w:val="28"/>
        </w:rPr>
      </w:pPr>
      <w:r>
        <w:rPr>
          <w:rFonts w:eastAsia="方正仿宋_GBK"/>
          <w:color w:val="000000"/>
          <w:sz w:val="28"/>
        </w:rPr>
        <w:t>三、全力做好非公有制经济领域统战工作，为实施好“三个发展”主战略提供动力支撑</w:t>
      </w:r>
    </w:p>
    <w:p>
      <w:pPr>
        <w:spacing w:line="500" w:lineRule="exact"/>
        <w:ind w:firstLine="560"/>
        <w:rPr>
          <w:rFonts w:eastAsia="方正仿宋_GBK"/>
          <w:color w:val="000000"/>
          <w:sz w:val="28"/>
        </w:rPr>
      </w:pPr>
      <w:r>
        <w:rPr>
          <w:rFonts w:eastAsia="方正仿宋_GBK"/>
          <w:color w:val="000000"/>
          <w:sz w:val="28"/>
        </w:rPr>
        <w:t>一是积极促进非公有制经济健康发展和非公有制经济人士健康成长，引导他们协同发展、转型发展、创新发展；二是积极引导非公有制企业自主创新和转型升级，参与承接北京非首都功能疏解和京津产业转移，在协同发展中做大做强；三是与非公有制经济人士多沟通，多了解，深入开展思想政治工作，多为他们做鼓劲、助力、铺路的事情，引领他们健康成长。</w:t>
      </w:r>
    </w:p>
    <w:p>
      <w:pPr>
        <w:spacing w:line="500" w:lineRule="exact"/>
        <w:ind w:firstLine="560"/>
        <w:rPr>
          <w:rFonts w:eastAsia="方正仿宋_GBK"/>
          <w:color w:val="000000"/>
          <w:sz w:val="28"/>
        </w:rPr>
      </w:pPr>
      <w:r>
        <w:rPr>
          <w:rFonts w:eastAsia="方正仿宋_GBK"/>
          <w:color w:val="000000"/>
          <w:sz w:val="28"/>
        </w:rPr>
        <w:t>四、扎实做好民族宗教工作，为全区营造和谐稳定的社会环境。</w:t>
      </w:r>
    </w:p>
    <w:p>
      <w:pPr>
        <w:spacing w:line="500" w:lineRule="exact"/>
        <w:ind w:firstLine="560"/>
        <w:rPr>
          <w:rFonts w:eastAsia="方正仿宋_GBK"/>
          <w:color w:val="000000"/>
          <w:sz w:val="28"/>
        </w:rPr>
      </w:pPr>
      <w:r>
        <w:rPr>
          <w:rFonts w:eastAsia="方正仿宋_GBK"/>
          <w:color w:val="000000"/>
          <w:sz w:val="28"/>
        </w:rPr>
        <w:t>一是积极引导宗教与社会主义社会相适应，坚持中国化的方向，全面贯彻落实党的宗教工作方针；二是着力提高宗教工作法治化水平。保护合法、制止非法、遏制极端、抵制渗透、打击犯罪，及时有效的防范和处置涉及宗教因素、影响社会稳定的事件，积极引导宗教健康发展；三是做好民族宗教重大节日和少数民族贫困户慰问，通过节日慰问和民族宗教界上层人士及信教群众广交朋友，确保和谐稳定大局。</w:t>
      </w:r>
    </w:p>
    <w:p>
      <w:pPr>
        <w:spacing w:line="500" w:lineRule="exact"/>
        <w:ind w:firstLine="560"/>
        <w:rPr>
          <w:rFonts w:eastAsia="方正仿宋_GBK"/>
          <w:color w:val="000000"/>
          <w:sz w:val="28"/>
        </w:rPr>
      </w:pPr>
      <w:r>
        <w:rPr>
          <w:rFonts w:eastAsia="方正仿宋_GBK"/>
          <w:color w:val="000000"/>
          <w:sz w:val="28"/>
        </w:rPr>
        <w:t>五、积极做好港澳台海外统战及归侨工作，为丰南发展聚力</w:t>
      </w:r>
    </w:p>
    <w:p>
      <w:pPr>
        <w:spacing w:line="500" w:lineRule="exact"/>
        <w:ind w:firstLine="560"/>
        <w:rPr>
          <w:rFonts w:eastAsia="方正仿宋_GBK"/>
          <w:color w:val="000000"/>
          <w:sz w:val="28"/>
        </w:rPr>
      </w:pPr>
      <w:r>
        <w:rPr>
          <w:rFonts w:eastAsia="方正仿宋_GBK"/>
          <w:color w:val="000000"/>
          <w:sz w:val="28"/>
        </w:rPr>
        <w:t>开展港澳台海外统一战线工作，研究和贯彻执行香港、澳门地区统一战线工作方针和法律法规，作好台胞、台属及侨属侨眷工作，为他们协调解决实际困难和问题，向他们宣传丰南发展规划和改革开放的形势、任务，汇聚发展力量与智慧。</w:t>
      </w:r>
    </w:p>
    <w:p>
      <w:pPr>
        <w:spacing w:line="500" w:lineRule="exact"/>
        <w:ind w:firstLine="560"/>
        <w:rPr>
          <w:rFonts w:eastAsia="方正仿宋_GBK"/>
          <w:color w:val="000000"/>
          <w:sz w:val="28"/>
        </w:rPr>
      </w:pPr>
      <w:r>
        <w:rPr>
          <w:rFonts w:eastAsia="方正仿宋_GBK"/>
          <w:color w:val="000000"/>
          <w:sz w:val="28"/>
        </w:rPr>
        <w:t>六、着力加强党外代表人士队伍建设，为打造“经济强区、美丽丰南”提供强大人才支撑</w:t>
      </w:r>
    </w:p>
    <w:p>
      <w:pPr>
        <w:spacing w:line="500" w:lineRule="exact"/>
        <w:ind w:firstLine="560"/>
        <w:rPr>
          <w:rFonts w:eastAsia="方正仿宋_GBK"/>
          <w:color w:val="000000"/>
          <w:sz w:val="28"/>
        </w:rPr>
      </w:pPr>
      <w:r>
        <w:rPr>
          <w:rFonts w:eastAsia="方正仿宋_GBK"/>
          <w:color w:val="000000"/>
          <w:sz w:val="28"/>
        </w:rPr>
        <w:t>一是做好党外代表人士的发现、培养和使用工作，打牢发现储备这个基础；二是认真落实把部分优秀人才留在党外的政策，加强对中青年党外后备人才的物色和培养；三是对优秀党外代表人士搞好政治安排及推动做好实职安排工作。</w:t>
      </w:r>
    </w:p>
    <w:p>
      <w:pPr>
        <w:ind w:firstLine="560" w:firstLineChars="200"/>
        <w:outlineLvl w:val="0"/>
        <w:rPr>
          <w:rFonts w:ascii="方正仿宋简体" w:hAnsi="仿宋" w:eastAsia="方正仿宋简体" w:cs="仿宋"/>
          <w:bCs/>
          <w:color w:val="000000"/>
          <w:sz w:val="28"/>
          <w:szCs w:val="28"/>
        </w:rPr>
      </w:pPr>
      <w:bookmarkStart w:id="5" w:name="_Toc_3_3_0000000017"/>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2016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302</w:t>
            </w:r>
            <w:r>
              <w:rPr>
                <w:rFonts w:hint="eastAsia" w:ascii="方正小标宋_GBK" w:eastAsia="方正小标宋_GBK"/>
                <w:sz w:val="24"/>
              </w:rPr>
              <w:t>政治协商会议唐山市丰南区委员会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政治协商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就大政方针及重要问题在决策之前和决策执行过程中进行协商。</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政协会议</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14.40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各类会议是政协履行职能的主要形式，是开展工作的主体，是委员履行自身职责的主要途径。</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会议活动组织率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协商民主</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根据形势、任务，围绕全区工作大局，安排协商活动，召开专题座谈会等。</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专题协商完成率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民主监督</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有效履行民主监督职责。通过意见、建议、批评的方式对国家法律法规的实施、重大方针政策的贯彻执行、县委、政府的工作进行政治监督。</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监督事务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组织、鼓励和引导委员深入实际，通过提案等形式进行监督。通过参加党委政府组织的调查和检查活动实施监督。</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重大工作参与率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提案工作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征集提案，对政协委员和政协各参加单位的提案进行审查立案，立案后交承办单位办理，适时督办。</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提案办理率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参政议政</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通过对重大问题以及人民群众普遍关心的问题，开展调查研究，向区委、区政府提出意见和建议。</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发挥政协作为扩大社会各界有序参与的重要渠道作用，探索开展活动的新方法新途径，充分调动委员参政议政积极，向区委、区政府提出高质量的建议案。</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专题调研</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关注重点，围绕难点，针对热点，选择经济社会发展中具有综合性、全局性、前瞻性的课题，组织开展视察、考察，座谈调研，专家论证等专题调研活动。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努力汇聚才智，为经济社会发展，建睿智之言，献务实之策，不断提高建言立论的质量和水平，全力打造</w:t>
            </w:r>
            <w:r>
              <w:rPr>
                <w:rFonts w:hint="cs" w:ascii="方正书宋_GBK" w:eastAsia="方正书宋_GBK"/>
              </w:rPr>
              <w:t>“</w:t>
            </w:r>
            <w:r>
              <w:rPr>
                <w:rFonts w:hint="eastAsia" w:ascii="方正书宋_GBK" w:eastAsia="方正书宋_GBK"/>
              </w:rPr>
              <w:t>精品</w:t>
            </w:r>
            <w:r>
              <w:rPr>
                <w:rFonts w:hint="cs" w:ascii="方正书宋_GBK" w:eastAsia="方正书宋_GBK"/>
              </w:rPr>
              <w:t>”</w:t>
            </w:r>
            <w:r>
              <w:rPr>
                <w:rFonts w:hint="eastAsia" w:ascii="方正书宋_GBK" w:eastAsia="方正书宋_GBK"/>
              </w:rPr>
              <w:t>，在参政中增加权重，在议政中体现价值。</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重点课题和专项调研完成率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社情民意</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了解社会不同阶层、群体的愿望和要求，反映给决策部门。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密切联系群众，反映社情民意，努力做到协调关系、化解矛盾、理顺情绪，增进社会各阶层不同利益群体的和谐和稳定。</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政协事务管理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61.55</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21.55</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政协自身建设更加扎实，工作科学化水平进一步提升。文史资料的社会功能增强，理论研究成果服务履职作用明显。</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委员学习培训率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综合事务管理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区政协机关的外事工作，处理群众来信来访，机构编制、人事任免、调配及人员培训、考核奖惩、工资福利，后勤保障、车辆管理、机关经费管理、资产管理、审计，机关接待、离退休人员服务，与有关部门配合，开展祖国统一联谊活动和民族宗教工作，以及承办区政协主席、副主席、秘书长交办的其他事项。</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开展统战工作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4.16</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政策和法律法规，向区委全面反映统一战线情况，提出开展统一战线工作的意见和建议，组织协调统一战线政策和法律法规的贯彻落实，检查执行情况，协调统一战线各个方面关系。负责开展统一战线宣传工作。</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民主党派和无党派代表人士工作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负责联系民主党派，牵头协调无党派人士工作，研究贯彻做好民主党派和无党派人士工作的方针政策，支持民主党派和无党派人士履行职责、发挥作用，支持、帮助民主党派和无党派人士加强自身建设。</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意见建议条数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r>
              <w:rPr>
                <w:rFonts w:hint="eastAsia" w:ascii="方正书宋_GBK" w:eastAsia="方正书宋_GBK"/>
              </w:rPr>
              <w:t>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党外知识分子统战</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调查研究党外知识分子的情况，反映意见，协调关系，提出政策建议，联系党外知识分子代表人士。</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送服务</w:t>
            </w:r>
            <w:r>
              <w:rPr>
                <w:rFonts w:hint="cs" w:ascii="方正书宋_GBK" w:eastAsia="方正书宋_GBK"/>
              </w:rPr>
              <w:t>”</w:t>
            </w:r>
            <w:r>
              <w:rPr>
                <w:rFonts w:hint="eastAsia" w:ascii="方正书宋_GBK" w:eastAsia="方正书宋_GBK"/>
              </w:rPr>
              <w:t>下乡次数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民族宗教统战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1.92</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cs"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非公经济人士统战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0.96</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调查研究非公有制经济人士的情况，协调关系，提出政策建议，团结、服务、引导、教育非公有制经济人士，开展思想政治工作。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综合评价合格率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0.7</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港澳台海外统战工作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开展港澳台海外统一战线工作，研究和贯彻执行对香港、澳门地区统一战线工作方针和法律法规，做好台胞、台属有关工作。负责区委交办的其他港澳、对台工作。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基层统战工作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基层党委（党组）统一战线工作，负责基层统战委员和统战干部的培训工作；协调政府有关部门统一战线工作，协助做好民族、宗教等工作部门领导班子成员推荐工作；领导工商联党组，指导工商联工作；做好有关统战团体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建立健全全区大统战工作格局。</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培训考察人次数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人次以下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党外代表人士队伍建设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牵头协调党外代表人士管理工作。加强党外代表人士的发现储备，择优向有关部门推荐提名。</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党外代表人士队伍建设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提升党外代表人士整体素质，增强党外代表人士参政议政、组织领导和合作共事能力。</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遴选推荐人数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跟踪培养人数</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人以上</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6"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lang w:eastAsia="zh-CN"/>
              </w:rPr>
            </w:pPr>
          </w:p>
        </w:tc>
      </w:tr>
    </w:tbl>
    <w:p>
      <w:pPr>
        <w:spacing w:line="300" w:lineRule="exact"/>
        <w:outlineLvl w:val="0"/>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173.58</w:t>
      </w:r>
      <w:r>
        <w:rPr>
          <w:rFonts w:eastAsia="方正仿宋_GBK"/>
          <w:color w:val="000000"/>
          <w:sz w:val="28"/>
        </w:rPr>
        <w:t>万元（详见下表）。本年度拟购置固定资产总额为</w:t>
      </w:r>
      <w:r>
        <w:rPr>
          <w:rFonts w:hint="eastAsia" w:eastAsia="方正仿宋_GBK"/>
          <w:color w:val="000000"/>
          <w:sz w:val="28"/>
          <w:lang w:val="en-US" w:eastAsia="zh-CN"/>
        </w:rPr>
        <w:t>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2015</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173.58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7</w:t>
            </w:r>
          </w:p>
        </w:tc>
        <w:tc>
          <w:tcPr>
            <w:tcW w:w="2835" w:type="dxa"/>
            <w:vAlign w:val="center"/>
          </w:tcPr>
          <w:p>
            <w:pPr>
              <w:pStyle w:val="21"/>
              <w:rPr>
                <w:rFonts w:hint="default" w:eastAsia="方正书宋_GBK"/>
                <w:lang w:val="en-US" w:eastAsia="zh-CN"/>
              </w:rPr>
            </w:pPr>
            <w:r>
              <w:rPr>
                <w:rFonts w:hint="eastAsia"/>
                <w:lang w:val="en-US" w:eastAsia="zh-CN"/>
              </w:rPr>
              <w:t>141.19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r>
              <w:rPr>
                <w:rFonts w:hint="eastAsia"/>
                <w:lang w:val="en-US" w:eastAsia="zh-CN"/>
              </w:rPr>
              <w:t>66</w:t>
            </w:r>
          </w:p>
        </w:tc>
        <w:tc>
          <w:tcPr>
            <w:tcW w:w="2835" w:type="dxa"/>
            <w:vAlign w:val="center"/>
          </w:tcPr>
          <w:p>
            <w:pPr>
              <w:pStyle w:val="21"/>
              <w:rPr>
                <w:rFonts w:hint="default" w:eastAsia="方正书宋_GBK"/>
                <w:lang w:val="en-US" w:eastAsia="zh-CN"/>
              </w:rPr>
            </w:pPr>
            <w:r>
              <w:rPr>
                <w:rFonts w:hint="eastAsia"/>
                <w:lang w:val="en-US" w:eastAsia="zh-CN"/>
              </w:rPr>
              <w:t>32.39</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A8674B2"/>
    <w:rsid w:val="1F3A1A74"/>
    <w:rsid w:val="235A6E60"/>
    <w:rsid w:val="33DE37FC"/>
    <w:rsid w:val="3C3739C2"/>
    <w:rsid w:val="454E67C6"/>
    <w:rsid w:val="4624416E"/>
    <w:rsid w:val="47AB5DF4"/>
    <w:rsid w:val="58896749"/>
    <w:rsid w:val="64765E52"/>
    <w:rsid w:val="6707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qFormat/>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11855</Words>
  <Characters>13306</Characters>
  <Lines>41</Lines>
  <Paragraphs>11</Paragraphs>
  <TotalTime>1</TotalTime>
  <ScaleCrop>false</ScaleCrop>
  <LinksUpToDate>false</LinksUpToDate>
  <CharactersWithSpaces>13701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2024-11-20T01:14:54Z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41C95FC81F904EB28373737FA3080F5F_13</vt:lpwstr>
  </property>
</Properties>
</file>