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hint="eastAsia" w:ascii="黑体" w:hAnsi="黑体" w:eastAsia="黑体" w:cs="黑体"/>
          <w:b/>
          <w:color w:val="000000"/>
          <w:sz w:val="44"/>
          <w:lang w:val="en-US" w:eastAsia="zh-CN"/>
        </w:rPr>
        <w:t>2017</w:t>
      </w:r>
      <w:r>
        <w:rPr>
          <w:rFonts w:ascii="黑体" w:hAnsi="黑体" w:eastAsia="黑体" w:cs="黑体"/>
          <w:b/>
          <w:color w:val="000000"/>
          <w:sz w:val="44"/>
        </w:rPr>
        <w:t>年部门预算信息公开目录</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部门预算公开表</w:t>
      </w:r>
    </w:p>
    <w:p>
      <w:pPr>
        <w:pStyle w:val="9"/>
        <w:tabs>
          <w:tab w:val="right" w:leader="dot" w:pos="14562"/>
        </w:tabs>
        <w:rPr>
          <w:lang w:eastAsia="zh-CN"/>
        </w:rPr>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fldChar w:fldCharType="end"/>
      </w:r>
    </w:p>
    <w:p>
      <w:pPr>
        <w:pStyle w:val="9"/>
        <w:tabs>
          <w:tab w:val="right" w:leader="dot" w:pos="14562"/>
        </w:tabs>
        <w:rPr>
          <w:lang w:eastAsia="zh-CN"/>
        </w:rPr>
      </w:pPr>
      <w:r>
        <w:fldChar w:fldCharType="begin"/>
      </w:r>
      <w:r>
        <w:instrText xml:space="preserve"> HYPERLINK \l "_Toc_2_2_0000000002" </w:instrText>
      </w:r>
      <w:r>
        <w:fldChar w:fldCharType="separate"/>
      </w:r>
      <w:r>
        <w:t>部门预算收入总表</w:t>
      </w:r>
      <w:r>
        <w:fldChar w:fldCharType="end"/>
      </w:r>
    </w:p>
    <w:p>
      <w:pPr>
        <w:pStyle w:val="9"/>
        <w:tabs>
          <w:tab w:val="right" w:leader="dot" w:pos="14562"/>
        </w:tabs>
      </w:pPr>
      <w:r>
        <w:fldChar w:fldCharType="begin"/>
      </w:r>
      <w:r>
        <w:instrText xml:space="preserve"> HYPERLINK \l "_Toc_2_2_0000000003" </w:instrText>
      </w:r>
      <w:r>
        <w:fldChar w:fldCharType="separate"/>
      </w:r>
      <w:r>
        <w:t>部门预算支出总表</w:t>
      </w:r>
      <w:r>
        <w:fldChar w:fldCharType="end"/>
      </w:r>
    </w:p>
    <w:p>
      <w:pPr>
        <w:pStyle w:val="9"/>
        <w:tabs>
          <w:tab w:val="right" w:leader="dot" w:pos="14562"/>
        </w:tabs>
      </w:pPr>
      <w:r>
        <w:fldChar w:fldCharType="begin"/>
      </w:r>
      <w:r>
        <w:instrText xml:space="preserve"> HYPERLINK \l "_Toc_2_2_0000000004" </w:instrText>
      </w:r>
      <w:r>
        <w:fldChar w:fldCharType="separate"/>
      </w:r>
      <w:r>
        <w:t>部门预算财政拨款收支总表</w:t>
      </w:r>
      <w:r>
        <w:fldChar w:fldCharType="end"/>
      </w:r>
    </w:p>
    <w:p>
      <w:pPr>
        <w:pStyle w:val="9"/>
        <w:tabs>
          <w:tab w:val="right" w:leader="dot" w:pos="14562"/>
        </w:tabs>
      </w:pPr>
      <w:r>
        <w:fldChar w:fldCharType="begin"/>
      </w:r>
      <w:r>
        <w:instrText xml:space="preserve"> HYPERLINK \l "_Toc_2_2_0000000005" </w:instrText>
      </w:r>
      <w:r>
        <w:fldChar w:fldCharType="separate"/>
      </w:r>
      <w:r>
        <w:t>部门预算一般公共预算财政拨款支出表</w:t>
      </w:r>
      <w:r>
        <w:fldChar w:fldCharType="end"/>
      </w:r>
    </w:p>
    <w:p>
      <w:pPr>
        <w:pStyle w:val="9"/>
        <w:tabs>
          <w:tab w:val="right" w:leader="dot" w:pos="14562"/>
        </w:tabs>
      </w:pPr>
      <w:r>
        <w:fldChar w:fldCharType="begin"/>
      </w:r>
      <w:r>
        <w:instrText xml:space="preserve"> HYPERLINK \l "_Toc_2_2_0000000006" </w:instrText>
      </w:r>
      <w:r>
        <w:fldChar w:fldCharType="separate"/>
      </w:r>
      <w:r>
        <w:t>部门预算一般公共预算财政拨款基本支出表</w:t>
      </w:r>
      <w:r>
        <w:fldChar w:fldCharType="end"/>
      </w:r>
    </w:p>
    <w:p>
      <w:pPr>
        <w:pStyle w:val="9"/>
        <w:tabs>
          <w:tab w:val="right" w:leader="dot" w:pos="14562"/>
        </w:tabs>
      </w:pPr>
      <w:r>
        <w:fldChar w:fldCharType="begin"/>
      </w:r>
      <w:r>
        <w:instrText xml:space="preserve"> HYPERLINK \l "_Toc_2_2_0000000007" </w:instrText>
      </w:r>
      <w:r>
        <w:fldChar w:fldCharType="separate"/>
      </w:r>
      <w:r>
        <w:t>部门预算政府性基金预算财政拨款支出表</w:t>
      </w:r>
      <w:r>
        <w:fldChar w:fldCharType="end"/>
      </w:r>
    </w:p>
    <w:p>
      <w:pPr>
        <w:pStyle w:val="9"/>
        <w:tabs>
          <w:tab w:val="right" w:leader="dot" w:pos="14562"/>
        </w:tabs>
        <w:rPr>
          <w:lang w:eastAsia="zh-CN"/>
        </w:rPr>
      </w:pPr>
      <w:r>
        <w:fldChar w:fldCharType="begin"/>
      </w:r>
      <w:r>
        <w:instrText xml:space="preserve"> HYPERLINK \l "_Toc_2_2_0000000008" </w:instrText>
      </w:r>
      <w:r>
        <w:fldChar w:fldCharType="separate"/>
      </w:r>
      <w:r>
        <w:t>部门预算国有资本经营预算财政拨款支出表</w:t>
      </w:r>
      <w:r>
        <w:fldChar w:fldCharType="end"/>
      </w:r>
    </w:p>
    <w:p>
      <w:pPr>
        <w:pStyle w:val="9"/>
        <w:tabs>
          <w:tab w:val="right" w:leader="dot" w:pos="14562"/>
        </w:tabs>
      </w:pPr>
      <w:r>
        <w:fldChar w:fldCharType="begin"/>
      </w:r>
      <w:r>
        <w:instrText xml:space="preserve"> HYPERLINK \l "_Toc_2_2_0000000009" </w:instrText>
      </w:r>
      <w:r>
        <w:fldChar w:fldCharType="separate"/>
      </w:r>
      <w:r>
        <w:t>部门预算财政拨款“三公”经费支出表</w:t>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9"/>
        <w:tabs>
          <w:tab w:val="right" w:leader="dot" w:pos="14562"/>
        </w:tabs>
        <w:rPr>
          <w:lang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fldChar w:fldCharType="end"/>
      </w:r>
    </w:p>
    <w:p>
      <w:pPr>
        <w:pStyle w:val="9"/>
        <w:tabs>
          <w:tab w:val="right" w:leader="dot" w:pos="14562"/>
        </w:tabs>
      </w:pPr>
      <w:r>
        <w:fldChar w:fldCharType="begin"/>
      </w:r>
      <w:r>
        <w:instrText xml:space="preserve"> HYPERLINK \l "_Toc_3_3_0000000011" </w:instrText>
      </w:r>
      <w:r>
        <w:fldChar w:fldCharType="separate"/>
      </w:r>
      <w:r>
        <w:t>二、部门预算安排的总体情况</w:t>
      </w:r>
      <w:r>
        <w:fldChar w:fldCharType="end"/>
      </w:r>
    </w:p>
    <w:p>
      <w:pPr>
        <w:pStyle w:val="9"/>
        <w:tabs>
          <w:tab w:val="right" w:leader="dot" w:pos="14562"/>
        </w:tabs>
      </w:pPr>
      <w:r>
        <w:fldChar w:fldCharType="begin"/>
      </w:r>
      <w:r>
        <w:instrText xml:space="preserve"> HYPERLINK \l "_Toc_3_3_0000000012" </w:instrText>
      </w:r>
      <w:r>
        <w:fldChar w:fldCharType="separate"/>
      </w:r>
      <w:r>
        <w:t>三、机关运行经费安排情况</w:t>
      </w:r>
      <w:r>
        <w:fldChar w:fldCharType="end"/>
      </w:r>
    </w:p>
    <w:p>
      <w:pPr>
        <w:pStyle w:val="9"/>
        <w:tabs>
          <w:tab w:val="right" w:leader="dot" w:pos="14562"/>
        </w:tabs>
      </w:pPr>
      <w:r>
        <w:fldChar w:fldCharType="begin"/>
      </w:r>
      <w:r>
        <w:instrText xml:space="preserve"> HYPERLINK \l "_Toc_3_3_0000000013" </w:instrText>
      </w:r>
      <w:r>
        <w:fldChar w:fldCharType="separate"/>
      </w:r>
      <w:r>
        <w:t>四、财政拨款“三公”经费预算情况及增减变化原因</w:t>
      </w:r>
      <w:r>
        <w:fldChar w:fldCharType="end"/>
      </w:r>
    </w:p>
    <w:p>
      <w:pPr>
        <w:pStyle w:val="9"/>
        <w:tabs>
          <w:tab w:val="right" w:leader="dot" w:pos="14562"/>
        </w:tabs>
        <w:rPr>
          <w:lang w:eastAsia="zh-CN"/>
        </w:rPr>
      </w:pPr>
      <w:r>
        <w:fldChar w:fldCharType="begin"/>
      </w:r>
      <w:r>
        <w:instrText xml:space="preserve"> HYPERLINK \l "_Toc_3_3_0000000014" </w:instrText>
      </w:r>
      <w:r>
        <w:fldChar w:fldCharType="separate"/>
      </w:r>
      <w:r>
        <w:t>五、绩效预算信息</w:t>
      </w:r>
      <w:r>
        <w:fldChar w:fldCharType="end"/>
      </w:r>
    </w:p>
    <w:p>
      <w:pPr>
        <w:pStyle w:val="9"/>
        <w:tabs>
          <w:tab w:val="right" w:leader="dot" w:pos="14562"/>
        </w:tabs>
      </w:pPr>
      <w:r>
        <w:fldChar w:fldCharType="begin"/>
      </w:r>
      <w:r>
        <w:instrText xml:space="preserve"> HYPERLINK \l "_Toc_3_3_0000000017" </w:instrText>
      </w:r>
      <w:r>
        <w:fldChar w:fldCharType="separate"/>
      </w:r>
      <w:r>
        <w:t>六、政府采购预算情况</w:t>
      </w:r>
      <w:r>
        <w:fldChar w:fldCharType="end"/>
      </w:r>
    </w:p>
    <w:p>
      <w:pPr>
        <w:pStyle w:val="9"/>
        <w:tabs>
          <w:tab w:val="right" w:leader="dot" w:pos="14562"/>
        </w:tabs>
      </w:pPr>
      <w:r>
        <w:fldChar w:fldCharType="begin"/>
      </w:r>
      <w:r>
        <w:instrText xml:space="preserve"> HYPERLINK \l "_Toc_3_3_0000000018" </w:instrText>
      </w:r>
      <w:r>
        <w:fldChar w:fldCharType="separate"/>
      </w:r>
      <w:r>
        <w:t>七、国有资产信息</w:t>
      </w:r>
      <w:r>
        <w:fldChar w:fldCharType="end"/>
      </w:r>
    </w:p>
    <w:p>
      <w:pPr>
        <w:pStyle w:val="9"/>
        <w:tabs>
          <w:tab w:val="right" w:leader="dot" w:pos="14562"/>
        </w:tabs>
      </w:pPr>
      <w:r>
        <w:fldChar w:fldCharType="begin"/>
      </w:r>
      <w:r>
        <w:instrText xml:space="preserve"> HYPERLINK \l "_Toc_3_3_0000000019" </w:instrText>
      </w:r>
      <w:r>
        <w:fldChar w:fldCharType="separate"/>
      </w:r>
      <w:r>
        <w:t>八、名词解释</w:t>
      </w:r>
      <w:r>
        <w:fldChar w:fldCharType="end"/>
      </w:r>
    </w:p>
    <w:p>
      <w:pPr>
        <w:pStyle w:val="9"/>
        <w:tabs>
          <w:tab w:val="right" w:leader="dot" w:pos="14562"/>
        </w:tabs>
      </w:pPr>
      <w:r>
        <w:fldChar w:fldCharType="begin"/>
      </w:r>
      <w:r>
        <w:instrText xml:space="preserve"> HYPERLINK \l "_Toc_3_3_0000000020" </w:instrText>
      </w:r>
      <w:r>
        <w:fldChar w:fldCharType="separate"/>
      </w:r>
      <w:r>
        <w:t>九、其他需要说明的事项</w:t>
      </w:r>
      <w:r>
        <w:fldChar w:fldCharType="end"/>
      </w:r>
    </w:p>
    <w:p>
      <w:r>
        <w:fldChar w:fldCharType="end"/>
      </w:r>
    </w:p>
    <w:p/>
    <w:p/>
    <w:p/>
    <w:p/>
    <w:p/>
    <w:p/>
    <w:p/>
    <w:p/>
    <w:p/>
    <w:p/>
    <w:p/>
    <w:p/>
    <w:p/>
    <w:tbl>
      <w:tblPr>
        <w:tblStyle w:val="12"/>
        <w:tblW w:w="148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555"/>
        <w:gridCol w:w="1531"/>
        <w:gridCol w:w="5457"/>
        <w:gridCol w:w="23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4860" w:type="dxa"/>
            <w:gridSpan w:val="4"/>
            <w:tcBorders>
              <w:top w:val="nil"/>
              <w:left w:val="nil"/>
              <w:bottom w:val="nil"/>
              <w:right w:val="nil"/>
            </w:tcBorders>
            <w:shd w:val="clear" w:color="auto" w:fill="auto"/>
            <w:noWrap/>
            <w:vAlign w:val="center"/>
          </w:tcPr>
          <w:p>
            <w:pPr>
              <w:jc w:val="center"/>
              <w:rPr>
                <w:sz w:val="28"/>
                <w:szCs w:val="28"/>
              </w:rPr>
            </w:pPr>
            <w:r>
              <w:rPr>
                <w:rFonts w:hint="default"/>
                <w:sz w:val="28"/>
                <w:szCs w:val="28"/>
                <w:lang w:val="en-US" w:eastAsia="zh-CN"/>
              </w:rPr>
              <w:t>部门预算收支总表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90" w:hRule="atLeast"/>
        </w:trPr>
        <w:tc>
          <w:tcPr>
            <w:tcW w:w="0" w:type="auto"/>
            <w:gridSpan w:val="2"/>
            <w:tcBorders>
              <w:top w:val="nil"/>
              <w:left w:val="nil"/>
              <w:bottom w:val="nil"/>
              <w:right w:val="nil"/>
            </w:tcBorders>
            <w:shd w:val="clear" w:color="auto" w:fill="FFFFFF"/>
            <w:noWrap/>
            <w:vAlign w:val="center"/>
          </w:tcPr>
          <w:p>
            <w:pPr>
              <w:rPr>
                <w:rFonts w:hint="default"/>
              </w:rPr>
            </w:pPr>
            <w:r>
              <w:rPr>
                <w:rFonts w:hint="eastAsia" w:eastAsia="宋体"/>
                <w:sz w:val="24"/>
                <w:szCs w:val="24"/>
                <w:lang w:val="en-US" w:eastAsia="zh-CN"/>
              </w:rPr>
              <w:t>中国人民政治协商会议唐山市丰南区委员会</w:t>
            </w:r>
          </w:p>
        </w:tc>
        <w:tc>
          <w:tcPr>
            <w:tcW w:w="0" w:type="auto"/>
            <w:tcBorders>
              <w:top w:val="nil"/>
              <w:left w:val="nil"/>
              <w:bottom w:val="nil"/>
              <w:right w:val="nil"/>
            </w:tcBorders>
            <w:shd w:val="clear" w:color="auto" w:fill="FFFFFF"/>
            <w:noWrap/>
            <w:vAlign w:val="center"/>
          </w:tcPr>
          <w:p>
            <w:pPr>
              <w:rPr>
                <w:rFonts w:hint="default"/>
              </w:rPr>
            </w:pPr>
          </w:p>
        </w:tc>
        <w:tc>
          <w:tcPr>
            <w:tcW w:w="0" w:type="auto"/>
            <w:tcBorders>
              <w:top w:val="nil"/>
              <w:left w:val="nil"/>
              <w:bottom w:val="nil"/>
              <w:right w:val="nil"/>
            </w:tcBorders>
            <w:shd w:val="clear" w:color="auto" w:fill="FFFFFF"/>
            <w:noWrap/>
            <w:vAlign w:val="center"/>
          </w:tcPr>
          <w:p>
            <w:pPr>
              <w:rPr>
                <w:rFonts w:hint="default"/>
              </w:rPr>
            </w:pPr>
            <w:r>
              <w:rPr>
                <w:lang w:val="en-US" w:eastAsia="zh-CN"/>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default"/>
              </w:rPr>
            </w:pPr>
            <w:r>
              <w:rPr>
                <w:lang w:val="en-US" w:eastAsia="zh-CN"/>
              </w:rPr>
              <w:t>收入</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default"/>
              </w:rPr>
            </w:pPr>
            <w:r>
              <w:rPr>
                <w:lang w:val="en-US" w:eastAsia="zh-CN"/>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default"/>
              </w:rPr>
            </w:pPr>
            <w:r>
              <w:rPr>
                <w:lang w:val="en-US" w:eastAsia="zh-CN"/>
              </w:rPr>
              <w:t>项</w:t>
            </w:r>
            <w:r>
              <w:rPr>
                <w:rFonts w:hint="default"/>
                <w:lang w:val="en-US" w:eastAsia="zh-CN"/>
              </w:rPr>
              <w:t xml:space="preserve">    </w:t>
            </w:r>
            <w:r>
              <w:rPr>
                <w:lang w:val="en-US" w:eastAsia="zh-CN"/>
              </w:rPr>
              <w:t>目</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default"/>
              </w:rPr>
            </w:pPr>
            <w:r>
              <w:rPr>
                <w:rFonts w:hint="default"/>
                <w:lang w:val="en-US" w:eastAsia="zh-CN"/>
              </w:rPr>
              <w:t>预算数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default"/>
              </w:rPr>
            </w:pPr>
            <w:r>
              <w:rPr>
                <w:lang w:val="en-US" w:eastAsia="zh-CN"/>
              </w:rPr>
              <w:t>项</w:t>
            </w:r>
            <w:r>
              <w:rPr>
                <w:rFonts w:hint="default"/>
                <w:lang w:val="en-US" w:eastAsia="zh-CN"/>
              </w:rPr>
              <w:t xml:space="preserve">    </w:t>
            </w:r>
            <w:r>
              <w:rPr>
                <w:lang w:val="en-US" w:eastAsia="zh-CN"/>
              </w:rPr>
              <w:t>目</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default"/>
              </w:rPr>
            </w:pPr>
            <w:r>
              <w:rPr>
                <w:rFonts w:hint="default"/>
                <w:lang w:val="en-US" w:eastAsia="zh-CN"/>
              </w:rPr>
              <w:t>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rPr>
            </w:pPr>
            <w:r>
              <w:rPr>
                <w:rFonts w:hint="default"/>
                <w:lang w:val="en-US" w:eastAsia="zh-CN"/>
              </w:rPr>
              <w:t>一、财政拨款收入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rPr>
            </w:pPr>
            <w:r>
              <w:rPr>
                <w:rFonts w:hint="default"/>
                <w:lang w:val="en-US" w:eastAsia="zh-CN"/>
              </w:rPr>
              <w:t xml:space="preserve">363.81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default"/>
              </w:rPr>
            </w:pPr>
            <w:r>
              <w:rPr>
                <w:rFonts w:hint="default"/>
                <w:lang w:val="en-US" w:eastAsia="zh-CN"/>
              </w:rPr>
              <w:t>一、一般公共服务支出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rPr>
            </w:pPr>
            <w:r>
              <w:rPr>
                <w:rFonts w:hint="default"/>
                <w:lang w:val="en-US" w:eastAsia="zh-CN"/>
              </w:rPr>
              <w:t xml:space="preserve">297.81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default"/>
              </w:rPr>
            </w:pPr>
            <w:r>
              <w:rPr>
                <w:rFonts w:hint="default"/>
                <w:lang w:val="en-US" w:eastAsia="zh-CN"/>
              </w:rPr>
              <w:t>二、上级补助收入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default"/>
              </w:rPr>
            </w:pPr>
            <w:r>
              <w:rPr>
                <w:rFonts w:hint="default"/>
                <w:lang w:val="en-US" w:eastAsia="zh-CN"/>
              </w:rPr>
              <w:t>二、外交支出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default"/>
              </w:rPr>
            </w:pPr>
            <w:r>
              <w:rPr>
                <w:rFonts w:hint="default"/>
                <w:lang w:val="en-US" w:eastAsia="zh-CN"/>
              </w:rPr>
              <w:t>三、事业收入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default"/>
              </w:rPr>
            </w:pPr>
            <w:r>
              <w:rPr>
                <w:rFonts w:hint="default"/>
                <w:lang w:val="en-US" w:eastAsia="zh-CN"/>
              </w:rPr>
              <w:t>三、国防支出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default"/>
              </w:rPr>
            </w:pPr>
            <w:r>
              <w:rPr>
                <w:rFonts w:hint="default"/>
                <w:lang w:val="en-US" w:eastAsia="zh-CN"/>
              </w:rPr>
              <w:t>四、经营收入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default"/>
              </w:rPr>
            </w:pPr>
            <w:r>
              <w:rPr>
                <w:rFonts w:hint="default"/>
                <w:lang w:val="en-US" w:eastAsia="zh-CN"/>
              </w:rPr>
              <w:t>四、公共安全支出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default"/>
              </w:rPr>
            </w:pPr>
            <w:r>
              <w:rPr>
                <w:rFonts w:hint="default"/>
                <w:lang w:val="en-US" w:eastAsia="zh-CN"/>
              </w:rPr>
              <w:t>五、附属单位上缴收入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default"/>
              </w:rPr>
            </w:pPr>
            <w:r>
              <w:rPr>
                <w:rFonts w:hint="default"/>
                <w:lang w:val="en-US" w:eastAsia="zh-CN"/>
              </w:rPr>
              <w:t>五、教育支出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default"/>
              </w:rPr>
            </w:pPr>
            <w:r>
              <w:rPr>
                <w:rFonts w:hint="default"/>
                <w:lang w:val="en-US" w:eastAsia="zh-CN"/>
              </w:rPr>
              <w:t>六、其他收入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default"/>
              </w:rPr>
            </w:pPr>
            <w:r>
              <w:rPr>
                <w:rFonts w:hint="default"/>
                <w:lang w:val="en-US" w:eastAsia="zh-CN"/>
              </w:rPr>
              <w:t>六、科学技术支出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default"/>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default"/>
              </w:rPr>
            </w:pPr>
            <w:r>
              <w:rPr>
                <w:rFonts w:hint="default"/>
                <w:lang w:val="en-US" w:eastAsia="zh-CN"/>
              </w:rPr>
              <w:t>七、文化体育与传媒支出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default"/>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default"/>
              </w:rPr>
            </w:pPr>
            <w:r>
              <w:rPr>
                <w:rFonts w:hint="default"/>
                <w:lang w:val="en-US" w:eastAsia="zh-CN"/>
              </w:rPr>
              <w:t>八、社会保障和就业支出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rPr>
            </w:pPr>
            <w:r>
              <w:rPr>
                <w:rFonts w:hint="default"/>
                <w:lang w:val="en-US" w:eastAsia="zh-CN"/>
              </w:rPr>
              <w:t xml:space="preserve">30.80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default"/>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default"/>
              </w:rPr>
            </w:pPr>
            <w:r>
              <w:rPr>
                <w:rFonts w:hint="default"/>
                <w:lang w:val="en-US" w:eastAsia="zh-CN"/>
              </w:rPr>
              <w:t>九、医疗卫生与计划生育支出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rPr>
            </w:pPr>
            <w:r>
              <w:rPr>
                <w:rFonts w:hint="default"/>
                <w:lang w:val="en-US" w:eastAsia="zh-CN"/>
              </w:rPr>
              <w:t xml:space="preserve">22.00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default"/>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rPr>
            </w:pPr>
            <w:r>
              <w:rPr>
                <w:rFonts w:hint="default"/>
                <w:lang w:val="en-US" w:eastAsia="zh-CN"/>
              </w:rPr>
              <w:t>十、节能环保支出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default"/>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rPr>
            </w:pPr>
            <w:r>
              <w:rPr>
                <w:rFonts w:hint="default"/>
                <w:lang w:val="en-US" w:eastAsia="zh-CN"/>
              </w:rPr>
              <w:t>十一、城乡社区支出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default"/>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rPr>
            </w:pPr>
            <w:r>
              <w:rPr>
                <w:rFonts w:hint="default"/>
                <w:lang w:val="en-US" w:eastAsia="zh-CN"/>
              </w:rPr>
              <w:t>十二、农林水支出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default"/>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rPr>
            </w:pPr>
            <w:r>
              <w:rPr>
                <w:rFonts w:hint="default"/>
                <w:lang w:val="en-US" w:eastAsia="zh-CN"/>
              </w:rPr>
              <w:t>十三、交通运输支出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rPr>
            </w:pPr>
            <w:r>
              <w:rPr>
                <w:rFonts w:hint="default"/>
                <w:lang w:val="en-US" w:eastAsia="zh-CN"/>
              </w:rPr>
              <w:t>十四、资源勘探信息等支出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rPr>
            </w:pPr>
            <w:r>
              <w:rPr>
                <w:rFonts w:hint="default"/>
                <w:lang w:val="en-US" w:eastAsia="zh-CN"/>
              </w:rPr>
              <w:t>十五、商业服务业等支出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rPr>
            </w:pPr>
            <w:r>
              <w:rPr>
                <w:rFonts w:hint="default"/>
                <w:lang w:val="en-US" w:eastAsia="zh-CN"/>
              </w:rPr>
              <w:t>十六、金融支出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rPr>
            </w:pPr>
            <w:r>
              <w:rPr>
                <w:rFonts w:hint="default"/>
                <w:lang w:val="en-US" w:eastAsia="zh-CN"/>
              </w:rPr>
              <w:t>十七、援助其他地区支出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rPr>
            </w:pPr>
            <w:r>
              <w:rPr>
                <w:rFonts w:hint="default"/>
                <w:lang w:val="en-US" w:eastAsia="zh-CN"/>
              </w:rPr>
              <w:t>十八、国土海洋气象等支出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rPr>
            </w:pPr>
            <w:r>
              <w:rPr>
                <w:rFonts w:hint="default"/>
                <w:lang w:val="en-US" w:eastAsia="zh-CN"/>
              </w:rPr>
              <w:t>十九、住房保障支出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rPr>
            </w:pPr>
            <w:r>
              <w:rPr>
                <w:rFonts w:hint="default"/>
                <w:lang w:val="en-US" w:eastAsia="zh-CN"/>
              </w:rPr>
              <w:t xml:space="preserve">13.20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rPr>
            </w:pPr>
            <w:r>
              <w:rPr>
                <w:rFonts w:hint="default"/>
                <w:lang w:val="en-US" w:eastAsia="zh-CN"/>
              </w:rPr>
              <w:t>二十、粮油物资储备支出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rPr>
            </w:pPr>
            <w:r>
              <w:rPr>
                <w:rFonts w:hint="default"/>
                <w:lang w:val="en-US" w:eastAsia="zh-CN"/>
              </w:rPr>
              <w:t>二十一、国债还本付息支出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rPr>
            </w:pPr>
            <w:r>
              <w:rPr>
                <w:rFonts w:hint="default"/>
                <w:lang w:val="en-US" w:eastAsia="zh-CN"/>
              </w:rPr>
              <w:t>二十二、其他支出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rPr>
            </w:pPr>
            <w:r>
              <w:rPr>
                <w:rFonts w:hint="default"/>
                <w:lang w:val="en-US" w:eastAsia="zh-CN"/>
              </w:rPr>
              <w:t>本年收入合计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rPr>
            </w:pPr>
            <w:r>
              <w:rPr>
                <w:rFonts w:hint="default"/>
                <w:lang w:val="en-US" w:eastAsia="zh-CN"/>
              </w:rPr>
              <w:t xml:space="preserve">363.81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rPr>
            </w:pPr>
            <w:r>
              <w:rPr>
                <w:rFonts w:hint="default"/>
                <w:lang w:val="en-US" w:eastAsia="zh-CN"/>
              </w:rPr>
              <w:t>本年支出合计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rPr>
            </w:pPr>
            <w:r>
              <w:rPr>
                <w:rFonts w:hint="default"/>
                <w:lang w:val="en-US" w:eastAsia="zh-CN"/>
              </w:rPr>
              <w:t xml:space="preserve">363.81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rPr>
            </w:pPr>
            <w:r>
              <w:rPr>
                <w:rFonts w:hint="default"/>
                <w:lang w:val="en-US" w:eastAsia="zh-CN"/>
              </w:rPr>
              <w:t xml:space="preserve">         用事业基金弥补收支差额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rPr>
            </w:pPr>
            <w:r>
              <w:rPr>
                <w:rFonts w:hint="default"/>
                <w:lang w:val="en-US" w:eastAsia="zh-CN"/>
              </w:rPr>
              <w:t xml:space="preserve">                结余分配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rPr>
            </w:pPr>
            <w:r>
              <w:rPr>
                <w:rFonts w:hint="default"/>
                <w:lang w:val="en-US" w:eastAsia="zh-CN"/>
              </w:rPr>
              <w:t xml:space="preserve">         年初结转和结余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rPr>
            </w:pPr>
            <w:r>
              <w:rPr>
                <w:rFonts w:hint="default"/>
                <w:lang w:val="en-US" w:eastAsia="zh-CN"/>
              </w:rPr>
              <w:t xml:space="preserve">                年末结转和结余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default"/>
              </w:rPr>
            </w:pPr>
            <w:r>
              <w:rPr>
                <w:rFonts w:hint="default"/>
                <w:lang w:val="en-US" w:eastAsia="zh-CN"/>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rPr>
            </w:pPr>
            <w:r>
              <w:rPr>
                <w:rFonts w:hint="default"/>
                <w:lang w:val="en-US" w:eastAsia="zh-CN"/>
              </w:rPr>
              <w:t xml:space="preserve">363.81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default"/>
              </w:rPr>
            </w:pPr>
            <w:r>
              <w:rPr>
                <w:rFonts w:hint="default"/>
                <w:lang w:val="en-US" w:eastAsia="zh-CN"/>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rPr>
            </w:pPr>
            <w:r>
              <w:rPr>
                <w:rFonts w:hint="default"/>
                <w:lang w:val="en-US" w:eastAsia="zh-CN"/>
              </w:rPr>
              <w:t xml:space="preserve">363.81 </w:t>
            </w:r>
          </w:p>
        </w:tc>
      </w:tr>
    </w:tbl>
    <w:p/>
    <w:p/>
    <w:tbl>
      <w:tblPr>
        <w:tblStyle w:val="12"/>
        <w:tblW w:w="147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76"/>
        <w:gridCol w:w="3279"/>
        <w:gridCol w:w="1739"/>
        <w:gridCol w:w="1739"/>
        <w:gridCol w:w="1580"/>
        <w:gridCol w:w="1236"/>
        <w:gridCol w:w="1277"/>
        <w:gridCol w:w="1267"/>
        <w:gridCol w:w="14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0" w:hRule="atLeast"/>
        </w:trPr>
        <w:tc>
          <w:tcPr>
            <w:tcW w:w="14700" w:type="dxa"/>
            <w:gridSpan w:val="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方正小标宋_GBK" w:hAnsi="方正小标宋_GBK" w:eastAsia="方正小标宋_GBK" w:cs="方正小标宋_GBK"/>
                <w:i w:val="0"/>
                <w:iCs w:val="0"/>
                <w:color w:val="000000"/>
                <w:sz w:val="36"/>
                <w:szCs w:val="36"/>
                <w:u w:val="none"/>
              </w:rPr>
            </w:pPr>
            <w:r>
              <w:rPr>
                <w:rFonts w:hint="default" w:ascii="方正小标宋_GBK" w:hAnsi="方正小标宋_GBK" w:eastAsia="方正小标宋_GBK" w:cs="方正小标宋_GBK"/>
                <w:i w:val="0"/>
                <w:iCs w:val="0"/>
                <w:color w:val="000000"/>
                <w:kern w:val="0"/>
                <w:sz w:val="36"/>
                <w:szCs w:val="36"/>
                <w:u w:val="none"/>
                <w:lang w:val="en-US" w:eastAsia="zh-CN" w:bidi="ar"/>
              </w:rPr>
              <w:t>部门预算收入总表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0" w:hRule="atLeast"/>
        </w:trPr>
        <w:tc>
          <w:tcPr>
            <w:tcW w:w="6194" w:type="dxa"/>
            <w:gridSpan w:val="3"/>
            <w:tcBorders>
              <w:top w:val="nil"/>
              <w:left w:val="nil"/>
              <w:bottom w:val="nil"/>
              <w:right w:val="nil"/>
            </w:tcBorders>
            <w:shd w:val="clear" w:color="auto" w:fill="FFFFFF"/>
            <w:noWrap/>
            <w:vAlign w:val="center"/>
          </w:tcPr>
          <w:p>
            <w:pPr>
              <w:jc w:val="left"/>
              <w:rPr>
                <w:rFonts w:hint="default" w:ascii="Times New Roman" w:hAnsi="Times New Roman" w:eastAsia="宋体" w:cs="Times New Roman"/>
                <w:i w:val="0"/>
                <w:iCs w:val="0"/>
                <w:color w:val="000000"/>
                <w:sz w:val="22"/>
                <w:szCs w:val="22"/>
                <w:u w:val="none"/>
              </w:rPr>
            </w:pPr>
            <w:r>
              <w:rPr>
                <w:rFonts w:hint="eastAsia" w:eastAsia="宋体"/>
                <w:sz w:val="24"/>
                <w:szCs w:val="24"/>
                <w:lang w:val="en-US" w:eastAsia="zh-CN"/>
              </w:rPr>
              <w:t>中国人民政治协商会议唐山市丰南区委员会</w:t>
            </w:r>
          </w:p>
        </w:tc>
        <w:tc>
          <w:tcPr>
            <w:tcW w:w="1739" w:type="dxa"/>
            <w:tcBorders>
              <w:top w:val="nil"/>
              <w:left w:val="nil"/>
              <w:bottom w:val="nil"/>
              <w:right w:val="nil"/>
            </w:tcBorders>
            <w:shd w:val="clear" w:color="auto" w:fill="FFFFFF"/>
            <w:noWrap/>
            <w:vAlign w:val="center"/>
          </w:tcPr>
          <w:p>
            <w:pPr>
              <w:jc w:val="right"/>
              <w:rPr>
                <w:rFonts w:hint="default" w:ascii="Times New Roman" w:hAnsi="Times New Roman" w:eastAsia="宋体" w:cs="Times New Roman"/>
                <w:i w:val="0"/>
                <w:iCs w:val="0"/>
                <w:color w:val="000000"/>
                <w:sz w:val="22"/>
                <w:szCs w:val="22"/>
                <w:u w:val="none"/>
              </w:rPr>
            </w:pPr>
          </w:p>
        </w:tc>
        <w:tc>
          <w:tcPr>
            <w:tcW w:w="1580" w:type="dxa"/>
            <w:tcBorders>
              <w:top w:val="nil"/>
              <w:left w:val="nil"/>
              <w:bottom w:val="nil"/>
              <w:right w:val="nil"/>
            </w:tcBorders>
            <w:shd w:val="clear" w:color="auto" w:fill="FFFFFF"/>
            <w:noWrap/>
            <w:vAlign w:val="center"/>
          </w:tcPr>
          <w:p>
            <w:pPr>
              <w:jc w:val="center"/>
              <w:rPr>
                <w:rFonts w:hint="default" w:ascii="Times New Roman" w:hAnsi="Times New Roman" w:eastAsia="宋体" w:cs="Times New Roman"/>
                <w:i w:val="0"/>
                <w:iCs w:val="0"/>
                <w:color w:val="000000"/>
                <w:sz w:val="22"/>
                <w:szCs w:val="22"/>
                <w:u w:val="none"/>
              </w:rPr>
            </w:pPr>
          </w:p>
        </w:tc>
        <w:tc>
          <w:tcPr>
            <w:tcW w:w="1236" w:type="dxa"/>
            <w:tcBorders>
              <w:top w:val="nil"/>
              <w:left w:val="nil"/>
              <w:bottom w:val="nil"/>
              <w:right w:val="nil"/>
            </w:tcBorders>
            <w:shd w:val="clear" w:color="auto" w:fill="FFFFFF"/>
            <w:noWrap/>
            <w:vAlign w:val="center"/>
          </w:tcPr>
          <w:p>
            <w:pPr>
              <w:jc w:val="right"/>
              <w:rPr>
                <w:rFonts w:hint="default" w:ascii="Times New Roman" w:hAnsi="Times New Roman" w:eastAsia="宋体" w:cs="Times New Roman"/>
                <w:i w:val="0"/>
                <w:iCs w:val="0"/>
                <w:color w:val="000000"/>
                <w:sz w:val="22"/>
                <w:szCs w:val="22"/>
                <w:u w:val="none"/>
              </w:rPr>
            </w:pPr>
          </w:p>
        </w:tc>
        <w:tc>
          <w:tcPr>
            <w:tcW w:w="1277" w:type="dxa"/>
            <w:tcBorders>
              <w:top w:val="nil"/>
              <w:left w:val="nil"/>
              <w:bottom w:val="nil"/>
              <w:right w:val="nil"/>
            </w:tcBorders>
            <w:shd w:val="clear" w:color="auto" w:fill="FFFFFF"/>
            <w:noWrap/>
            <w:vAlign w:val="center"/>
          </w:tcPr>
          <w:p>
            <w:pPr>
              <w:jc w:val="right"/>
              <w:rPr>
                <w:rFonts w:hint="default" w:ascii="Times New Roman" w:hAnsi="Times New Roman" w:eastAsia="宋体" w:cs="Times New Roman"/>
                <w:i w:val="0"/>
                <w:iCs w:val="0"/>
                <w:color w:val="000000"/>
                <w:sz w:val="22"/>
                <w:szCs w:val="22"/>
                <w:u w:val="none"/>
              </w:rPr>
            </w:pPr>
          </w:p>
        </w:tc>
        <w:tc>
          <w:tcPr>
            <w:tcW w:w="1267" w:type="dxa"/>
            <w:tcBorders>
              <w:top w:val="nil"/>
              <w:left w:val="nil"/>
              <w:bottom w:val="nil"/>
              <w:right w:val="nil"/>
            </w:tcBorders>
            <w:shd w:val="clear" w:color="auto" w:fill="FFFFFF"/>
            <w:noWrap/>
            <w:vAlign w:val="center"/>
          </w:tcPr>
          <w:p>
            <w:pPr>
              <w:jc w:val="right"/>
              <w:rPr>
                <w:rFonts w:hint="default" w:ascii="Times New Roman" w:hAnsi="Times New Roman" w:eastAsia="宋体" w:cs="Times New Roman"/>
                <w:i w:val="0"/>
                <w:iCs w:val="0"/>
                <w:color w:val="000000"/>
                <w:sz w:val="22"/>
                <w:szCs w:val="22"/>
                <w:u w:val="none"/>
              </w:rPr>
            </w:pPr>
          </w:p>
        </w:tc>
        <w:tc>
          <w:tcPr>
            <w:tcW w:w="1407" w:type="dxa"/>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ascii="方正仿宋_GBK" w:hAnsi="方正仿宋_GBK" w:eastAsia="方正仿宋_GBK" w:cs="方正仿宋_GBK"/>
                <w:i w:val="0"/>
                <w:iCs w:val="0"/>
                <w:color w:val="000000"/>
                <w:kern w:val="0"/>
                <w:sz w:val="22"/>
                <w:szCs w:val="22"/>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6" w:hRule="atLeast"/>
        </w:trPr>
        <w:tc>
          <w:tcPr>
            <w:tcW w:w="445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w:t>
            </w:r>
          </w:p>
        </w:tc>
        <w:tc>
          <w:tcPr>
            <w:tcW w:w="173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ascii="方正书宋_GBK" w:hAnsi="方正书宋_GBK" w:eastAsia="方正书宋_GBK" w:cs="方正书宋_GBK"/>
                <w:b/>
                <w:bCs/>
                <w:i w:val="0"/>
                <w:iCs w:val="0"/>
                <w:color w:val="000000"/>
                <w:kern w:val="0"/>
                <w:sz w:val="22"/>
                <w:szCs w:val="22"/>
                <w:u w:val="none"/>
                <w:lang w:val="en-US" w:eastAsia="zh-CN" w:bidi="ar"/>
              </w:rPr>
              <w:t>本年收入合计</w:t>
            </w:r>
          </w:p>
        </w:tc>
        <w:tc>
          <w:tcPr>
            <w:tcW w:w="17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ascii="方正书宋_GBK" w:hAnsi="方正书宋_GBK" w:eastAsia="方正书宋_GBK" w:cs="方正书宋_GBK"/>
                <w:b/>
                <w:bCs/>
                <w:i w:val="0"/>
                <w:iCs w:val="0"/>
                <w:color w:val="000000"/>
                <w:kern w:val="0"/>
                <w:sz w:val="22"/>
                <w:szCs w:val="22"/>
                <w:u w:val="none"/>
                <w:lang w:val="en-US" w:eastAsia="zh-CN" w:bidi="ar"/>
              </w:rPr>
              <w:t>财政拨款收入</w:t>
            </w:r>
          </w:p>
        </w:tc>
        <w:tc>
          <w:tcPr>
            <w:tcW w:w="158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ascii="方正书宋_GBK" w:hAnsi="方正书宋_GBK" w:eastAsia="方正书宋_GBK" w:cs="方正书宋_GBK"/>
                <w:b/>
                <w:bCs/>
                <w:i w:val="0"/>
                <w:iCs w:val="0"/>
                <w:color w:val="000000"/>
                <w:kern w:val="0"/>
                <w:sz w:val="22"/>
                <w:szCs w:val="22"/>
                <w:u w:val="none"/>
                <w:lang w:val="en-US" w:eastAsia="zh-CN" w:bidi="ar"/>
              </w:rPr>
              <w:t>上级补助收入</w:t>
            </w:r>
          </w:p>
        </w:tc>
        <w:tc>
          <w:tcPr>
            <w:tcW w:w="123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ascii="方正书宋_GBK" w:hAnsi="方正书宋_GBK" w:eastAsia="方正书宋_GBK" w:cs="方正书宋_GBK"/>
                <w:b/>
                <w:bCs/>
                <w:i w:val="0"/>
                <w:iCs w:val="0"/>
                <w:color w:val="000000"/>
                <w:kern w:val="0"/>
                <w:sz w:val="22"/>
                <w:szCs w:val="22"/>
                <w:u w:val="none"/>
                <w:lang w:val="en-US" w:eastAsia="zh-CN" w:bidi="ar"/>
              </w:rPr>
              <w:t>事业收入</w:t>
            </w:r>
          </w:p>
        </w:tc>
        <w:tc>
          <w:tcPr>
            <w:tcW w:w="127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ascii="方正书宋_GBK" w:hAnsi="方正书宋_GBK" w:eastAsia="方正书宋_GBK" w:cs="方正书宋_GBK"/>
                <w:b/>
                <w:bCs/>
                <w:i w:val="0"/>
                <w:iCs w:val="0"/>
                <w:color w:val="000000"/>
                <w:kern w:val="0"/>
                <w:sz w:val="22"/>
                <w:szCs w:val="22"/>
                <w:u w:val="none"/>
                <w:lang w:val="en-US" w:eastAsia="zh-CN" w:bidi="ar"/>
              </w:rPr>
              <w:t>经营收入</w:t>
            </w:r>
          </w:p>
        </w:tc>
        <w:tc>
          <w:tcPr>
            <w:tcW w:w="126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ascii="方正书宋_GBK" w:hAnsi="方正书宋_GBK" w:eastAsia="方正书宋_GBK" w:cs="方正书宋_GBK"/>
                <w:b/>
                <w:bCs/>
                <w:i w:val="0"/>
                <w:iCs w:val="0"/>
                <w:color w:val="000000"/>
                <w:kern w:val="0"/>
                <w:sz w:val="22"/>
                <w:szCs w:val="22"/>
                <w:u w:val="none"/>
                <w:lang w:val="en-US" w:eastAsia="zh-CN" w:bidi="ar"/>
              </w:rPr>
              <w:t>附属单位上缴收入</w:t>
            </w:r>
          </w:p>
        </w:tc>
        <w:tc>
          <w:tcPr>
            <w:tcW w:w="140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ascii="方正书宋_GBK" w:hAnsi="方正书宋_GBK" w:eastAsia="方正书宋_GBK" w:cs="方正书宋_GBK"/>
                <w:b/>
                <w:bCs/>
                <w:i w:val="0"/>
                <w:iCs w:val="0"/>
                <w:color w:val="000000"/>
                <w:kern w:val="0"/>
                <w:sz w:val="22"/>
                <w:szCs w:val="22"/>
                <w:u w:val="none"/>
                <w:lang w:val="en-US" w:eastAsia="zh-CN" w:bidi="ar"/>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117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ascii="方正书宋_GBK" w:hAnsi="方正书宋_GBK" w:eastAsia="方正书宋_GBK" w:cs="方正书宋_GBK"/>
                <w:b/>
                <w:bCs/>
                <w:i w:val="0"/>
                <w:iCs w:val="0"/>
                <w:color w:val="000000"/>
                <w:kern w:val="0"/>
                <w:sz w:val="22"/>
                <w:szCs w:val="22"/>
                <w:u w:val="none"/>
                <w:lang w:val="en-US" w:eastAsia="zh-CN" w:bidi="ar"/>
              </w:rPr>
              <w:t>功能分类科目编码</w:t>
            </w:r>
          </w:p>
        </w:tc>
        <w:tc>
          <w:tcPr>
            <w:tcW w:w="327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ascii="方正书宋_GBK" w:hAnsi="方正书宋_GBK" w:eastAsia="方正书宋_GBK" w:cs="方正书宋_GBK"/>
                <w:b/>
                <w:bCs/>
                <w:i w:val="0"/>
                <w:iCs w:val="0"/>
                <w:color w:val="000000"/>
                <w:kern w:val="0"/>
                <w:sz w:val="22"/>
                <w:szCs w:val="22"/>
                <w:u w:val="none"/>
                <w:lang w:val="en-US" w:eastAsia="zh-CN" w:bidi="ar"/>
              </w:rPr>
              <w:t>科目名称</w:t>
            </w:r>
          </w:p>
        </w:tc>
        <w:tc>
          <w:tcPr>
            <w:tcW w:w="173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b/>
                <w:bCs/>
                <w:i w:val="0"/>
                <w:iCs w:val="0"/>
                <w:color w:val="000000"/>
                <w:sz w:val="22"/>
                <w:szCs w:val="22"/>
                <w:u w:val="none"/>
              </w:rPr>
            </w:pPr>
          </w:p>
        </w:tc>
        <w:tc>
          <w:tcPr>
            <w:tcW w:w="17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22"/>
                <w:szCs w:val="22"/>
                <w:u w:val="none"/>
              </w:rPr>
            </w:pPr>
          </w:p>
        </w:tc>
        <w:tc>
          <w:tcPr>
            <w:tcW w:w="15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b/>
                <w:bCs/>
                <w:i w:val="0"/>
                <w:iCs w:val="0"/>
                <w:color w:val="000000"/>
                <w:sz w:val="22"/>
                <w:szCs w:val="22"/>
                <w:u w:val="none"/>
              </w:rPr>
            </w:pPr>
          </w:p>
        </w:tc>
        <w:tc>
          <w:tcPr>
            <w:tcW w:w="123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b/>
                <w:bCs/>
                <w:i w:val="0"/>
                <w:iCs w:val="0"/>
                <w:color w:val="000000"/>
                <w:sz w:val="22"/>
                <w:szCs w:val="22"/>
                <w:u w:val="none"/>
              </w:rPr>
            </w:pPr>
          </w:p>
        </w:tc>
        <w:tc>
          <w:tcPr>
            <w:tcW w:w="127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b/>
                <w:bCs/>
                <w:i w:val="0"/>
                <w:iCs w:val="0"/>
                <w:color w:val="000000"/>
                <w:sz w:val="22"/>
                <w:szCs w:val="22"/>
                <w:u w:val="none"/>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b/>
                <w:bCs/>
                <w:i w:val="0"/>
                <w:iCs w:val="0"/>
                <w:color w:val="000000"/>
                <w:sz w:val="22"/>
                <w:szCs w:val="22"/>
                <w:u w:val="none"/>
              </w:rPr>
            </w:pPr>
          </w:p>
        </w:tc>
        <w:tc>
          <w:tcPr>
            <w:tcW w:w="140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4" w:hRule="atLeast"/>
        </w:trPr>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b/>
                <w:bCs/>
                <w:i w:val="0"/>
                <w:iCs w:val="0"/>
                <w:color w:val="000000"/>
                <w:sz w:val="22"/>
                <w:szCs w:val="22"/>
                <w:u w:val="none"/>
              </w:rPr>
            </w:pPr>
          </w:p>
        </w:tc>
        <w:tc>
          <w:tcPr>
            <w:tcW w:w="32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b/>
                <w:bCs/>
                <w:i w:val="0"/>
                <w:iCs w:val="0"/>
                <w:color w:val="000000"/>
                <w:sz w:val="22"/>
                <w:szCs w:val="22"/>
                <w:u w:val="none"/>
              </w:rPr>
            </w:pPr>
          </w:p>
        </w:tc>
        <w:tc>
          <w:tcPr>
            <w:tcW w:w="173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b/>
                <w:bCs/>
                <w:i w:val="0"/>
                <w:iCs w:val="0"/>
                <w:color w:val="000000"/>
                <w:sz w:val="22"/>
                <w:szCs w:val="22"/>
                <w:u w:val="none"/>
              </w:rPr>
            </w:pPr>
          </w:p>
        </w:tc>
        <w:tc>
          <w:tcPr>
            <w:tcW w:w="17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22"/>
                <w:szCs w:val="22"/>
                <w:u w:val="none"/>
              </w:rPr>
            </w:pPr>
          </w:p>
        </w:tc>
        <w:tc>
          <w:tcPr>
            <w:tcW w:w="15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b/>
                <w:bCs/>
                <w:i w:val="0"/>
                <w:iCs w:val="0"/>
                <w:color w:val="000000"/>
                <w:sz w:val="22"/>
                <w:szCs w:val="22"/>
                <w:u w:val="none"/>
              </w:rPr>
            </w:pPr>
          </w:p>
        </w:tc>
        <w:tc>
          <w:tcPr>
            <w:tcW w:w="123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b/>
                <w:bCs/>
                <w:i w:val="0"/>
                <w:iCs w:val="0"/>
                <w:color w:val="000000"/>
                <w:sz w:val="22"/>
                <w:szCs w:val="22"/>
                <w:u w:val="none"/>
              </w:rPr>
            </w:pPr>
          </w:p>
        </w:tc>
        <w:tc>
          <w:tcPr>
            <w:tcW w:w="127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b/>
                <w:bCs/>
                <w:i w:val="0"/>
                <w:iCs w:val="0"/>
                <w:color w:val="000000"/>
                <w:sz w:val="22"/>
                <w:szCs w:val="22"/>
                <w:u w:val="none"/>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b/>
                <w:bCs/>
                <w:i w:val="0"/>
                <w:iCs w:val="0"/>
                <w:color w:val="000000"/>
                <w:sz w:val="22"/>
                <w:szCs w:val="22"/>
                <w:u w:val="none"/>
              </w:rPr>
            </w:pPr>
          </w:p>
        </w:tc>
        <w:tc>
          <w:tcPr>
            <w:tcW w:w="140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2" w:hRule="atLeast"/>
        </w:trPr>
        <w:tc>
          <w:tcPr>
            <w:tcW w:w="445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方正仿宋_GBK" w:hAnsi="方正仿宋_GBK" w:eastAsia="方正仿宋_GBK" w:cs="方正仿宋_GBK"/>
                <w:i w:val="0"/>
                <w:iCs w:val="0"/>
                <w:color w:val="000000"/>
                <w:kern w:val="0"/>
                <w:sz w:val="22"/>
                <w:szCs w:val="22"/>
                <w:u w:val="none"/>
                <w:lang w:val="en-US" w:eastAsia="zh-CN" w:bidi="ar"/>
              </w:rPr>
              <w:t>合计</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363.81 </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363.81 </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c>
          <w:tcPr>
            <w:tcW w:w="14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6" w:hRule="atLeast"/>
        </w:trPr>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w:t>
            </w:r>
          </w:p>
        </w:tc>
        <w:tc>
          <w:tcPr>
            <w:tcW w:w="32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一般公共服务支出</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297.81 </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297.81 </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c>
          <w:tcPr>
            <w:tcW w:w="14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6" w:hRule="atLeast"/>
        </w:trPr>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20102</w:t>
            </w:r>
          </w:p>
        </w:tc>
        <w:tc>
          <w:tcPr>
            <w:tcW w:w="32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政协事务</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297.81 </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297.81 </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c>
          <w:tcPr>
            <w:tcW w:w="14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6" w:hRule="atLeast"/>
        </w:trPr>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2010201</w:t>
            </w:r>
          </w:p>
        </w:tc>
        <w:tc>
          <w:tcPr>
            <w:tcW w:w="32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231.56 </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231.56 </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c>
          <w:tcPr>
            <w:tcW w:w="14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6" w:hRule="atLeast"/>
        </w:trPr>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2010204</w:t>
            </w:r>
          </w:p>
        </w:tc>
        <w:tc>
          <w:tcPr>
            <w:tcW w:w="32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政协会议</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14.40 </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14.40 </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c>
          <w:tcPr>
            <w:tcW w:w="14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6" w:hRule="atLeast"/>
        </w:trPr>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2010205</w:t>
            </w:r>
          </w:p>
        </w:tc>
        <w:tc>
          <w:tcPr>
            <w:tcW w:w="32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委员视察</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31.55 </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31.55 </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c>
          <w:tcPr>
            <w:tcW w:w="14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9" w:hRule="atLeast"/>
        </w:trPr>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2010299</w:t>
            </w:r>
          </w:p>
        </w:tc>
        <w:tc>
          <w:tcPr>
            <w:tcW w:w="3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其他政协事务支出—业务差旅费</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20.30 </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20.30 </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c>
          <w:tcPr>
            <w:tcW w:w="14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6" w:hRule="atLeast"/>
        </w:trPr>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32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30.80 </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30.80 </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c>
          <w:tcPr>
            <w:tcW w:w="14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6" w:hRule="atLeast"/>
        </w:trPr>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32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基本养老保险缴费</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22.00 </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22.00 </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c>
          <w:tcPr>
            <w:tcW w:w="14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6" w:hRule="atLeast"/>
        </w:trPr>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2080506</w:t>
            </w:r>
          </w:p>
        </w:tc>
        <w:tc>
          <w:tcPr>
            <w:tcW w:w="32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机关事业单位职业年金缴费</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8.80 </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8.80 </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c>
          <w:tcPr>
            <w:tcW w:w="14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6" w:hRule="atLeast"/>
        </w:trPr>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32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医疗卫生与计划生育支出</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22.00 </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22.00 </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4"/>
                <w:szCs w:val="24"/>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4"/>
                <w:szCs w:val="24"/>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4"/>
                <w:szCs w:val="24"/>
                <w:u w:val="none"/>
              </w:rPr>
            </w:pP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4"/>
                <w:szCs w:val="24"/>
                <w:u w:val="none"/>
              </w:rPr>
            </w:pPr>
          </w:p>
        </w:tc>
        <w:tc>
          <w:tcPr>
            <w:tcW w:w="14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6" w:hRule="atLeast"/>
        </w:trPr>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w:t>
            </w:r>
          </w:p>
        </w:tc>
        <w:tc>
          <w:tcPr>
            <w:tcW w:w="32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医疗保障</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22.00 </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22.00 </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4"/>
                <w:szCs w:val="24"/>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4"/>
                <w:szCs w:val="24"/>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4"/>
                <w:szCs w:val="24"/>
                <w:u w:val="none"/>
              </w:rPr>
            </w:pP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4"/>
                <w:szCs w:val="24"/>
                <w:u w:val="none"/>
              </w:rPr>
            </w:pPr>
          </w:p>
        </w:tc>
        <w:tc>
          <w:tcPr>
            <w:tcW w:w="14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6" w:hRule="atLeast"/>
        </w:trPr>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2101101</w:t>
            </w:r>
          </w:p>
        </w:tc>
        <w:tc>
          <w:tcPr>
            <w:tcW w:w="32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行政单位医疗</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22.00 </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22.00 </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4"/>
                <w:szCs w:val="24"/>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4"/>
                <w:szCs w:val="24"/>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4"/>
                <w:szCs w:val="24"/>
                <w:u w:val="none"/>
              </w:rPr>
            </w:pP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4"/>
                <w:szCs w:val="24"/>
                <w:u w:val="none"/>
              </w:rPr>
            </w:pPr>
          </w:p>
        </w:tc>
        <w:tc>
          <w:tcPr>
            <w:tcW w:w="14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6" w:hRule="atLeast"/>
        </w:trPr>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w:t>
            </w:r>
          </w:p>
        </w:tc>
        <w:tc>
          <w:tcPr>
            <w:tcW w:w="32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住房保障支出</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13.20 </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13.20 </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4"/>
                <w:szCs w:val="24"/>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4"/>
                <w:szCs w:val="24"/>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4"/>
                <w:szCs w:val="24"/>
                <w:u w:val="none"/>
              </w:rPr>
            </w:pP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4"/>
                <w:szCs w:val="24"/>
                <w:u w:val="none"/>
              </w:rPr>
            </w:pPr>
          </w:p>
        </w:tc>
        <w:tc>
          <w:tcPr>
            <w:tcW w:w="14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6" w:hRule="atLeast"/>
        </w:trPr>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w:t>
            </w:r>
          </w:p>
        </w:tc>
        <w:tc>
          <w:tcPr>
            <w:tcW w:w="32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住房改革支出</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13.20 </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13.20 </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4"/>
                <w:szCs w:val="24"/>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4"/>
                <w:szCs w:val="24"/>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4"/>
                <w:szCs w:val="24"/>
                <w:u w:val="none"/>
              </w:rPr>
            </w:pP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4"/>
                <w:szCs w:val="24"/>
                <w:u w:val="none"/>
              </w:rPr>
            </w:pPr>
          </w:p>
        </w:tc>
        <w:tc>
          <w:tcPr>
            <w:tcW w:w="14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8" w:hRule="atLeast"/>
        </w:trPr>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32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13.20 </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13.20 </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4"/>
                <w:szCs w:val="24"/>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4"/>
                <w:szCs w:val="24"/>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4"/>
                <w:szCs w:val="24"/>
                <w:u w:val="none"/>
              </w:rPr>
            </w:pP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4"/>
                <w:szCs w:val="24"/>
                <w:u w:val="none"/>
              </w:rPr>
            </w:pPr>
          </w:p>
        </w:tc>
        <w:tc>
          <w:tcPr>
            <w:tcW w:w="14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4"/>
                <w:szCs w:val="24"/>
                <w:u w:val="none"/>
              </w:rPr>
            </w:pPr>
          </w:p>
        </w:tc>
      </w:tr>
    </w:tbl>
    <w:p/>
    <w:p/>
    <w:tbl>
      <w:tblPr>
        <w:tblStyle w:val="12"/>
        <w:tblW w:w="147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62"/>
        <w:gridCol w:w="3498"/>
        <w:gridCol w:w="1767"/>
        <w:gridCol w:w="1790"/>
        <w:gridCol w:w="1790"/>
        <w:gridCol w:w="1549"/>
        <w:gridCol w:w="1549"/>
        <w:gridCol w:w="15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14760" w:type="dxa"/>
            <w:gridSpan w:val="8"/>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方正小标宋_GBK" w:hAnsi="方正小标宋_GBK" w:eastAsia="方正小标宋_GBK" w:cs="方正小标宋_GBK"/>
                <w:i w:val="0"/>
                <w:iCs w:val="0"/>
                <w:color w:val="000000"/>
                <w:sz w:val="36"/>
                <w:szCs w:val="36"/>
                <w:u w:val="none"/>
              </w:rPr>
            </w:pPr>
            <w:r>
              <w:rPr>
                <w:rFonts w:hint="default" w:ascii="方正小标宋_GBK" w:hAnsi="方正小标宋_GBK" w:eastAsia="方正小标宋_GBK" w:cs="方正小标宋_GBK"/>
                <w:i w:val="0"/>
                <w:iCs w:val="0"/>
                <w:color w:val="000000"/>
                <w:kern w:val="0"/>
                <w:sz w:val="36"/>
                <w:szCs w:val="36"/>
                <w:u w:val="none"/>
                <w:lang w:val="en-US" w:eastAsia="zh-CN" w:bidi="ar"/>
              </w:rPr>
              <w:t>部门预算支出总表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9" w:hRule="atLeast"/>
        </w:trPr>
        <w:tc>
          <w:tcPr>
            <w:tcW w:w="0" w:type="auto"/>
            <w:gridSpan w:val="3"/>
            <w:tcBorders>
              <w:top w:val="nil"/>
              <w:left w:val="nil"/>
              <w:bottom w:val="nil"/>
              <w:right w:val="nil"/>
            </w:tcBorders>
            <w:shd w:val="clear" w:color="auto" w:fill="FFFFFF"/>
            <w:noWrap/>
            <w:vAlign w:val="center"/>
          </w:tcPr>
          <w:p>
            <w:pPr>
              <w:jc w:val="left"/>
              <w:rPr>
                <w:rFonts w:hint="default" w:ascii="Times New Roman" w:hAnsi="Times New Roman" w:eastAsia="宋体" w:cs="Times New Roman"/>
                <w:i w:val="0"/>
                <w:iCs w:val="0"/>
                <w:color w:val="000000"/>
                <w:sz w:val="22"/>
                <w:szCs w:val="22"/>
                <w:u w:val="none"/>
              </w:rPr>
            </w:pPr>
            <w:r>
              <w:rPr>
                <w:rFonts w:hint="eastAsia" w:eastAsia="宋体"/>
                <w:sz w:val="24"/>
                <w:szCs w:val="24"/>
                <w:lang w:val="en-US" w:eastAsia="zh-CN"/>
              </w:rPr>
              <w:t>中国人民政治协商会议唐山市丰南区委员会</w:t>
            </w:r>
          </w:p>
        </w:tc>
        <w:tc>
          <w:tcPr>
            <w:tcW w:w="0" w:type="auto"/>
            <w:tcBorders>
              <w:top w:val="nil"/>
              <w:left w:val="nil"/>
              <w:bottom w:val="nil"/>
              <w:right w:val="nil"/>
            </w:tcBorders>
            <w:shd w:val="clear" w:color="auto" w:fill="FFFFFF"/>
            <w:noWrap/>
            <w:vAlign w:val="center"/>
          </w:tcPr>
          <w:p>
            <w:pPr>
              <w:jc w:val="right"/>
              <w:rPr>
                <w:rFonts w:hint="default" w:ascii="Times New Roman" w:hAnsi="Times New Roman" w:eastAsia="宋体" w:cs="Times New Roman"/>
                <w:i w:val="0"/>
                <w:iCs w:val="0"/>
                <w:color w:val="000000"/>
                <w:sz w:val="22"/>
                <w:szCs w:val="22"/>
                <w:u w:val="none"/>
              </w:rPr>
            </w:pPr>
          </w:p>
        </w:tc>
        <w:tc>
          <w:tcPr>
            <w:tcW w:w="0" w:type="auto"/>
            <w:tcBorders>
              <w:top w:val="nil"/>
              <w:left w:val="nil"/>
              <w:bottom w:val="nil"/>
              <w:right w:val="nil"/>
            </w:tcBorders>
            <w:shd w:val="clear" w:color="auto" w:fill="FFFFFF"/>
            <w:noWrap/>
            <w:vAlign w:val="center"/>
          </w:tcPr>
          <w:p>
            <w:pPr>
              <w:jc w:val="center"/>
              <w:rPr>
                <w:rFonts w:hint="default" w:ascii="Times New Roman" w:hAnsi="Times New Roman" w:eastAsia="宋体" w:cs="Times New Roman"/>
                <w:i w:val="0"/>
                <w:iCs w:val="0"/>
                <w:color w:val="000000"/>
                <w:sz w:val="22"/>
                <w:szCs w:val="22"/>
                <w:u w:val="none"/>
              </w:rPr>
            </w:pPr>
          </w:p>
        </w:tc>
        <w:tc>
          <w:tcPr>
            <w:tcW w:w="0" w:type="auto"/>
            <w:tcBorders>
              <w:top w:val="nil"/>
              <w:left w:val="nil"/>
              <w:bottom w:val="nil"/>
              <w:right w:val="nil"/>
            </w:tcBorders>
            <w:shd w:val="clear" w:color="auto" w:fill="FFFFFF"/>
            <w:noWrap/>
            <w:vAlign w:val="center"/>
          </w:tcPr>
          <w:p>
            <w:pPr>
              <w:jc w:val="right"/>
              <w:rPr>
                <w:rFonts w:hint="default" w:ascii="Times New Roman" w:hAnsi="Times New Roman" w:eastAsia="宋体" w:cs="Times New Roman"/>
                <w:i w:val="0"/>
                <w:iCs w:val="0"/>
                <w:color w:val="000000"/>
                <w:sz w:val="22"/>
                <w:szCs w:val="22"/>
                <w:u w:val="none"/>
              </w:rPr>
            </w:pPr>
          </w:p>
        </w:tc>
        <w:tc>
          <w:tcPr>
            <w:tcW w:w="0" w:type="auto"/>
            <w:tcBorders>
              <w:top w:val="nil"/>
              <w:left w:val="nil"/>
              <w:bottom w:val="nil"/>
              <w:right w:val="nil"/>
            </w:tcBorders>
            <w:shd w:val="clear" w:color="auto" w:fill="FFFFFF"/>
            <w:noWrap/>
            <w:vAlign w:val="center"/>
          </w:tcPr>
          <w:p>
            <w:pPr>
              <w:jc w:val="right"/>
              <w:rPr>
                <w:rFonts w:hint="default" w:ascii="Times New Roman" w:hAnsi="Times New Roman" w:eastAsia="宋体" w:cs="Times New Roman"/>
                <w:i w:val="0"/>
                <w:iCs w:val="0"/>
                <w:color w:val="000000"/>
                <w:sz w:val="22"/>
                <w:szCs w:val="22"/>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ascii="方正仿宋_GBK" w:hAnsi="方正仿宋_GBK" w:eastAsia="方正仿宋_GBK" w:cs="方正仿宋_GBK"/>
                <w:i w:val="0"/>
                <w:iCs w:val="0"/>
                <w:color w:val="000000"/>
                <w:kern w:val="0"/>
                <w:sz w:val="22"/>
                <w:szCs w:val="22"/>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6" w:hRule="atLeast"/>
        </w:trPr>
        <w:tc>
          <w:tcPr>
            <w:tcW w:w="476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w:t>
            </w:r>
          </w:p>
        </w:tc>
        <w:tc>
          <w:tcPr>
            <w:tcW w:w="176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ascii="方正书宋_GBK" w:hAnsi="方正书宋_GBK" w:eastAsia="方正书宋_GBK" w:cs="方正书宋_GBK"/>
                <w:b/>
                <w:bCs/>
                <w:i w:val="0"/>
                <w:iCs w:val="0"/>
                <w:color w:val="000000"/>
                <w:kern w:val="0"/>
                <w:sz w:val="22"/>
                <w:szCs w:val="22"/>
                <w:u w:val="none"/>
                <w:lang w:val="en-US" w:eastAsia="zh-CN" w:bidi="ar"/>
              </w:rPr>
              <w:t>本年支出合计</w:t>
            </w:r>
          </w:p>
        </w:tc>
        <w:tc>
          <w:tcPr>
            <w:tcW w:w="17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ascii="方正书宋_GBK" w:hAnsi="方正书宋_GBK" w:eastAsia="方正书宋_GBK" w:cs="方正书宋_GBK"/>
                <w:b/>
                <w:bCs/>
                <w:i w:val="0"/>
                <w:iCs w:val="0"/>
                <w:color w:val="000000"/>
                <w:kern w:val="0"/>
                <w:sz w:val="22"/>
                <w:szCs w:val="22"/>
                <w:u w:val="none"/>
                <w:lang w:val="en-US" w:eastAsia="zh-CN" w:bidi="ar"/>
              </w:rPr>
              <w:t>基本支出</w:t>
            </w:r>
          </w:p>
        </w:tc>
        <w:tc>
          <w:tcPr>
            <w:tcW w:w="17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ascii="方正书宋_GBK" w:hAnsi="方正书宋_GBK" w:eastAsia="方正书宋_GBK" w:cs="方正书宋_GBK"/>
                <w:b/>
                <w:bCs/>
                <w:i w:val="0"/>
                <w:iCs w:val="0"/>
                <w:color w:val="000000"/>
                <w:kern w:val="0"/>
                <w:sz w:val="22"/>
                <w:szCs w:val="22"/>
                <w:u w:val="none"/>
                <w:lang w:val="en-US" w:eastAsia="zh-CN" w:bidi="ar"/>
              </w:rPr>
              <w:t>项目支出</w:t>
            </w:r>
          </w:p>
        </w:tc>
        <w:tc>
          <w:tcPr>
            <w:tcW w:w="154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ascii="方正书宋_GBK" w:hAnsi="方正书宋_GBK" w:eastAsia="方正书宋_GBK" w:cs="方正书宋_GBK"/>
                <w:b/>
                <w:bCs/>
                <w:i w:val="0"/>
                <w:iCs w:val="0"/>
                <w:color w:val="000000"/>
                <w:kern w:val="0"/>
                <w:sz w:val="22"/>
                <w:szCs w:val="22"/>
                <w:u w:val="none"/>
                <w:lang w:val="en-US" w:eastAsia="zh-CN" w:bidi="ar"/>
              </w:rPr>
              <w:t>上缴上级支出</w:t>
            </w:r>
          </w:p>
        </w:tc>
        <w:tc>
          <w:tcPr>
            <w:tcW w:w="154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ascii="方正书宋_GBK" w:hAnsi="方正书宋_GBK" w:eastAsia="方正书宋_GBK" w:cs="方正书宋_GBK"/>
                <w:b/>
                <w:bCs/>
                <w:i w:val="0"/>
                <w:iCs w:val="0"/>
                <w:color w:val="000000"/>
                <w:kern w:val="0"/>
                <w:sz w:val="22"/>
                <w:szCs w:val="22"/>
                <w:u w:val="none"/>
                <w:lang w:val="en-US" w:eastAsia="zh-CN" w:bidi="ar"/>
              </w:rPr>
              <w:t>经营支出</w:t>
            </w:r>
          </w:p>
        </w:tc>
        <w:tc>
          <w:tcPr>
            <w:tcW w:w="155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ascii="方正书宋_GBK" w:hAnsi="方正书宋_GBK" w:eastAsia="方正书宋_GBK" w:cs="方正书宋_GBK"/>
                <w:b/>
                <w:bCs/>
                <w:i w:val="0"/>
                <w:iCs w:val="0"/>
                <w:color w:val="000000"/>
                <w:kern w:val="0"/>
                <w:sz w:val="22"/>
                <w:szCs w:val="22"/>
                <w:u w:val="none"/>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6" w:hRule="atLeast"/>
        </w:trPr>
        <w:tc>
          <w:tcPr>
            <w:tcW w:w="126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ascii="方正书宋_GBK" w:hAnsi="方正书宋_GBK" w:eastAsia="方正书宋_GBK" w:cs="方正书宋_GBK"/>
                <w:b/>
                <w:bCs/>
                <w:i w:val="0"/>
                <w:iCs w:val="0"/>
                <w:color w:val="000000"/>
                <w:kern w:val="0"/>
                <w:sz w:val="22"/>
                <w:szCs w:val="22"/>
                <w:u w:val="none"/>
                <w:lang w:val="en-US" w:eastAsia="zh-CN" w:bidi="ar"/>
              </w:rPr>
              <w:t>功能分类科目编码</w:t>
            </w:r>
          </w:p>
        </w:tc>
        <w:tc>
          <w:tcPr>
            <w:tcW w:w="349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ascii="方正书宋_GBK" w:hAnsi="方正书宋_GBK" w:eastAsia="方正书宋_GBK" w:cs="方正书宋_GBK"/>
                <w:b/>
                <w:bCs/>
                <w:i w:val="0"/>
                <w:iCs w:val="0"/>
                <w:color w:val="000000"/>
                <w:kern w:val="0"/>
                <w:sz w:val="22"/>
                <w:szCs w:val="22"/>
                <w:u w:val="none"/>
                <w:lang w:val="en-US" w:eastAsia="zh-CN" w:bidi="ar"/>
              </w:rPr>
              <w:t>科目名称</w:t>
            </w:r>
          </w:p>
        </w:tc>
        <w:tc>
          <w:tcPr>
            <w:tcW w:w="176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b/>
                <w:bCs/>
                <w:i w:val="0"/>
                <w:iCs w:val="0"/>
                <w:color w:val="000000"/>
                <w:sz w:val="22"/>
                <w:szCs w:val="22"/>
                <w:u w:val="none"/>
              </w:rPr>
            </w:pPr>
          </w:p>
        </w:tc>
        <w:tc>
          <w:tcPr>
            <w:tcW w:w="17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b/>
                <w:bCs/>
                <w:i w:val="0"/>
                <w:iCs w:val="0"/>
                <w:color w:val="000000"/>
                <w:sz w:val="22"/>
                <w:szCs w:val="22"/>
                <w:u w:val="none"/>
              </w:rPr>
            </w:pPr>
          </w:p>
        </w:tc>
        <w:tc>
          <w:tcPr>
            <w:tcW w:w="17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b/>
                <w:bCs/>
                <w:i w:val="0"/>
                <w:iCs w:val="0"/>
                <w:color w:val="000000"/>
                <w:sz w:val="22"/>
                <w:szCs w:val="22"/>
                <w:u w:val="none"/>
              </w:rPr>
            </w:pPr>
          </w:p>
        </w:tc>
        <w:tc>
          <w:tcPr>
            <w:tcW w:w="154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b/>
                <w:bCs/>
                <w:i w:val="0"/>
                <w:iCs w:val="0"/>
                <w:color w:val="000000"/>
                <w:sz w:val="22"/>
                <w:szCs w:val="22"/>
                <w:u w:val="none"/>
              </w:rPr>
            </w:pPr>
          </w:p>
        </w:tc>
        <w:tc>
          <w:tcPr>
            <w:tcW w:w="154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b/>
                <w:bCs/>
                <w:i w:val="0"/>
                <w:iCs w:val="0"/>
                <w:color w:val="000000"/>
                <w:sz w:val="22"/>
                <w:szCs w:val="22"/>
                <w:u w:val="none"/>
              </w:rPr>
            </w:pPr>
          </w:p>
        </w:tc>
        <w:tc>
          <w:tcPr>
            <w:tcW w:w="155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3" w:hRule="atLeast"/>
        </w:trPr>
        <w:tc>
          <w:tcPr>
            <w:tcW w:w="126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b/>
                <w:bCs/>
                <w:i w:val="0"/>
                <w:iCs w:val="0"/>
                <w:color w:val="000000"/>
                <w:sz w:val="22"/>
                <w:szCs w:val="22"/>
                <w:u w:val="none"/>
              </w:rPr>
            </w:pPr>
          </w:p>
        </w:tc>
        <w:tc>
          <w:tcPr>
            <w:tcW w:w="349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b/>
                <w:bCs/>
                <w:i w:val="0"/>
                <w:iCs w:val="0"/>
                <w:color w:val="000000"/>
                <w:sz w:val="22"/>
                <w:szCs w:val="22"/>
                <w:u w:val="none"/>
              </w:rPr>
            </w:pPr>
          </w:p>
        </w:tc>
        <w:tc>
          <w:tcPr>
            <w:tcW w:w="176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b/>
                <w:bCs/>
                <w:i w:val="0"/>
                <w:iCs w:val="0"/>
                <w:color w:val="000000"/>
                <w:sz w:val="22"/>
                <w:szCs w:val="22"/>
                <w:u w:val="none"/>
              </w:rPr>
            </w:pPr>
          </w:p>
        </w:tc>
        <w:tc>
          <w:tcPr>
            <w:tcW w:w="17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b/>
                <w:bCs/>
                <w:i w:val="0"/>
                <w:iCs w:val="0"/>
                <w:color w:val="000000"/>
                <w:sz w:val="22"/>
                <w:szCs w:val="22"/>
                <w:u w:val="none"/>
              </w:rPr>
            </w:pPr>
          </w:p>
        </w:tc>
        <w:tc>
          <w:tcPr>
            <w:tcW w:w="17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b/>
                <w:bCs/>
                <w:i w:val="0"/>
                <w:iCs w:val="0"/>
                <w:color w:val="000000"/>
                <w:sz w:val="22"/>
                <w:szCs w:val="22"/>
                <w:u w:val="none"/>
              </w:rPr>
            </w:pPr>
          </w:p>
        </w:tc>
        <w:tc>
          <w:tcPr>
            <w:tcW w:w="154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b/>
                <w:bCs/>
                <w:i w:val="0"/>
                <w:iCs w:val="0"/>
                <w:color w:val="000000"/>
                <w:sz w:val="22"/>
                <w:szCs w:val="22"/>
                <w:u w:val="none"/>
              </w:rPr>
            </w:pPr>
          </w:p>
        </w:tc>
        <w:tc>
          <w:tcPr>
            <w:tcW w:w="154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b/>
                <w:bCs/>
                <w:i w:val="0"/>
                <w:iCs w:val="0"/>
                <w:color w:val="000000"/>
                <w:sz w:val="22"/>
                <w:szCs w:val="22"/>
                <w:u w:val="none"/>
              </w:rPr>
            </w:pPr>
          </w:p>
        </w:tc>
        <w:tc>
          <w:tcPr>
            <w:tcW w:w="155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72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方正仿宋_GBK" w:hAnsi="方正仿宋_GBK" w:eastAsia="方正仿宋_GBK" w:cs="方正仿宋_GBK"/>
                <w:i w:val="0"/>
                <w:iCs w:val="0"/>
                <w:color w:val="000000"/>
                <w:kern w:val="0"/>
                <w:sz w:val="22"/>
                <w:szCs w:val="22"/>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363.81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257.86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105.95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297.81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191.86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105.95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政协事务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297.81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191.86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105.95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231.56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191.86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39.70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2010204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政协会议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14.40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14.40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2010205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委员视察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31.55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31.55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2010299</w:t>
            </w:r>
          </w:p>
        </w:tc>
        <w:tc>
          <w:tcPr>
            <w:tcW w:w="3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其他政协事务支出—业务差旅费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20.30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20.30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30.80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基本养老保险缴费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22.00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机关事业单位职业年金缴费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8.80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医疗卫生与计划生育支出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22.00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医疗保障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22.00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6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行政单位医疗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22.00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住房保障支出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13.20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住房改革支出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13.20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13.20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4"/>
                <w:szCs w:val="24"/>
                <w:u w:val="none"/>
              </w:rPr>
            </w:pPr>
          </w:p>
        </w:tc>
      </w:tr>
    </w:tbl>
    <w:p>
      <w:pPr>
        <w:spacing w:line="300" w:lineRule="exact"/>
        <w:jc w:val="left"/>
        <w:outlineLvl w:val="0"/>
        <w:sectPr>
          <w:pgSz w:w="16839" w:h="11907" w:orient="landscape"/>
          <w:pgMar w:top="794" w:right="1020" w:bottom="794" w:left="1020" w:header="851" w:footer="992" w:gutter="0"/>
          <w:cols w:space="425" w:num="1"/>
          <w:docGrid w:type="lines" w:linePitch="312" w:charSpace="0"/>
        </w:sectPr>
      </w:pPr>
    </w:p>
    <w:tbl>
      <w:tblPr>
        <w:tblStyle w:val="12"/>
        <w:tblW w:w="1441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050"/>
        <w:gridCol w:w="997"/>
        <w:gridCol w:w="4050"/>
        <w:gridCol w:w="997"/>
        <w:gridCol w:w="1418"/>
        <w:gridCol w:w="1185"/>
        <w:gridCol w:w="17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415" w:type="dxa"/>
            <w:gridSpan w:val="7"/>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方正小标宋_GBK" w:hAnsi="方正小标宋_GBK" w:eastAsia="方正小标宋_GBK" w:cs="方正小标宋_GBK"/>
                <w:i w:val="0"/>
                <w:iCs w:val="0"/>
                <w:color w:val="000000"/>
                <w:sz w:val="36"/>
                <w:szCs w:val="36"/>
                <w:u w:val="none"/>
              </w:rPr>
            </w:pPr>
            <w:r>
              <w:rPr>
                <w:rFonts w:hint="default" w:ascii="方正小标宋_GBK" w:hAnsi="方正小标宋_GBK" w:eastAsia="方正小标宋_GBK" w:cs="方正小标宋_GBK"/>
                <w:i w:val="0"/>
                <w:iCs w:val="0"/>
                <w:color w:val="000000"/>
                <w:kern w:val="0"/>
                <w:sz w:val="36"/>
                <w:szCs w:val="36"/>
                <w:u w:val="none"/>
                <w:lang w:val="en-US" w:eastAsia="zh-CN" w:bidi="ar"/>
              </w:rPr>
              <w:t>部门预算财政拨款收支总表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2"/>
            <w:tcBorders>
              <w:top w:val="nil"/>
              <w:left w:val="nil"/>
              <w:bottom w:val="nil"/>
              <w:right w:val="nil"/>
            </w:tcBorders>
            <w:shd w:val="clear" w:color="auto" w:fill="FFFFFF"/>
            <w:noWrap/>
            <w:vAlign w:val="center"/>
          </w:tcPr>
          <w:p>
            <w:pPr>
              <w:jc w:val="left"/>
              <w:rPr>
                <w:rFonts w:hint="default" w:ascii="Times New Roman" w:hAnsi="Times New Roman" w:eastAsia="宋体" w:cs="Times New Roman"/>
                <w:i w:val="0"/>
                <w:iCs w:val="0"/>
                <w:color w:val="000000"/>
                <w:sz w:val="22"/>
                <w:szCs w:val="22"/>
                <w:u w:val="none"/>
              </w:rPr>
            </w:pPr>
            <w:r>
              <w:rPr>
                <w:rFonts w:hint="eastAsia" w:eastAsia="宋体"/>
                <w:sz w:val="24"/>
                <w:szCs w:val="24"/>
                <w:lang w:val="en-US" w:eastAsia="zh-CN"/>
              </w:rPr>
              <w:t>中国人民政治协商会议唐山市丰南区委员会</w:t>
            </w:r>
          </w:p>
        </w:tc>
        <w:tc>
          <w:tcPr>
            <w:tcW w:w="0" w:type="auto"/>
            <w:tcBorders>
              <w:top w:val="nil"/>
              <w:left w:val="nil"/>
              <w:bottom w:val="nil"/>
              <w:right w:val="nil"/>
            </w:tcBorders>
            <w:shd w:val="clear" w:color="auto" w:fill="FFFFFF"/>
            <w:noWrap/>
            <w:vAlign w:val="center"/>
          </w:tcPr>
          <w:p>
            <w:pPr>
              <w:jc w:val="right"/>
              <w:rPr>
                <w:rFonts w:hint="default" w:ascii="Times New Roman" w:hAnsi="Times New Roman" w:eastAsia="宋体" w:cs="Times New Roman"/>
                <w:i w:val="0"/>
                <w:iCs w:val="0"/>
                <w:color w:val="000000"/>
                <w:sz w:val="22"/>
                <w:szCs w:val="22"/>
                <w:u w:val="none"/>
              </w:rPr>
            </w:pPr>
          </w:p>
        </w:tc>
        <w:tc>
          <w:tcPr>
            <w:tcW w:w="0" w:type="auto"/>
            <w:tcBorders>
              <w:top w:val="nil"/>
              <w:left w:val="nil"/>
              <w:bottom w:val="nil"/>
              <w:right w:val="nil"/>
            </w:tcBorders>
            <w:shd w:val="clear" w:color="auto" w:fill="FFFFFF"/>
            <w:noWrap/>
            <w:vAlign w:val="center"/>
          </w:tcPr>
          <w:p>
            <w:pPr>
              <w:jc w:val="right"/>
              <w:rPr>
                <w:rFonts w:hint="default" w:ascii="Times New Roman" w:hAnsi="Times New Roman" w:eastAsia="宋体" w:cs="Times New Roman"/>
                <w:i w:val="0"/>
                <w:iCs w:val="0"/>
                <w:color w:val="000000"/>
                <w:sz w:val="22"/>
                <w:szCs w:val="22"/>
                <w:u w:val="none"/>
              </w:rPr>
            </w:pPr>
          </w:p>
        </w:tc>
        <w:tc>
          <w:tcPr>
            <w:tcW w:w="0" w:type="auto"/>
            <w:tcBorders>
              <w:top w:val="nil"/>
              <w:left w:val="nil"/>
              <w:bottom w:val="nil"/>
              <w:right w:val="nil"/>
            </w:tcBorders>
            <w:shd w:val="clear" w:color="auto" w:fill="FFFFFF"/>
            <w:noWrap/>
            <w:vAlign w:val="center"/>
          </w:tcPr>
          <w:p>
            <w:pPr>
              <w:jc w:val="right"/>
              <w:rPr>
                <w:rFonts w:hint="default" w:ascii="Times New Roman" w:hAnsi="Times New Roman" w:eastAsia="宋体" w:cs="Times New Roman"/>
                <w:i w:val="0"/>
                <w:iCs w:val="0"/>
                <w:color w:val="000000"/>
                <w:sz w:val="22"/>
                <w:szCs w:val="22"/>
                <w:u w:val="none"/>
              </w:rPr>
            </w:pPr>
          </w:p>
        </w:tc>
        <w:tc>
          <w:tcPr>
            <w:tcW w:w="0" w:type="auto"/>
            <w:tcBorders>
              <w:top w:val="nil"/>
              <w:left w:val="nil"/>
              <w:bottom w:val="nil"/>
              <w:right w:val="nil"/>
            </w:tcBorders>
            <w:shd w:val="clear" w:color="auto" w:fill="FFFFFF"/>
            <w:noWrap/>
            <w:vAlign w:val="center"/>
          </w:tcPr>
          <w:p>
            <w:pPr>
              <w:jc w:val="right"/>
              <w:rPr>
                <w:rFonts w:hint="default" w:ascii="Times New Roman" w:hAnsi="Times New Roman" w:eastAsia="宋体" w:cs="Times New Roman"/>
                <w:i w:val="0"/>
                <w:iCs w:val="0"/>
                <w:color w:val="000000"/>
                <w:sz w:val="22"/>
                <w:szCs w:val="22"/>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ascii="方正仿宋_GBK" w:hAnsi="方正仿宋_GBK" w:eastAsia="方正仿宋_GBK" w:cs="方正仿宋_GBK"/>
                <w:i w:val="0"/>
                <w:iCs w:val="0"/>
                <w:color w:val="000000"/>
                <w:kern w:val="0"/>
                <w:sz w:val="22"/>
                <w:szCs w:val="22"/>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ascii="方正书宋_GBK" w:hAnsi="方正书宋_GBK" w:eastAsia="方正书宋_GBK" w:cs="方正书宋_GBK"/>
                <w:b/>
                <w:bCs/>
                <w:i w:val="0"/>
                <w:iCs w:val="0"/>
                <w:color w:val="000000"/>
                <w:kern w:val="0"/>
                <w:sz w:val="22"/>
                <w:szCs w:val="22"/>
                <w:u w:val="none"/>
                <w:lang w:val="en-US" w:eastAsia="zh-CN" w:bidi="ar"/>
              </w:rPr>
              <w:t>收入</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ascii="方正书宋_GBK" w:hAnsi="方正书宋_GBK" w:eastAsia="方正书宋_GBK" w:cs="方正书宋_GBK"/>
                <w:b/>
                <w:bCs/>
                <w:i w:val="0"/>
                <w:iCs w:val="0"/>
                <w:color w:val="000000"/>
                <w:kern w:val="0"/>
                <w:sz w:val="22"/>
                <w:szCs w:val="22"/>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ascii="方正书宋_GBK" w:hAnsi="方正书宋_GBK" w:eastAsia="方正书宋_GBK" w:cs="方正书宋_GBK"/>
                <w:b/>
                <w:bCs/>
                <w:i w:val="0"/>
                <w:iCs w:val="0"/>
                <w:color w:val="000000"/>
                <w:kern w:val="0"/>
                <w:sz w:val="22"/>
                <w:szCs w:val="22"/>
                <w:u w:val="none"/>
                <w:lang w:val="en-US" w:eastAsia="zh-CN" w:bidi="ar"/>
              </w:rPr>
              <w:t>项</w:t>
            </w:r>
            <w:r>
              <w:rPr>
                <w:rFonts w:hint="default" w:ascii="Times New Roman" w:hAnsi="Times New Roman" w:eastAsia="宋体" w:cs="Times New Roman"/>
                <w:b/>
                <w:bCs/>
                <w:i w:val="0"/>
                <w:iCs w:val="0"/>
                <w:color w:val="000000"/>
                <w:kern w:val="0"/>
                <w:sz w:val="22"/>
                <w:szCs w:val="22"/>
                <w:u w:val="none"/>
                <w:lang w:val="en-US" w:eastAsia="zh-CN" w:bidi="ar"/>
              </w:rPr>
              <w:t xml:space="preserve">    </w:t>
            </w:r>
            <w:r>
              <w:rPr>
                <w:rFonts w:ascii="方正书宋_GBK" w:hAnsi="方正书宋_GBK" w:eastAsia="方正书宋_GBK" w:cs="方正书宋_GBK"/>
                <w:b/>
                <w:bCs/>
                <w:i w:val="0"/>
                <w:iCs w:val="0"/>
                <w:color w:val="000000"/>
                <w:kern w:val="0"/>
                <w:sz w:val="22"/>
                <w:szCs w:val="22"/>
                <w:u w:val="none"/>
                <w:lang w:val="en-US" w:eastAsia="zh-CN" w:bidi="ar"/>
              </w:rPr>
              <w:t>目</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ascii="方正书宋_GBK" w:hAnsi="方正书宋_GBK" w:eastAsia="方正书宋_GBK" w:cs="方正书宋_GBK"/>
                <w:b/>
                <w:bCs/>
                <w:i w:val="0"/>
                <w:iCs w:val="0"/>
                <w:color w:val="000000"/>
                <w:kern w:val="0"/>
                <w:sz w:val="22"/>
                <w:szCs w:val="22"/>
                <w:u w:val="none"/>
                <w:lang w:val="en-US" w:eastAsia="zh-CN" w:bidi="ar"/>
              </w:rPr>
              <w:t>金额</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ascii="方正书宋_GBK" w:hAnsi="方正书宋_GBK" w:eastAsia="方正书宋_GBK" w:cs="方正书宋_GBK"/>
                <w:b/>
                <w:bCs/>
                <w:i w:val="0"/>
                <w:iCs w:val="0"/>
                <w:color w:val="000000"/>
                <w:kern w:val="0"/>
                <w:sz w:val="22"/>
                <w:szCs w:val="22"/>
                <w:u w:val="none"/>
                <w:lang w:val="en-US" w:eastAsia="zh-CN" w:bidi="ar"/>
              </w:rPr>
              <w:t>项</w:t>
            </w:r>
            <w:r>
              <w:rPr>
                <w:rFonts w:hint="default" w:ascii="Times New Roman" w:hAnsi="Times New Roman" w:eastAsia="宋体" w:cs="Times New Roman"/>
                <w:b/>
                <w:bCs/>
                <w:i w:val="0"/>
                <w:iCs w:val="0"/>
                <w:color w:val="000000"/>
                <w:kern w:val="0"/>
                <w:sz w:val="22"/>
                <w:szCs w:val="22"/>
                <w:u w:val="none"/>
                <w:lang w:val="en-US" w:eastAsia="zh-CN" w:bidi="ar"/>
              </w:rPr>
              <w:t xml:space="preserve">    </w:t>
            </w:r>
            <w:r>
              <w:rPr>
                <w:rFonts w:ascii="方正书宋_GBK" w:hAnsi="方正书宋_GBK" w:eastAsia="方正书宋_GBK" w:cs="方正书宋_GBK"/>
                <w:b/>
                <w:bCs/>
                <w:i w:val="0"/>
                <w:iCs w:val="0"/>
                <w:color w:val="000000"/>
                <w:kern w:val="0"/>
                <w:sz w:val="22"/>
                <w:szCs w:val="22"/>
                <w:u w:val="none"/>
                <w:lang w:val="en-US" w:eastAsia="zh-CN" w:bidi="ar"/>
              </w:rPr>
              <w:t>目</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ascii="方正书宋_GBK" w:hAnsi="方正书宋_GBK" w:eastAsia="方正书宋_GBK" w:cs="方正书宋_GBK"/>
                <w:b/>
                <w:bCs/>
                <w:i w:val="0"/>
                <w:iCs w:val="0"/>
                <w:color w:val="000000"/>
                <w:kern w:val="0"/>
                <w:sz w:val="22"/>
                <w:szCs w:val="22"/>
                <w:u w:val="none"/>
                <w:lang w:val="en-US" w:eastAsia="zh-CN" w:bidi="ar"/>
              </w:rPr>
              <w:t>合计</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ascii="方正书宋_GBK" w:hAnsi="方正书宋_GBK" w:eastAsia="方正书宋_GBK" w:cs="方正书宋_GBK"/>
                <w:b/>
                <w:bCs/>
                <w:i w:val="0"/>
                <w:iCs w:val="0"/>
                <w:color w:val="000000"/>
                <w:kern w:val="0"/>
                <w:sz w:val="22"/>
                <w:szCs w:val="22"/>
                <w:u w:val="none"/>
                <w:lang w:val="en-US" w:eastAsia="zh-CN" w:bidi="ar"/>
              </w:rPr>
              <w:t>一般公共预算财政拨款</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ascii="方正书宋_GBK" w:hAnsi="方正书宋_GBK" w:eastAsia="方正书宋_GBK" w:cs="方正书宋_GBK"/>
                <w:b/>
                <w:bCs/>
                <w:i w:val="0"/>
                <w:iCs w:val="0"/>
                <w:color w:val="000000"/>
                <w:kern w:val="0"/>
                <w:sz w:val="22"/>
                <w:szCs w:val="22"/>
                <w:u w:val="none"/>
                <w:lang w:val="en-US" w:eastAsia="zh-CN" w:bidi="ar"/>
              </w:rPr>
              <w:t>政府性基金预算财政拨款</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方正书宋_GBK" w:hAnsi="方正书宋_GBK" w:eastAsia="方正书宋_GBK" w:cs="方正书宋_GBK"/>
                <w:b/>
                <w:bCs/>
                <w:i w:val="0"/>
                <w:iCs w:val="0"/>
                <w:color w:val="000000"/>
                <w:sz w:val="22"/>
                <w:szCs w:val="22"/>
                <w:u w:val="none"/>
              </w:rPr>
            </w:pPr>
            <w:r>
              <w:rPr>
                <w:rFonts w:hint="default" w:ascii="方正书宋_GBK" w:hAnsi="方正书宋_GBK" w:eastAsia="方正书宋_GBK" w:cs="方正书宋_GBK"/>
                <w:b/>
                <w:bCs/>
                <w:i w:val="0"/>
                <w:iCs w:val="0"/>
                <w:color w:val="000000"/>
                <w:kern w:val="0"/>
                <w:sz w:val="22"/>
                <w:szCs w:val="22"/>
                <w:u w:val="none"/>
                <w:lang w:val="en-US" w:eastAsia="zh-CN" w:bidi="ar"/>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宋体" w:hAnsi="宋体" w:eastAsia="宋体" w:cs="宋体"/>
                <w:i w:val="0"/>
                <w:iCs w:val="0"/>
                <w:color w:val="000000"/>
                <w:kern w:val="0"/>
                <w:sz w:val="24"/>
                <w:szCs w:val="24"/>
                <w:u w:val="none"/>
                <w:lang w:val="en-US" w:eastAsia="zh-CN" w:bidi="ar"/>
              </w:rPr>
              <w:t>一、一般公共预算财政拨款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363.81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宋体" w:hAnsi="宋体" w:eastAsia="宋体" w:cs="宋体"/>
                <w:i w:val="0"/>
                <w:iCs w:val="0"/>
                <w:color w:val="000000"/>
                <w:kern w:val="0"/>
                <w:sz w:val="24"/>
                <w:szCs w:val="24"/>
                <w:u w:val="none"/>
                <w:lang w:val="en-US" w:eastAsia="zh-CN" w:bidi="ar"/>
              </w:rPr>
              <w:t>一、一般公共服务支出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297.81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297.81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宋体" w:hAnsi="宋体" w:eastAsia="宋体" w:cs="宋体"/>
                <w:i w:val="0"/>
                <w:iCs w:val="0"/>
                <w:color w:val="000000"/>
                <w:kern w:val="0"/>
                <w:sz w:val="24"/>
                <w:szCs w:val="24"/>
                <w:u w:val="none"/>
                <w:lang w:val="en-US" w:eastAsia="zh-CN" w:bidi="ar"/>
              </w:rPr>
              <w:t>二、政府性基金预算财政拨款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宋体" w:hAnsi="宋体" w:eastAsia="宋体" w:cs="宋体"/>
                <w:i w:val="0"/>
                <w:iCs w:val="0"/>
                <w:color w:val="000000"/>
                <w:kern w:val="0"/>
                <w:sz w:val="24"/>
                <w:szCs w:val="24"/>
                <w:u w:val="none"/>
                <w:lang w:val="en-US" w:eastAsia="zh-CN" w:bidi="ar"/>
              </w:rPr>
              <w:t>二、外交支出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2"/>
                <w:szCs w:val="22"/>
                <w:u w:val="none"/>
              </w:rPr>
            </w:pPr>
            <w:r>
              <w:rPr>
                <w:rFonts w:hint="default" w:ascii="方正仿宋_GBK" w:hAnsi="方正仿宋_GBK" w:eastAsia="方正仿宋_GBK" w:cs="方正仿宋_GBK"/>
                <w:i w:val="0"/>
                <w:iCs w:val="0"/>
                <w:color w:val="000000"/>
                <w:kern w:val="0"/>
                <w:sz w:val="22"/>
                <w:szCs w:val="22"/>
                <w:u w:val="none"/>
                <w:lang w:val="en-US" w:eastAsia="zh-CN" w:bidi="ar"/>
              </w:rPr>
              <w:t>三、国有资本经营预算财政拨款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宋体" w:hAnsi="宋体" w:eastAsia="宋体" w:cs="宋体"/>
                <w:i w:val="0"/>
                <w:iCs w:val="0"/>
                <w:color w:val="000000"/>
                <w:kern w:val="0"/>
                <w:sz w:val="24"/>
                <w:szCs w:val="24"/>
                <w:u w:val="none"/>
                <w:lang w:val="en-US" w:eastAsia="zh-CN" w:bidi="ar"/>
              </w:rPr>
              <w:t>三、国防支出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宋体" w:hAnsi="宋体" w:eastAsia="宋体" w:cs="宋体"/>
                <w:i w:val="0"/>
                <w:iCs w:val="0"/>
                <w:color w:val="000000"/>
                <w:kern w:val="0"/>
                <w:sz w:val="24"/>
                <w:szCs w:val="24"/>
                <w:u w:val="none"/>
                <w:lang w:val="en-US" w:eastAsia="zh-CN" w:bidi="ar"/>
              </w:rPr>
              <w:t>四、公共安全支出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宋体" w:hAnsi="宋体" w:eastAsia="宋体" w:cs="宋体"/>
                <w:i w:val="0"/>
                <w:iCs w:val="0"/>
                <w:color w:val="000000"/>
                <w:kern w:val="0"/>
                <w:sz w:val="24"/>
                <w:szCs w:val="24"/>
                <w:u w:val="none"/>
                <w:lang w:val="en-US" w:eastAsia="zh-CN" w:bidi="ar"/>
              </w:rPr>
              <w:t>五、教育支出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宋体" w:hAnsi="宋体" w:eastAsia="宋体" w:cs="宋体"/>
                <w:i w:val="0"/>
                <w:iCs w:val="0"/>
                <w:color w:val="000000"/>
                <w:kern w:val="0"/>
                <w:sz w:val="24"/>
                <w:szCs w:val="24"/>
                <w:u w:val="none"/>
                <w:lang w:val="en-US" w:eastAsia="zh-CN" w:bidi="ar"/>
              </w:rPr>
              <w:t>六、科学技术支出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宋体" w:hAnsi="宋体" w:eastAsia="宋体" w:cs="宋体"/>
                <w:i w:val="0"/>
                <w:iCs w:val="0"/>
                <w:color w:val="000000"/>
                <w:kern w:val="0"/>
                <w:sz w:val="24"/>
                <w:szCs w:val="24"/>
                <w:u w:val="none"/>
                <w:lang w:val="en-US" w:eastAsia="zh-CN" w:bidi="ar"/>
              </w:rPr>
              <w:t>七、文化体育与传媒支出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宋体" w:hAnsi="宋体" w:eastAsia="宋体" w:cs="宋体"/>
                <w:i w:val="0"/>
                <w:iCs w:val="0"/>
                <w:color w:val="000000"/>
                <w:kern w:val="0"/>
                <w:sz w:val="24"/>
                <w:szCs w:val="24"/>
                <w:u w:val="none"/>
                <w:lang w:val="en-US" w:eastAsia="zh-CN" w:bidi="ar"/>
              </w:rPr>
              <w:t>八、社会保障和就业支出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宋体" w:hAnsi="宋体" w:eastAsia="宋体" w:cs="宋体"/>
                <w:i w:val="0"/>
                <w:iCs w:val="0"/>
                <w:color w:val="000000"/>
                <w:kern w:val="0"/>
                <w:sz w:val="24"/>
                <w:szCs w:val="24"/>
                <w:u w:val="none"/>
                <w:lang w:val="en-US" w:eastAsia="zh-CN" w:bidi="ar"/>
              </w:rPr>
              <w:t>九、医疗卫生与计划生育支出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宋体" w:hAnsi="宋体" w:eastAsia="宋体" w:cs="宋体"/>
                <w:i w:val="0"/>
                <w:iCs w:val="0"/>
                <w:color w:val="000000"/>
                <w:kern w:val="0"/>
                <w:sz w:val="24"/>
                <w:szCs w:val="24"/>
                <w:u w:val="none"/>
                <w:lang w:val="en-US" w:eastAsia="zh-CN" w:bidi="ar"/>
              </w:rPr>
              <w:t>十、节能环保支出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宋体" w:hAnsi="宋体" w:eastAsia="宋体" w:cs="宋体"/>
                <w:i w:val="0"/>
                <w:iCs w:val="0"/>
                <w:color w:val="000000"/>
                <w:kern w:val="0"/>
                <w:sz w:val="24"/>
                <w:szCs w:val="24"/>
                <w:u w:val="none"/>
                <w:lang w:val="en-US" w:eastAsia="zh-CN" w:bidi="ar"/>
              </w:rPr>
              <w:t>十一、城乡社区支出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宋体" w:hAnsi="宋体" w:eastAsia="宋体" w:cs="宋体"/>
                <w:i w:val="0"/>
                <w:iCs w:val="0"/>
                <w:color w:val="000000"/>
                <w:kern w:val="0"/>
                <w:sz w:val="24"/>
                <w:szCs w:val="24"/>
                <w:u w:val="none"/>
                <w:lang w:val="en-US" w:eastAsia="zh-CN" w:bidi="ar"/>
              </w:rPr>
              <w:t>十二、农林水支出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宋体" w:hAnsi="宋体" w:eastAsia="宋体" w:cs="宋体"/>
                <w:i w:val="0"/>
                <w:iCs w:val="0"/>
                <w:color w:val="000000"/>
                <w:kern w:val="0"/>
                <w:sz w:val="24"/>
                <w:szCs w:val="24"/>
                <w:u w:val="none"/>
                <w:lang w:val="en-US" w:eastAsia="zh-CN" w:bidi="ar"/>
              </w:rPr>
              <w:t>十三、交通运输支出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宋体" w:hAnsi="宋体" w:eastAsia="宋体" w:cs="宋体"/>
                <w:i w:val="0"/>
                <w:iCs w:val="0"/>
                <w:color w:val="000000"/>
                <w:kern w:val="0"/>
                <w:sz w:val="24"/>
                <w:szCs w:val="24"/>
                <w:u w:val="none"/>
                <w:lang w:val="en-US" w:eastAsia="zh-CN" w:bidi="ar"/>
              </w:rPr>
              <w:t>十四、资源勘探信息等支出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宋体" w:hAnsi="宋体" w:eastAsia="宋体" w:cs="宋体"/>
                <w:i w:val="0"/>
                <w:iCs w:val="0"/>
                <w:color w:val="000000"/>
                <w:kern w:val="0"/>
                <w:sz w:val="24"/>
                <w:szCs w:val="24"/>
                <w:u w:val="none"/>
                <w:lang w:val="en-US" w:eastAsia="zh-CN" w:bidi="ar"/>
              </w:rPr>
              <w:t>十五、商业服务业等支出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宋体" w:hAnsi="宋体" w:eastAsia="宋体" w:cs="宋体"/>
                <w:i w:val="0"/>
                <w:iCs w:val="0"/>
                <w:color w:val="000000"/>
                <w:kern w:val="0"/>
                <w:sz w:val="24"/>
                <w:szCs w:val="24"/>
                <w:u w:val="none"/>
                <w:lang w:val="en-US" w:eastAsia="zh-CN" w:bidi="ar"/>
              </w:rPr>
              <w:t>十六、金融支出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宋体" w:hAnsi="宋体" w:eastAsia="宋体" w:cs="宋体"/>
                <w:i w:val="0"/>
                <w:iCs w:val="0"/>
                <w:color w:val="000000"/>
                <w:kern w:val="0"/>
                <w:sz w:val="24"/>
                <w:szCs w:val="24"/>
                <w:u w:val="none"/>
                <w:lang w:val="en-US" w:eastAsia="zh-CN" w:bidi="ar"/>
              </w:rPr>
              <w:t>十七、援助其他地区支出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宋体" w:hAnsi="宋体" w:eastAsia="宋体" w:cs="宋体"/>
                <w:i w:val="0"/>
                <w:iCs w:val="0"/>
                <w:color w:val="000000"/>
                <w:kern w:val="0"/>
                <w:sz w:val="24"/>
                <w:szCs w:val="24"/>
                <w:u w:val="none"/>
                <w:lang w:val="en-US" w:eastAsia="zh-CN" w:bidi="ar"/>
              </w:rPr>
              <w:t>十八、国土海洋气象等支出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宋体" w:hAnsi="宋体" w:eastAsia="宋体" w:cs="宋体"/>
                <w:i w:val="0"/>
                <w:iCs w:val="0"/>
                <w:color w:val="000000"/>
                <w:kern w:val="0"/>
                <w:sz w:val="24"/>
                <w:szCs w:val="24"/>
                <w:u w:val="none"/>
                <w:lang w:val="en-US" w:eastAsia="zh-CN" w:bidi="ar"/>
              </w:rPr>
              <w:t>十九、住房保障支出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13.2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13.2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宋体" w:hAnsi="宋体" w:eastAsia="宋体" w:cs="宋体"/>
                <w:i w:val="0"/>
                <w:iCs w:val="0"/>
                <w:color w:val="000000"/>
                <w:kern w:val="0"/>
                <w:sz w:val="24"/>
                <w:szCs w:val="24"/>
                <w:u w:val="none"/>
                <w:lang w:val="en-US" w:eastAsia="zh-CN" w:bidi="ar"/>
              </w:rPr>
              <w:t>二十、粮油物资储备支出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宋体" w:hAnsi="宋体" w:eastAsia="宋体" w:cs="宋体"/>
                <w:i w:val="0"/>
                <w:iCs w:val="0"/>
                <w:color w:val="000000"/>
                <w:kern w:val="0"/>
                <w:sz w:val="24"/>
                <w:szCs w:val="24"/>
                <w:u w:val="none"/>
                <w:lang w:val="en-US" w:eastAsia="zh-CN" w:bidi="ar"/>
              </w:rPr>
              <w:t>二十一、国债还本付息支出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宋体" w:hAnsi="宋体" w:eastAsia="宋体" w:cs="宋体"/>
                <w:i w:val="0"/>
                <w:iCs w:val="0"/>
                <w:color w:val="000000"/>
                <w:kern w:val="0"/>
                <w:sz w:val="24"/>
                <w:szCs w:val="24"/>
                <w:u w:val="none"/>
                <w:lang w:val="en-US" w:eastAsia="zh-CN" w:bidi="ar"/>
              </w:rPr>
              <w:t>二十二、其他支出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方正仿宋_GBK" w:hAnsi="方正仿宋_GBK" w:eastAsia="方正仿宋_GBK" w:cs="方正仿宋_GBK"/>
                <w:b/>
                <w:bCs/>
                <w:i w:val="0"/>
                <w:iCs w:val="0"/>
                <w:color w:val="000000"/>
                <w:kern w:val="0"/>
                <w:sz w:val="22"/>
                <w:szCs w:val="22"/>
                <w:u w:val="none"/>
                <w:lang w:val="en-US" w:eastAsia="zh-CN" w:bidi="ar"/>
              </w:rPr>
              <w:t>本年收入合计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363.81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方正仿宋_GBK" w:hAnsi="方正仿宋_GBK" w:eastAsia="方正仿宋_GBK" w:cs="方正仿宋_GBK"/>
                <w:b/>
                <w:bCs/>
                <w:i w:val="0"/>
                <w:iCs w:val="0"/>
                <w:color w:val="000000"/>
                <w:kern w:val="0"/>
                <w:sz w:val="22"/>
                <w:szCs w:val="22"/>
                <w:u w:val="none"/>
                <w:lang w:val="en-US" w:eastAsia="zh-CN" w:bidi="ar"/>
              </w:rPr>
              <w:t>本年支出合计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363.81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363.81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2"/>
                <w:szCs w:val="22"/>
                <w:u w:val="none"/>
              </w:rPr>
            </w:pPr>
            <w:r>
              <w:rPr>
                <w:rFonts w:hint="default" w:ascii="方正仿宋_GBK" w:hAnsi="方正仿宋_GBK" w:eastAsia="方正仿宋_GBK" w:cs="方正仿宋_GBK"/>
                <w:i w:val="0"/>
                <w:iCs w:val="0"/>
                <w:color w:val="000000"/>
                <w:kern w:val="0"/>
                <w:sz w:val="22"/>
                <w:szCs w:val="22"/>
                <w:u w:val="none"/>
                <w:lang w:val="en-US" w:eastAsia="zh-CN" w:bidi="ar"/>
              </w:rPr>
              <w:t>年初财政拨款结转和结余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宋体" w:hAnsi="宋体" w:eastAsia="宋体" w:cs="宋体"/>
                <w:i w:val="0"/>
                <w:iCs w:val="0"/>
                <w:color w:val="000000"/>
                <w:kern w:val="0"/>
                <w:sz w:val="24"/>
                <w:szCs w:val="24"/>
                <w:u w:val="none"/>
                <w:lang w:val="en-US" w:eastAsia="zh-CN" w:bidi="ar"/>
              </w:rPr>
              <w:t>年末结转和结余</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方正仿宋_GBK" w:hAnsi="方正仿宋_GBK" w:eastAsia="方正仿宋_GBK" w:cs="方正仿宋_GBK"/>
                <w:b/>
                <w:bCs/>
                <w:i w:val="0"/>
                <w:iCs w:val="0"/>
                <w:color w:val="000000"/>
                <w:kern w:val="0"/>
                <w:sz w:val="22"/>
                <w:szCs w:val="22"/>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363.81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方正仿宋_GBK" w:hAnsi="方正仿宋_GBK" w:eastAsia="方正仿宋_GBK" w:cs="方正仿宋_GBK"/>
                <w:b/>
                <w:bCs/>
                <w:i w:val="0"/>
                <w:iCs w:val="0"/>
                <w:color w:val="000000"/>
                <w:kern w:val="0"/>
                <w:sz w:val="22"/>
                <w:szCs w:val="22"/>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363.81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363.81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b/>
                <w:bCs/>
                <w:i w:val="0"/>
                <w:iCs w:val="0"/>
                <w:color w:val="000000"/>
                <w:sz w:val="22"/>
                <w:szCs w:val="22"/>
                <w:u w:val="none"/>
              </w:rPr>
            </w:pPr>
          </w:p>
        </w:tc>
      </w:tr>
    </w:tbl>
    <w:p/>
    <w:p/>
    <w:p/>
    <w:p/>
    <w:p/>
    <w:p/>
    <w:p/>
    <w:p/>
    <w:p/>
    <w:p/>
    <w:p/>
    <w:p/>
    <w:p/>
    <w:p/>
    <w:p/>
    <w:p/>
    <w:p/>
    <w:p/>
    <w:p/>
    <w:p/>
    <w:p/>
    <w:p/>
    <w:p/>
    <w:p/>
    <w:tbl>
      <w:tblPr>
        <w:tblStyle w:val="12"/>
        <w:tblW w:w="144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80"/>
        <w:gridCol w:w="177"/>
        <w:gridCol w:w="2595"/>
        <w:gridCol w:w="1304"/>
        <w:gridCol w:w="571"/>
        <w:gridCol w:w="1875"/>
        <w:gridCol w:w="300"/>
        <w:gridCol w:w="3251"/>
        <w:gridCol w:w="2076"/>
        <w:gridCol w:w="12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14440" w:type="dxa"/>
            <w:gridSpan w:val="10"/>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ascii="方正小标宋_GBK" w:hAnsi="方正小标宋_GBK" w:eastAsia="方正小标宋_GBK" w:cs="方正小标宋_GBK"/>
                <w:i w:val="0"/>
                <w:iCs w:val="0"/>
                <w:color w:val="000000"/>
                <w:sz w:val="36"/>
                <w:szCs w:val="36"/>
                <w:u w:val="none"/>
              </w:rPr>
            </w:pPr>
            <w:r>
              <w:rPr>
                <w:rFonts w:hint="default" w:ascii="方正小标宋_GBK" w:hAnsi="方正小标宋_GBK" w:eastAsia="方正小标宋_GBK" w:cs="方正小标宋_GBK"/>
                <w:i w:val="0"/>
                <w:iCs w:val="0"/>
                <w:color w:val="000000"/>
                <w:kern w:val="0"/>
                <w:sz w:val="36"/>
                <w:szCs w:val="36"/>
                <w:u w:val="none"/>
                <w:lang w:val="en-US" w:eastAsia="zh-CN" w:bidi="ar"/>
              </w:rPr>
              <w:t>部门预算一般公共预算财政拨款支出表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5156" w:type="dxa"/>
            <w:gridSpan w:val="4"/>
            <w:tcBorders>
              <w:top w:val="nil"/>
              <w:left w:val="nil"/>
              <w:bottom w:val="nil"/>
              <w:right w:val="nil"/>
            </w:tcBorders>
            <w:shd w:val="clear" w:color="auto" w:fill="FFFFFF"/>
            <w:noWrap/>
            <w:vAlign w:val="center"/>
          </w:tcPr>
          <w:p>
            <w:pPr>
              <w:jc w:val="left"/>
              <w:rPr>
                <w:rFonts w:hint="default" w:ascii="Times New Roman" w:hAnsi="Times New Roman" w:eastAsia="宋体" w:cs="Times New Roman"/>
                <w:i w:val="0"/>
                <w:iCs w:val="0"/>
                <w:color w:val="000000"/>
                <w:sz w:val="22"/>
                <w:szCs w:val="22"/>
                <w:u w:val="none"/>
              </w:rPr>
            </w:pPr>
            <w:r>
              <w:rPr>
                <w:rFonts w:hint="eastAsia" w:eastAsia="宋体"/>
                <w:sz w:val="24"/>
                <w:szCs w:val="24"/>
                <w:lang w:val="en-US" w:eastAsia="zh-CN"/>
              </w:rPr>
              <w:t>中国人民政治协商会议唐山市丰南区委员会</w:t>
            </w:r>
          </w:p>
        </w:tc>
        <w:tc>
          <w:tcPr>
            <w:tcW w:w="2746" w:type="dxa"/>
            <w:gridSpan w:val="3"/>
            <w:tcBorders>
              <w:top w:val="nil"/>
              <w:left w:val="nil"/>
              <w:bottom w:val="nil"/>
              <w:right w:val="nil"/>
            </w:tcBorders>
            <w:shd w:val="clear" w:color="auto" w:fill="FFFFFF"/>
            <w:vAlign w:val="center"/>
          </w:tcPr>
          <w:p>
            <w:pPr>
              <w:rPr>
                <w:rFonts w:hint="default" w:ascii="Times New Roman" w:hAnsi="Times New Roman" w:eastAsia="宋体" w:cs="Times New Roman"/>
                <w:i w:val="0"/>
                <w:iCs w:val="0"/>
                <w:color w:val="000000"/>
                <w:sz w:val="22"/>
                <w:szCs w:val="22"/>
                <w:u w:val="none"/>
              </w:rPr>
            </w:pPr>
          </w:p>
        </w:tc>
        <w:tc>
          <w:tcPr>
            <w:tcW w:w="3251" w:type="dxa"/>
            <w:tcBorders>
              <w:top w:val="nil"/>
              <w:left w:val="nil"/>
              <w:bottom w:val="nil"/>
              <w:right w:val="nil"/>
            </w:tcBorders>
            <w:shd w:val="clear" w:color="auto" w:fill="FFFFFF"/>
            <w:vAlign w:val="center"/>
          </w:tcPr>
          <w:p>
            <w:pPr>
              <w:rPr>
                <w:rFonts w:hint="default" w:ascii="Times New Roman" w:hAnsi="Times New Roman" w:eastAsia="宋体" w:cs="Times New Roman"/>
                <w:i w:val="0"/>
                <w:iCs w:val="0"/>
                <w:color w:val="000000"/>
                <w:sz w:val="22"/>
                <w:szCs w:val="22"/>
                <w:u w:val="none"/>
              </w:rPr>
            </w:pPr>
          </w:p>
        </w:tc>
        <w:tc>
          <w:tcPr>
            <w:tcW w:w="3287" w:type="dxa"/>
            <w:gridSpan w:val="2"/>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ascii="方正仿宋_GBK" w:hAnsi="方正仿宋_GBK" w:eastAsia="方正仿宋_GBK" w:cs="方正仿宋_GBK"/>
                <w:i w:val="0"/>
                <w:iCs w:val="0"/>
                <w:color w:val="000000"/>
                <w:kern w:val="0"/>
                <w:sz w:val="22"/>
                <w:szCs w:val="22"/>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64" w:hRule="atLeast"/>
        </w:trPr>
        <w:tc>
          <w:tcPr>
            <w:tcW w:w="515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书宋_GBK" w:hAnsi="方正书宋_GBK" w:eastAsia="方正书宋_GBK" w:cs="方正书宋_GBK"/>
                <w:b/>
                <w:bCs/>
                <w:i w:val="0"/>
                <w:iCs w:val="0"/>
                <w:color w:val="000000"/>
                <w:sz w:val="22"/>
                <w:szCs w:val="22"/>
                <w:u w:val="none"/>
              </w:rPr>
            </w:pPr>
            <w:r>
              <w:rPr>
                <w:rFonts w:hint="default" w:ascii="方正书宋_GBK" w:hAnsi="方正书宋_GBK" w:eastAsia="方正书宋_GBK" w:cs="方正书宋_GBK"/>
                <w:b/>
                <w:bCs/>
                <w:i w:val="0"/>
                <w:iCs w:val="0"/>
                <w:color w:val="000000"/>
                <w:kern w:val="0"/>
                <w:sz w:val="22"/>
                <w:szCs w:val="22"/>
                <w:u w:val="none"/>
                <w:lang w:val="en-US" w:eastAsia="zh-CN" w:bidi="ar"/>
              </w:rPr>
              <w:t>科目</w:t>
            </w:r>
          </w:p>
        </w:tc>
        <w:tc>
          <w:tcPr>
            <w:tcW w:w="2746"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书宋_GBK" w:hAnsi="方正书宋_GBK" w:eastAsia="方正书宋_GBK" w:cs="方正书宋_GBK"/>
                <w:b/>
                <w:bCs/>
                <w:i w:val="0"/>
                <w:iCs w:val="0"/>
                <w:color w:val="000000"/>
                <w:sz w:val="22"/>
                <w:szCs w:val="22"/>
                <w:u w:val="none"/>
              </w:rPr>
            </w:pPr>
            <w:r>
              <w:rPr>
                <w:rFonts w:hint="default" w:ascii="方正书宋_GBK" w:hAnsi="方正书宋_GBK" w:eastAsia="方正书宋_GBK" w:cs="方正书宋_GBK"/>
                <w:b/>
                <w:bCs/>
                <w:i w:val="0"/>
                <w:iCs w:val="0"/>
                <w:color w:val="000000"/>
                <w:kern w:val="0"/>
                <w:sz w:val="22"/>
                <w:szCs w:val="22"/>
                <w:u w:val="none"/>
                <w:lang w:val="en-US" w:eastAsia="zh-CN" w:bidi="ar"/>
              </w:rPr>
              <w:t>合计</w:t>
            </w:r>
          </w:p>
        </w:tc>
        <w:tc>
          <w:tcPr>
            <w:tcW w:w="32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方正书宋_GBK" w:hAnsi="方正书宋_GBK" w:eastAsia="方正书宋_GBK" w:cs="方正书宋_GBK"/>
                <w:b/>
                <w:bCs/>
                <w:i w:val="0"/>
                <w:iCs w:val="0"/>
                <w:color w:val="000000"/>
                <w:kern w:val="0"/>
                <w:sz w:val="22"/>
                <w:szCs w:val="22"/>
                <w:u w:val="none"/>
                <w:lang w:val="en-US" w:eastAsia="zh-CN" w:bidi="ar"/>
              </w:rPr>
              <w:t>基本支出</w:t>
            </w:r>
            <w:r>
              <w:rPr>
                <w:rFonts w:hint="default" w:ascii="Times New Roman" w:hAnsi="Times New Roman" w:eastAsia="宋体" w:cs="Times New Roman"/>
                <w:b/>
                <w:bCs/>
                <w:i w:val="0"/>
                <w:iCs w:val="0"/>
                <w:color w:val="000000"/>
                <w:kern w:val="0"/>
                <w:sz w:val="22"/>
                <w:szCs w:val="22"/>
                <w:u w:val="none"/>
                <w:lang w:val="en-US" w:eastAsia="zh-CN" w:bidi="ar"/>
              </w:rPr>
              <w:t xml:space="preserve">  </w:t>
            </w:r>
          </w:p>
        </w:tc>
        <w:tc>
          <w:tcPr>
            <w:tcW w:w="328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方正书宋_GBK" w:hAnsi="方正书宋_GBK" w:eastAsia="方正书宋_GBK" w:cs="方正书宋_GBK"/>
                <w:b/>
                <w:bCs/>
                <w:i w:val="0"/>
                <w:iCs w:val="0"/>
                <w:color w:val="000000"/>
                <w:kern w:val="0"/>
                <w:sz w:val="22"/>
                <w:szCs w:val="2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6" w:hRule="atLeast"/>
        </w:trPr>
        <w:tc>
          <w:tcPr>
            <w:tcW w:w="125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方正书宋_GBK" w:hAnsi="方正书宋_GBK" w:eastAsia="方正书宋_GBK" w:cs="方正书宋_GBK"/>
                <w:b/>
                <w:bCs/>
                <w:i w:val="0"/>
                <w:iCs w:val="0"/>
                <w:color w:val="000000"/>
                <w:kern w:val="0"/>
                <w:sz w:val="22"/>
                <w:szCs w:val="22"/>
                <w:u w:val="none"/>
                <w:lang w:val="en-US" w:eastAsia="zh-CN" w:bidi="ar"/>
              </w:rPr>
              <w:t>功能分类科目编码</w:t>
            </w:r>
          </w:p>
        </w:tc>
        <w:tc>
          <w:tcPr>
            <w:tcW w:w="389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方正书宋_GBK" w:hAnsi="方正书宋_GBK" w:eastAsia="方正书宋_GBK" w:cs="方正书宋_GBK"/>
                <w:b/>
                <w:bCs/>
                <w:i w:val="0"/>
                <w:iCs w:val="0"/>
                <w:color w:val="000000"/>
                <w:kern w:val="0"/>
                <w:sz w:val="22"/>
                <w:szCs w:val="22"/>
                <w:u w:val="none"/>
                <w:lang w:val="en-US" w:eastAsia="zh-CN" w:bidi="ar"/>
              </w:rPr>
              <w:t>科目名称</w:t>
            </w:r>
          </w:p>
        </w:tc>
        <w:tc>
          <w:tcPr>
            <w:tcW w:w="274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书宋_GBK" w:hAnsi="方正书宋_GBK" w:eastAsia="方正书宋_GBK" w:cs="方正书宋_GBK"/>
                <w:b/>
                <w:bCs/>
                <w:i w:val="0"/>
                <w:iCs w:val="0"/>
                <w:color w:val="000000"/>
                <w:sz w:val="22"/>
                <w:szCs w:val="22"/>
                <w:u w:val="none"/>
              </w:rPr>
            </w:pPr>
          </w:p>
        </w:tc>
        <w:tc>
          <w:tcPr>
            <w:tcW w:w="32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22"/>
                <w:szCs w:val="22"/>
                <w:u w:val="none"/>
              </w:rPr>
            </w:pPr>
          </w:p>
        </w:tc>
        <w:tc>
          <w:tcPr>
            <w:tcW w:w="328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6" w:hRule="atLeast"/>
        </w:trPr>
        <w:tc>
          <w:tcPr>
            <w:tcW w:w="12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22"/>
                <w:szCs w:val="22"/>
                <w:u w:val="none"/>
              </w:rPr>
            </w:pPr>
          </w:p>
        </w:tc>
        <w:tc>
          <w:tcPr>
            <w:tcW w:w="389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22"/>
                <w:szCs w:val="22"/>
                <w:u w:val="none"/>
              </w:rPr>
            </w:pPr>
          </w:p>
        </w:tc>
        <w:tc>
          <w:tcPr>
            <w:tcW w:w="274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书宋_GBK" w:hAnsi="方正书宋_GBK" w:eastAsia="方正书宋_GBK" w:cs="方正书宋_GBK"/>
                <w:b/>
                <w:bCs/>
                <w:i w:val="0"/>
                <w:iCs w:val="0"/>
                <w:color w:val="000000"/>
                <w:sz w:val="22"/>
                <w:szCs w:val="22"/>
                <w:u w:val="none"/>
              </w:rPr>
            </w:pPr>
          </w:p>
        </w:tc>
        <w:tc>
          <w:tcPr>
            <w:tcW w:w="32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22"/>
                <w:szCs w:val="22"/>
                <w:u w:val="none"/>
              </w:rPr>
            </w:pPr>
          </w:p>
        </w:tc>
        <w:tc>
          <w:tcPr>
            <w:tcW w:w="328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86" w:hRule="atLeast"/>
        </w:trPr>
        <w:tc>
          <w:tcPr>
            <w:tcW w:w="12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22"/>
                <w:szCs w:val="22"/>
                <w:u w:val="none"/>
              </w:rPr>
            </w:pPr>
          </w:p>
        </w:tc>
        <w:tc>
          <w:tcPr>
            <w:tcW w:w="389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22"/>
                <w:szCs w:val="22"/>
                <w:u w:val="none"/>
              </w:rPr>
            </w:pPr>
          </w:p>
        </w:tc>
        <w:tc>
          <w:tcPr>
            <w:tcW w:w="274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书宋_GBK" w:hAnsi="方正书宋_GBK" w:eastAsia="方正书宋_GBK" w:cs="方正书宋_GBK"/>
                <w:b/>
                <w:bCs/>
                <w:i w:val="0"/>
                <w:iCs w:val="0"/>
                <w:color w:val="000000"/>
                <w:sz w:val="22"/>
                <w:szCs w:val="22"/>
                <w:u w:val="none"/>
              </w:rPr>
            </w:pPr>
          </w:p>
        </w:tc>
        <w:tc>
          <w:tcPr>
            <w:tcW w:w="32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22"/>
                <w:szCs w:val="22"/>
                <w:u w:val="none"/>
              </w:rPr>
            </w:pPr>
          </w:p>
        </w:tc>
        <w:tc>
          <w:tcPr>
            <w:tcW w:w="328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4" w:hRule="atLeast"/>
        </w:trPr>
        <w:tc>
          <w:tcPr>
            <w:tcW w:w="515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方正仿宋_GBK" w:hAnsi="方正仿宋_GBK" w:eastAsia="方正仿宋_GBK" w:cs="方正仿宋_GBK"/>
                <w:i w:val="0"/>
                <w:iCs w:val="0"/>
                <w:color w:val="000000"/>
                <w:kern w:val="0"/>
                <w:sz w:val="22"/>
                <w:szCs w:val="22"/>
                <w:u w:val="none"/>
                <w:lang w:val="en-US" w:eastAsia="zh-CN" w:bidi="ar"/>
              </w:rPr>
              <w:t>合计</w:t>
            </w:r>
          </w:p>
        </w:tc>
        <w:tc>
          <w:tcPr>
            <w:tcW w:w="274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363.81</w:t>
            </w:r>
          </w:p>
        </w:tc>
        <w:tc>
          <w:tcPr>
            <w:tcW w:w="32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257.86</w:t>
            </w:r>
          </w:p>
        </w:tc>
        <w:tc>
          <w:tcPr>
            <w:tcW w:w="32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105.95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4" w:hRule="atLeast"/>
        </w:trPr>
        <w:tc>
          <w:tcPr>
            <w:tcW w:w="125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w:t>
            </w:r>
          </w:p>
        </w:tc>
        <w:tc>
          <w:tcPr>
            <w:tcW w:w="389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一般公共服务支出</w:t>
            </w:r>
          </w:p>
        </w:tc>
        <w:tc>
          <w:tcPr>
            <w:tcW w:w="274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297.81</w:t>
            </w:r>
          </w:p>
        </w:tc>
        <w:tc>
          <w:tcPr>
            <w:tcW w:w="32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191.86</w:t>
            </w:r>
          </w:p>
        </w:tc>
        <w:tc>
          <w:tcPr>
            <w:tcW w:w="32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105.95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4" w:hRule="atLeast"/>
        </w:trPr>
        <w:tc>
          <w:tcPr>
            <w:tcW w:w="125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20102</w:t>
            </w:r>
          </w:p>
        </w:tc>
        <w:tc>
          <w:tcPr>
            <w:tcW w:w="389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政协事务</w:t>
            </w:r>
          </w:p>
        </w:tc>
        <w:tc>
          <w:tcPr>
            <w:tcW w:w="274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297.81</w:t>
            </w:r>
          </w:p>
        </w:tc>
        <w:tc>
          <w:tcPr>
            <w:tcW w:w="32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191.86</w:t>
            </w:r>
          </w:p>
        </w:tc>
        <w:tc>
          <w:tcPr>
            <w:tcW w:w="32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105.95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4" w:hRule="atLeast"/>
        </w:trPr>
        <w:tc>
          <w:tcPr>
            <w:tcW w:w="125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2010201</w:t>
            </w:r>
          </w:p>
        </w:tc>
        <w:tc>
          <w:tcPr>
            <w:tcW w:w="389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274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231.56</w:t>
            </w:r>
          </w:p>
        </w:tc>
        <w:tc>
          <w:tcPr>
            <w:tcW w:w="32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191.86</w:t>
            </w:r>
          </w:p>
        </w:tc>
        <w:tc>
          <w:tcPr>
            <w:tcW w:w="32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4" w:hRule="atLeast"/>
        </w:trPr>
        <w:tc>
          <w:tcPr>
            <w:tcW w:w="125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2010204</w:t>
            </w:r>
          </w:p>
        </w:tc>
        <w:tc>
          <w:tcPr>
            <w:tcW w:w="389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政协会议</w:t>
            </w:r>
          </w:p>
        </w:tc>
        <w:tc>
          <w:tcPr>
            <w:tcW w:w="274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14.4</w:t>
            </w:r>
          </w:p>
        </w:tc>
        <w:tc>
          <w:tcPr>
            <w:tcW w:w="32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32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4" w:hRule="atLeast"/>
        </w:trPr>
        <w:tc>
          <w:tcPr>
            <w:tcW w:w="125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2010205</w:t>
            </w:r>
          </w:p>
        </w:tc>
        <w:tc>
          <w:tcPr>
            <w:tcW w:w="389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委员视察</w:t>
            </w:r>
          </w:p>
        </w:tc>
        <w:tc>
          <w:tcPr>
            <w:tcW w:w="274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31.55</w:t>
            </w:r>
          </w:p>
        </w:tc>
        <w:tc>
          <w:tcPr>
            <w:tcW w:w="32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32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31.55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4" w:hRule="atLeast"/>
        </w:trPr>
        <w:tc>
          <w:tcPr>
            <w:tcW w:w="125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2010299</w:t>
            </w:r>
          </w:p>
        </w:tc>
        <w:tc>
          <w:tcPr>
            <w:tcW w:w="38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其他政协事务支出—业务差旅费</w:t>
            </w:r>
          </w:p>
        </w:tc>
        <w:tc>
          <w:tcPr>
            <w:tcW w:w="274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20.3</w:t>
            </w:r>
          </w:p>
        </w:tc>
        <w:tc>
          <w:tcPr>
            <w:tcW w:w="32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32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4" w:hRule="atLeast"/>
        </w:trPr>
        <w:tc>
          <w:tcPr>
            <w:tcW w:w="125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389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274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30.8</w:t>
            </w:r>
          </w:p>
        </w:tc>
        <w:tc>
          <w:tcPr>
            <w:tcW w:w="32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30.8</w:t>
            </w:r>
          </w:p>
        </w:tc>
        <w:tc>
          <w:tcPr>
            <w:tcW w:w="32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4" w:hRule="atLeast"/>
        </w:trPr>
        <w:tc>
          <w:tcPr>
            <w:tcW w:w="125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389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基本养老保险缴费</w:t>
            </w:r>
          </w:p>
        </w:tc>
        <w:tc>
          <w:tcPr>
            <w:tcW w:w="274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22</w:t>
            </w:r>
          </w:p>
        </w:tc>
        <w:tc>
          <w:tcPr>
            <w:tcW w:w="32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22</w:t>
            </w:r>
          </w:p>
        </w:tc>
        <w:tc>
          <w:tcPr>
            <w:tcW w:w="32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4" w:hRule="atLeast"/>
        </w:trPr>
        <w:tc>
          <w:tcPr>
            <w:tcW w:w="125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2080506</w:t>
            </w:r>
          </w:p>
        </w:tc>
        <w:tc>
          <w:tcPr>
            <w:tcW w:w="389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机关事业单位职业年金缴费</w:t>
            </w:r>
          </w:p>
        </w:tc>
        <w:tc>
          <w:tcPr>
            <w:tcW w:w="274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8.8</w:t>
            </w:r>
          </w:p>
        </w:tc>
        <w:tc>
          <w:tcPr>
            <w:tcW w:w="32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8.8</w:t>
            </w:r>
          </w:p>
        </w:tc>
        <w:tc>
          <w:tcPr>
            <w:tcW w:w="32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4" w:hRule="atLeast"/>
        </w:trPr>
        <w:tc>
          <w:tcPr>
            <w:tcW w:w="125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389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医疗卫生与计划生育支出</w:t>
            </w:r>
          </w:p>
        </w:tc>
        <w:tc>
          <w:tcPr>
            <w:tcW w:w="274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22</w:t>
            </w:r>
          </w:p>
        </w:tc>
        <w:tc>
          <w:tcPr>
            <w:tcW w:w="32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22</w:t>
            </w:r>
          </w:p>
        </w:tc>
        <w:tc>
          <w:tcPr>
            <w:tcW w:w="32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54" w:hRule="atLeast"/>
        </w:trPr>
        <w:tc>
          <w:tcPr>
            <w:tcW w:w="125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w:t>
            </w:r>
          </w:p>
        </w:tc>
        <w:tc>
          <w:tcPr>
            <w:tcW w:w="389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医疗保障</w:t>
            </w:r>
          </w:p>
        </w:tc>
        <w:tc>
          <w:tcPr>
            <w:tcW w:w="274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22</w:t>
            </w:r>
          </w:p>
        </w:tc>
        <w:tc>
          <w:tcPr>
            <w:tcW w:w="32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22</w:t>
            </w:r>
          </w:p>
        </w:tc>
        <w:tc>
          <w:tcPr>
            <w:tcW w:w="32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4" w:hRule="atLeast"/>
        </w:trPr>
        <w:tc>
          <w:tcPr>
            <w:tcW w:w="125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2101101</w:t>
            </w:r>
          </w:p>
        </w:tc>
        <w:tc>
          <w:tcPr>
            <w:tcW w:w="389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行政单位医疗</w:t>
            </w:r>
          </w:p>
        </w:tc>
        <w:tc>
          <w:tcPr>
            <w:tcW w:w="274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22</w:t>
            </w:r>
          </w:p>
        </w:tc>
        <w:tc>
          <w:tcPr>
            <w:tcW w:w="32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22</w:t>
            </w:r>
          </w:p>
        </w:tc>
        <w:tc>
          <w:tcPr>
            <w:tcW w:w="32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4" w:hRule="atLeast"/>
        </w:trPr>
        <w:tc>
          <w:tcPr>
            <w:tcW w:w="125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w:t>
            </w:r>
          </w:p>
        </w:tc>
        <w:tc>
          <w:tcPr>
            <w:tcW w:w="389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住房保障支出</w:t>
            </w:r>
          </w:p>
        </w:tc>
        <w:tc>
          <w:tcPr>
            <w:tcW w:w="274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13.2</w:t>
            </w:r>
          </w:p>
        </w:tc>
        <w:tc>
          <w:tcPr>
            <w:tcW w:w="32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13.2</w:t>
            </w:r>
          </w:p>
        </w:tc>
        <w:tc>
          <w:tcPr>
            <w:tcW w:w="32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54" w:hRule="atLeast"/>
        </w:trPr>
        <w:tc>
          <w:tcPr>
            <w:tcW w:w="125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w:t>
            </w:r>
          </w:p>
        </w:tc>
        <w:tc>
          <w:tcPr>
            <w:tcW w:w="389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住房改革支出</w:t>
            </w:r>
          </w:p>
        </w:tc>
        <w:tc>
          <w:tcPr>
            <w:tcW w:w="274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13.2</w:t>
            </w:r>
          </w:p>
        </w:tc>
        <w:tc>
          <w:tcPr>
            <w:tcW w:w="32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13.2</w:t>
            </w:r>
          </w:p>
        </w:tc>
        <w:tc>
          <w:tcPr>
            <w:tcW w:w="32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66" w:hRule="atLeast"/>
        </w:trPr>
        <w:tc>
          <w:tcPr>
            <w:tcW w:w="125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389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274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13.2</w:t>
            </w:r>
          </w:p>
        </w:tc>
        <w:tc>
          <w:tcPr>
            <w:tcW w:w="32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13.2</w:t>
            </w:r>
          </w:p>
        </w:tc>
        <w:tc>
          <w:tcPr>
            <w:tcW w:w="32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11" w:type="dxa"/>
          <w:trHeight w:val="600" w:hRule="atLeast"/>
        </w:trPr>
        <w:tc>
          <w:tcPr>
            <w:tcW w:w="13229" w:type="dxa"/>
            <w:gridSpan w:val="9"/>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ascii="方正小标宋_GBK" w:hAnsi="方正小标宋_GBK" w:eastAsia="方正小标宋_GBK" w:cs="方正小标宋_GBK"/>
                <w:i w:val="0"/>
                <w:iCs w:val="0"/>
                <w:color w:val="000000"/>
                <w:sz w:val="36"/>
                <w:szCs w:val="36"/>
                <w:u w:val="none"/>
              </w:rPr>
            </w:pPr>
            <w:r>
              <w:rPr>
                <w:rFonts w:hint="default" w:ascii="方正小标宋_GBK" w:hAnsi="方正小标宋_GBK" w:eastAsia="方正小标宋_GBK" w:cs="方正小标宋_GBK"/>
                <w:i w:val="0"/>
                <w:iCs w:val="0"/>
                <w:color w:val="000000"/>
                <w:kern w:val="0"/>
                <w:sz w:val="36"/>
                <w:szCs w:val="36"/>
                <w:u w:val="none"/>
                <w:lang w:val="en-US" w:eastAsia="zh-CN" w:bidi="ar"/>
              </w:rPr>
              <w:t>部门预算一般公共预算财政拨款基本支出表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11" w:type="dxa"/>
          <w:trHeight w:val="300" w:hRule="atLeast"/>
        </w:trPr>
        <w:tc>
          <w:tcPr>
            <w:tcW w:w="5727" w:type="dxa"/>
            <w:gridSpan w:val="5"/>
            <w:tcBorders>
              <w:top w:val="nil"/>
              <w:left w:val="nil"/>
              <w:bottom w:val="nil"/>
              <w:right w:val="nil"/>
            </w:tcBorders>
            <w:shd w:val="clear" w:color="auto" w:fill="FFFFFF"/>
            <w:noWrap/>
            <w:vAlign w:val="center"/>
          </w:tcPr>
          <w:p>
            <w:pPr>
              <w:jc w:val="left"/>
              <w:rPr>
                <w:rFonts w:hint="default" w:ascii="Times New Roman" w:hAnsi="Times New Roman" w:eastAsia="宋体" w:cs="Times New Roman"/>
                <w:i w:val="0"/>
                <w:iCs w:val="0"/>
                <w:color w:val="000000"/>
                <w:sz w:val="22"/>
                <w:szCs w:val="22"/>
                <w:u w:val="none"/>
              </w:rPr>
            </w:pPr>
            <w:r>
              <w:rPr>
                <w:rFonts w:hint="eastAsia" w:eastAsia="宋体"/>
                <w:sz w:val="24"/>
                <w:szCs w:val="24"/>
                <w:lang w:val="en-US" w:eastAsia="zh-CN"/>
              </w:rPr>
              <w:t>中国人民政治协商会议唐山市丰南区委员会</w:t>
            </w:r>
          </w:p>
        </w:tc>
        <w:tc>
          <w:tcPr>
            <w:tcW w:w="1875" w:type="dxa"/>
            <w:tcBorders>
              <w:top w:val="nil"/>
              <w:left w:val="nil"/>
              <w:bottom w:val="nil"/>
              <w:right w:val="nil"/>
            </w:tcBorders>
            <w:shd w:val="clear" w:color="auto" w:fill="FFFFFF"/>
            <w:vAlign w:val="center"/>
          </w:tcPr>
          <w:p>
            <w:pPr>
              <w:jc w:val="center"/>
              <w:rPr>
                <w:rFonts w:hint="default" w:ascii="Times New Roman" w:hAnsi="Times New Roman" w:eastAsia="宋体" w:cs="Times New Roman"/>
                <w:i w:val="0"/>
                <w:iCs w:val="0"/>
                <w:color w:val="000000"/>
                <w:sz w:val="22"/>
                <w:szCs w:val="22"/>
                <w:u w:val="none"/>
              </w:rPr>
            </w:pPr>
          </w:p>
        </w:tc>
        <w:tc>
          <w:tcPr>
            <w:tcW w:w="5627" w:type="dxa"/>
            <w:gridSpan w:val="3"/>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ascii="方正仿宋_GBK" w:hAnsi="方正仿宋_GBK" w:eastAsia="方正仿宋_GBK" w:cs="方正仿宋_GBK"/>
                <w:i w:val="0"/>
                <w:iCs w:val="0"/>
                <w:color w:val="000000"/>
                <w:kern w:val="0"/>
                <w:sz w:val="22"/>
                <w:szCs w:val="22"/>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11" w:type="dxa"/>
          <w:trHeight w:val="300" w:hRule="atLeast"/>
        </w:trPr>
        <w:tc>
          <w:tcPr>
            <w:tcW w:w="38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书宋_GBK" w:hAnsi="方正书宋_GBK" w:eastAsia="方正书宋_GBK" w:cs="方正书宋_GBK"/>
                <w:b/>
                <w:bCs/>
                <w:i w:val="0"/>
                <w:iCs w:val="0"/>
                <w:color w:val="000000"/>
                <w:sz w:val="22"/>
                <w:szCs w:val="22"/>
                <w:u w:val="none"/>
              </w:rPr>
            </w:pPr>
            <w:r>
              <w:rPr>
                <w:rFonts w:hint="default" w:ascii="方正书宋_GBK" w:hAnsi="方正书宋_GBK" w:eastAsia="方正书宋_GBK" w:cs="方正书宋_GBK"/>
                <w:b/>
                <w:bCs/>
                <w:i w:val="0"/>
                <w:iCs w:val="0"/>
                <w:color w:val="000000"/>
                <w:kern w:val="0"/>
                <w:sz w:val="22"/>
                <w:szCs w:val="22"/>
                <w:u w:val="none"/>
                <w:lang w:val="en-US" w:eastAsia="zh-CN" w:bidi="ar"/>
              </w:rPr>
              <w:t>科目</w:t>
            </w:r>
          </w:p>
        </w:tc>
        <w:tc>
          <w:tcPr>
            <w:tcW w:w="937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书宋_GBK" w:hAnsi="方正书宋_GBK" w:eastAsia="方正书宋_GBK" w:cs="方正书宋_GBK"/>
                <w:b/>
                <w:bCs/>
                <w:i w:val="0"/>
                <w:iCs w:val="0"/>
                <w:color w:val="000000"/>
                <w:sz w:val="22"/>
                <w:szCs w:val="22"/>
                <w:u w:val="none"/>
              </w:rPr>
            </w:pPr>
            <w:r>
              <w:rPr>
                <w:rFonts w:hint="default" w:ascii="方正书宋_GBK" w:hAnsi="方正书宋_GBK" w:eastAsia="方正书宋_GBK" w:cs="方正书宋_GBK"/>
                <w:b/>
                <w:bCs/>
                <w:i w:val="0"/>
                <w:iCs w:val="0"/>
                <w:color w:val="000000"/>
                <w:kern w:val="0"/>
                <w:sz w:val="22"/>
                <w:szCs w:val="22"/>
                <w:u w:val="none"/>
                <w:lang w:val="en-US" w:eastAsia="zh-CN" w:bidi="ar"/>
              </w:rPr>
              <w:t>基本支出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11" w:type="dxa"/>
          <w:trHeight w:val="3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方正书宋_GBK" w:hAnsi="方正书宋_GBK" w:eastAsia="方正书宋_GBK" w:cs="方正书宋_GBK"/>
                <w:b/>
                <w:bCs/>
                <w:i w:val="0"/>
                <w:iCs w:val="0"/>
                <w:color w:val="000000"/>
                <w:kern w:val="0"/>
                <w:sz w:val="22"/>
                <w:szCs w:val="22"/>
                <w:u w:val="none"/>
                <w:lang w:val="en-US" w:eastAsia="zh-CN" w:bidi="ar"/>
              </w:rPr>
              <w:t>经济分类科目编码</w:t>
            </w:r>
          </w:p>
        </w:tc>
        <w:tc>
          <w:tcPr>
            <w:tcW w:w="27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方正书宋_GBK" w:hAnsi="方正书宋_GBK" w:eastAsia="方正书宋_GBK" w:cs="方正书宋_GBK"/>
                <w:b/>
                <w:bCs/>
                <w:i w:val="0"/>
                <w:iCs w:val="0"/>
                <w:color w:val="000000"/>
                <w:kern w:val="0"/>
                <w:sz w:val="22"/>
                <w:szCs w:val="22"/>
                <w:u w:val="none"/>
                <w:lang w:val="en-US" w:eastAsia="zh-CN" w:bidi="ar"/>
              </w:rPr>
              <w:t>科目名称</w:t>
            </w: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人员经费</w:t>
            </w:r>
          </w:p>
        </w:tc>
        <w:tc>
          <w:tcPr>
            <w:tcW w:w="56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11" w:type="dxa"/>
          <w:trHeight w:val="300" w:hRule="atLeast"/>
        </w:trPr>
        <w:tc>
          <w:tcPr>
            <w:tcW w:w="38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方正仿宋_GBK" w:hAnsi="方正仿宋_GBK" w:eastAsia="方正仿宋_GBK" w:cs="方正仿宋_GBK"/>
                <w:i w:val="0"/>
                <w:iCs w:val="0"/>
                <w:color w:val="000000"/>
                <w:kern w:val="0"/>
                <w:sz w:val="22"/>
                <w:szCs w:val="22"/>
                <w:u w:val="none"/>
                <w:lang w:val="en-US" w:eastAsia="zh-CN" w:bidi="ar"/>
              </w:rPr>
              <w:t>合计</w:t>
            </w: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257.86 </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223.29</w:t>
            </w:r>
          </w:p>
        </w:tc>
        <w:tc>
          <w:tcPr>
            <w:tcW w:w="56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34.57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11" w:type="dxa"/>
          <w:trHeight w:val="300" w:hRule="atLeast"/>
        </w:trPr>
        <w:tc>
          <w:tcPr>
            <w:tcW w:w="108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30101</w:t>
            </w:r>
          </w:p>
        </w:tc>
        <w:tc>
          <w:tcPr>
            <w:tcW w:w="2772" w:type="dxa"/>
            <w:gridSpan w:val="2"/>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基本工资</w:t>
            </w: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65.60 </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65.6</w:t>
            </w:r>
          </w:p>
        </w:tc>
        <w:tc>
          <w:tcPr>
            <w:tcW w:w="56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11" w:type="dxa"/>
          <w:trHeight w:val="300" w:hRule="atLeast"/>
        </w:trPr>
        <w:tc>
          <w:tcPr>
            <w:tcW w:w="108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30102</w:t>
            </w:r>
          </w:p>
        </w:tc>
        <w:tc>
          <w:tcPr>
            <w:tcW w:w="2772" w:type="dxa"/>
            <w:gridSpan w:val="2"/>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津贴补贴</w:t>
            </w: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47.53 </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47.53</w:t>
            </w:r>
          </w:p>
        </w:tc>
        <w:tc>
          <w:tcPr>
            <w:tcW w:w="56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11" w:type="dxa"/>
          <w:trHeight w:val="300" w:hRule="atLeast"/>
        </w:trPr>
        <w:tc>
          <w:tcPr>
            <w:tcW w:w="108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30207</w:t>
            </w:r>
          </w:p>
        </w:tc>
        <w:tc>
          <w:tcPr>
            <w:tcW w:w="2772" w:type="dxa"/>
            <w:gridSpan w:val="2"/>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公务移动话费补贴/邮电费</w:t>
            </w: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4.06 </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2.36</w:t>
            </w:r>
          </w:p>
        </w:tc>
        <w:tc>
          <w:tcPr>
            <w:tcW w:w="56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11" w:type="dxa"/>
          <w:trHeight w:val="300" w:hRule="atLeast"/>
        </w:trPr>
        <w:tc>
          <w:tcPr>
            <w:tcW w:w="108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30239</w:t>
            </w:r>
          </w:p>
        </w:tc>
        <w:tc>
          <w:tcPr>
            <w:tcW w:w="2772" w:type="dxa"/>
            <w:gridSpan w:val="2"/>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公务交通补助</w:t>
            </w: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11.15 </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11.15</w:t>
            </w:r>
          </w:p>
        </w:tc>
        <w:tc>
          <w:tcPr>
            <w:tcW w:w="56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11" w:type="dxa"/>
          <w:trHeight w:val="300" w:hRule="atLeast"/>
        </w:trPr>
        <w:tc>
          <w:tcPr>
            <w:tcW w:w="108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30103</w:t>
            </w:r>
          </w:p>
        </w:tc>
        <w:tc>
          <w:tcPr>
            <w:tcW w:w="2772" w:type="dxa"/>
            <w:gridSpan w:val="2"/>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奖金</w:t>
            </w: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11.77 </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11.77</w:t>
            </w:r>
          </w:p>
        </w:tc>
        <w:tc>
          <w:tcPr>
            <w:tcW w:w="56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11" w:type="dxa"/>
          <w:trHeight w:val="300" w:hRule="atLeast"/>
        </w:trPr>
        <w:tc>
          <w:tcPr>
            <w:tcW w:w="1080"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30108</w:t>
            </w:r>
          </w:p>
        </w:tc>
        <w:tc>
          <w:tcPr>
            <w:tcW w:w="2772" w:type="dxa"/>
            <w:gridSpan w:val="2"/>
            <w:tcBorders>
              <w:top w:val="single" w:color="000000" w:sz="4" w:space="0"/>
              <w:left w:val="nil"/>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基本养老保险缴费</w:t>
            </w: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22.00 </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22</w:t>
            </w:r>
          </w:p>
        </w:tc>
        <w:tc>
          <w:tcPr>
            <w:tcW w:w="56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11" w:type="dxa"/>
          <w:trHeight w:val="300" w:hRule="atLeast"/>
        </w:trPr>
        <w:tc>
          <w:tcPr>
            <w:tcW w:w="1080"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30109</w:t>
            </w:r>
          </w:p>
        </w:tc>
        <w:tc>
          <w:tcPr>
            <w:tcW w:w="2772" w:type="dxa"/>
            <w:gridSpan w:val="2"/>
            <w:tcBorders>
              <w:top w:val="single" w:color="000000" w:sz="4" w:space="0"/>
              <w:left w:val="nil"/>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职业年金</w:t>
            </w: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8.80 </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8.8</w:t>
            </w:r>
          </w:p>
        </w:tc>
        <w:tc>
          <w:tcPr>
            <w:tcW w:w="56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11" w:type="dxa"/>
          <w:trHeight w:val="300" w:hRule="atLeast"/>
        </w:trPr>
        <w:tc>
          <w:tcPr>
            <w:tcW w:w="1080"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30104</w:t>
            </w:r>
          </w:p>
        </w:tc>
        <w:tc>
          <w:tcPr>
            <w:tcW w:w="2772" w:type="dxa"/>
            <w:gridSpan w:val="2"/>
            <w:tcBorders>
              <w:top w:val="single" w:color="000000" w:sz="4" w:space="0"/>
              <w:left w:val="nil"/>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社会保障缴费</w:t>
            </w: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22.09 </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22.09</w:t>
            </w:r>
          </w:p>
        </w:tc>
        <w:tc>
          <w:tcPr>
            <w:tcW w:w="56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After w:val="1"/>
          <w:wAfter w:w="1211" w:type="dxa"/>
          <w:trHeight w:val="300" w:hRule="atLeast"/>
        </w:trPr>
        <w:tc>
          <w:tcPr>
            <w:tcW w:w="108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30107</w:t>
            </w:r>
          </w:p>
        </w:tc>
        <w:tc>
          <w:tcPr>
            <w:tcW w:w="2772" w:type="dxa"/>
            <w:gridSpan w:val="2"/>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绩效工资</w:t>
            </w: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3.35 </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3.35</w:t>
            </w:r>
          </w:p>
        </w:tc>
        <w:tc>
          <w:tcPr>
            <w:tcW w:w="56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11" w:type="dxa"/>
          <w:trHeight w:val="300" w:hRule="atLeast"/>
        </w:trPr>
        <w:tc>
          <w:tcPr>
            <w:tcW w:w="108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30305</w:t>
            </w:r>
          </w:p>
        </w:tc>
        <w:tc>
          <w:tcPr>
            <w:tcW w:w="2772" w:type="dxa"/>
            <w:gridSpan w:val="2"/>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生活补助</w:t>
            </w: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5.60 </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5.6</w:t>
            </w:r>
          </w:p>
        </w:tc>
        <w:tc>
          <w:tcPr>
            <w:tcW w:w="56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11" w:type="dxa"/>
          <w:trHeight w:val="300" w:hRule="atLeast"/>
        </w:trPr>
        <w:tc>
          <w:tcPr>
            <w:tcW w:w="108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30309</w:t>
            </w:r>
          </w:p>
        </w:tc>
        <w:tc>
          <w:tcPr>
            <w:tcW w:w="2772" w:type="dxa"/>
            <w:gridSpan w:val="2"/>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奖励金</w:t>
            </w: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0.64 </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0.64</w:t>
            </w:r>
          </w:p>
        </w:tc>
        <w:tc>
          <w:tcPr>
            <w:tcW w:w="56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11" w:type="dxa"/>
          <w:trHeight w:val="300" w:hRule="atLeast"/>
        </w:trPr>
        <w:tc>
          <w:tcPr>
            <w:tcW w:w="108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30311</w:t>
            </w:r>
          </w:p>
        </w:tc>
        <w:tc>
          <w:tcPr>
            <w:tcW w:w="2772" w:type="dxa"/>
            <w:gridSpan w:val="2"/>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住房公积金</w:t>
            </w: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13.20 </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13.2</w:t>
            </w:r>
          </w:p>
        </w:tc>
        <w:tc>
          <w:tcPr>
            <w:tcW w:w="56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11" w:type="dxa"/>
          <w:trHeight w:val="300" w:hRule="atLeast"/>
        </w:trPr>
        <w:tc>
          <w:tcPr>
            <w:tcW w:w="108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30314</w:t>
            </w:r>
          </w:p>
        </w:tc>
        <w:tc>
          <w:tcPr>
            <w:tcW w:w="2772" w:type="dxa"/>
            <w:gridSpan w:val="2"/>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在职住宅取暖费</w:t>
            </w: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9.20 </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9.2</w:t>
            </w:r>
          </w:p>
        </w:tc>
        <w:tc>
          <w:tcPr>
            <w:tcW w:w="56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11" w:type="dxa"/>
          <w:trHeight w:val="300" w:hRule="atLeast"/>
        </w:trPr>
        <w:tc>
          <w:tcPr>
            <w:tcW w:w="108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30201</w:t>
            </w:r>
          </w:p>
        </w:tc>
        <w:tc>
          <w:tcPr>
            <w:tcW w:w="2772" w:type="dxa"/>
            <w:gridSpan w:val="2"/>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办公费</w:t>
            </w: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7.05 </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24"/>
                <w:szCs w:val="24"/>
                <w:u w:val="none"/>
              </w:rPr>
            </w:pPr>
          </w:p>
        </w:tc>
        <w:tc>
          <w:tcPr>
            <w:tcW w:w="56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11" w:type="dxa"/>
          <w:trHeight w:val="300" w:hRule="atLeast"/>
        </w:trPr>
        <w:tc>
          <w:tcPr>
            <w:tcW w:w="108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30228</w:t>
            </w:r>
          </w:p>
        </w:tc>
        <w:tc>
          <w:tcPr>
            <w:tcW w:w="2772" w:type="dxa"/>
            <w:gridSpan w:val="2"/>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工会经费</w:t>
            </w: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2.48 </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24"/>
                <w:szCs w:val="24"/>
                <w:u w:val="none"/>
              </w:rPr>
            </w:pPr>
          </w:p>
        </w:tc>
        <w:tc>
          <w:tcPr>
            <w:tcW w:w="56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11" w:type="dxa"/>
          <w:trHeight w:val="300" w:hRule="atLeast"/>
        </w:trPr>
        <w:tc>
          <w:tcPr>
            <w:tcW w:w="108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30229</w:t>
            </w:r>
          </w:p>
        </w:tc>
        <w:tc>
          <w:tcPr>
            <w:tcW w:w="2772" w:type="dxa"/>
            <w:gridSpan w:val="2"/>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福利费</w:t>
            </w: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2.54 </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24"/>
                <w:szCs w:val="24"/>
                <w:u w:val="none"/>
              </w:rPr>
            </w:pPr>
          </w:p>
        </w:tc>
        <w:tc>
          <w:tcPr>
            <w:tcW w:w="56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11" w:type="dxa"/>
          <w:trHeight w:val="300" w:hRule="atLeast"/>
        </w:trPr>
        <w:tc>
          <w:tcPr>
            <w:tcW w:w="108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30231</w:t>
            </w:r>
          </w:p>
        </w:tc>
        <w:tc>
          <w:tcPr>
            <w:tcW w:w="2772" w:type="dxa"/>
            <w:gridSpan w:val="2"/>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公务用车运行维护费</w:t>
            </w: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20.00 </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24"/>
                <w:szCs w:val="24"/>
                <w:u w:val="none"/>
              </w:rPr>
            </w:pPr>
          </w:p>
        </w:tc>
        <w:tc>
          <w:tcPr>
            <w:tcW w:w="56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11" w:type="dxa"/>
          <w:trHeight w:val="300" w:hRule="atLeast"/>
        </w:trPr>
        <w:tc>
          <w:tcPr>
            <w:tcW w:w="108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30299</w:t>
            </w:r>
          </w:p>
        </w:tc>
        <w:tc>
          <w:tcPr>
            <w:tcW w:w="2772" w:type="dxa"/>
            <w:gridSpan w:val="2"/>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离退休干部报刊费</w:t>
            </w: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0.80 </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24"/>
                <w:szCs w:val="24"/>
                <w:u w:val="none"/>
              </w:rPr>
            </w:pPr>
          </w:p>
        </w:tc>
        <w:tc>
          <w:tcPr>
            <w:tcW w:w="56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0.8</w:t>
            </w:r>
          </w:p>
        </w:tc>
      </w:tr>
    </w:tbl>
    <w:p/>
    <w:p/>
    <w:p/>
    <w:tbl>
      <w:tblPr>
        <w:tblStyle w:val="12"/>
        <w:tblW w:w="145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19"/>
        <w:gridCol w:w="3458"/>
        <w:gridCol w:w="3157"/>
        <w:gridCol w:w="3155"/>
        <w:gridCol w:w="32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6" w:hRule="atLeast"/>
        </w:trPr>
        <w:tc>
          <w:tcPr>
            <w:tcW w:w="14540" w:type="dxa"/>
            <w:gridSpan w:val="5"/>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ascii="方正小标宋_GBK" w:hAnsi="方正小标宋_GBK" w:eastAsia="方正小标宋_GBK" w:cs="方正小标宋_GBK"/>
                <w:i w:val="0"/>
                <w:iCs w:val="0"/>
                <w:color w:val="000000"/>
                <w:sz w:val="36"/>
                <w:szCs w:val="36"/>
                <w:u w:val="none"/>
              </w:rPr>
            </w:pPr>
            <w:r>
              <w:rPr>
                <w:rFonts w:hint="default" w:ascii="方正小标宋_GBK" w:hAnsi="方正小标宋_GBK" w:eastAsia="方正小标宋_GBK" w:cs="方正小标宋_GBK"/>
                <w:i w:val="0"/>
                <w:iCs w:val="0"/>
                <w:color w:val="000000"/>
                <w:kern w:val="0"/>
                <w:sz w:val="36"/>
                <w:szCs w:val="36"/>
                <w:u w:val="none"/>
                <w:lang w:val="en-US" w:eastAsia="zh-CN" w:bidi="ar"/>
              </w:rPr>
              <w:t>部门预算政府性基金预算财政拨款支出表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977" w:type="dxa"/>
            <w:gridSpan w:val="2"/>
            <w:tcBorders>
              <w:top w:val="nil"/>
              <w:left w:val="nil"/>
              <w:bottom w:val="nil"/>
              <w:right w:val="nil"/>
            </w:tcBorders>
            <w:shd w:val="clear" w:color="auto" w:fill="FFFFFF"/>
            <w:noWrap/>
            <w:vAlign w:val="center"/>
          </w:tcPr>
          <w:p>
            <w:pPr>
              <w:jc w:val="left"/>
              <w:rPr>
                <w:rFonts w:hint="default" w:ascii="Times New Roman" w:hAnsi="Times New Roman" w:eastAsia="宋体" w:cs="Times New Roman"/>
                <w:i w:val="0"/>
                <w:iCs w:val="0"/>
                <w:color w:val="000000"/>
                <w:sz w:val="22"/>
                <w:szCs w:val="22"/>
                <w:u w:val="none"/>
              </w:rPr>
            </w:pPr>
            <w:r>
              <w:rPr>
                <w:rFonts w:hint="eastAsia" w:eastAsia="宋体"/>
                <w:sz w:val="24"/>
                <w:szCs w:val="24"/>
                <w:lang w:val="en-US" w:eastAsia="zh-CN"/>
              </w:rPr>
              <w:t>中国人民政治协商会议唐山市丰南区委员会</w:t>
            </w:r>
          </w:p>
        </w:tc>
        <w:tc>
          <w:tcPr>
            <w:tcW w:w="3157" w:type="dxa"/>
            <w:tcBorders>
              <w:top w:val="nil"/>
              <w:left w:val="nil"/>
              <w:bottom w:val="nil"/>
              <w:right w:val="nil"/>
            </w:tcBorders>
            <w:shd w:val="clear" w:color="auto" w:fill="FFFFFF"/>
            <w:vAlign w:val="center"/>
          </w:tcPr>
          <w:p>
            <w:pPr>
              <w:rPr>
                <w:rFonts w:hint="default" w:ascii="Times New Roman" w:hAnsi="Times New Roman" w:eastAsia="宋体" w:cs="Times New Roman"/>
                <w:i w:val="0"/>
                <w:iCs w:val="0"/>
                <w:color w:val="000000"/>
                <w:sz w:val="22"/>
                <w:szCs w:val="22"/>
                <w:u w:val="none"/>
              </w:rPr>
            </w:pPr>
          </w:p>
        </w:tc>
        <w:tc>
          <w:tcPr>
            <w:tcW w:w="3155" w:type="dxa"/>
            <w:tcBorders>
              <w:top w:val="nil"/>
              <w:left w:val="nil"/>
              <w:bottom w:val="nil"/>
              <w:right w:val="nil"/>
            </w:tcBorders>
            <w:shd w:val="clear" w:color="auto" w:fill="FFFFFF"/>
            <w:vAlign w:val="center"/>
          </w:tcPr>
          <w:p>
            <w:pPr>
              <w:rPr>
                <w:rFonts w:hint="default" w:ascii="Times New Roman" w:hAnsi="Times New Roman" w:eastAsia="宋体" w:cs="Times New Roman"/>
                <w:i w:val="0"/>
                <w:iCs w:val="0"/>
                <w:color w:val="000000"/>
                <w:sz w:val="22"/>
                <w:szCs w:val="22"/>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4" w:hRule="atLeast"/>
        </w:trPr>
        <w:tc>
          <w:tcPr>
            <w:tcW w:w="4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书宋_GBK" w:hAnsi="方正书宋_GBK" w:eastAsia="方正书宋_GBK" w:cs="方正书宋_GBK"/>
                <w:b/>
                <w:bCs/>
                <w:i w:val="0"/>
                <w:iCs w:val="0"/>
                <w:color w:val="000000"/>
                <w:sz w:val="22"/>
                <w:szCs w:val="22"/>
                <w:u w:val="none"/>
              </w:rPr>
            </w:pPr>
            <w:r>
              <w:rPr>
                <w:rFonts w:hint="default" w:ascii="方正书宋_GBK" w:hAnsi="方正书宋_GBK" w:eastAsia="方正书宋_GBK" w:cs="方正书宋_GBK"/>
                <w:b/>
                <w:bCs/>
                <w:i w:val="0"/>
                <w:iCs w:val="0"/>
                <w:color w:val="000000"/>
                <w:kern w:val="0"/>
                <w:sz w:val="22"/>
                <w:szCs w:val="22"/>
                <w:u w:val="none"/>
                <w:lang w:val="en-US" w:eastAsia="zh-CN" w:bidi="ar"/>
              </w:rPr>
              <w:t>科目</w:t>
            </w:r>
          </w:p>
        </w:tc>
        <w:tc>
          <w:tcPr>
            <w:tcW w:w="31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书宋_GBK" w:hAnsi="方正书宋_GBK" w:eastAsia="方正书宋_GBK" w:cs="方正书宋_GBK"/>
                <w:b/>
                <w:bCs/>
                <w:i w:val="0"/>
                <w:iCs w:val="0"/>
                <w:color w:val="000000"/>
                <w:sz w:val="22"/>
                <w:szCs w:val="22"/>
                <w:u w:val="none"/>
              </w:rPr>
            </w:pPr>
            <w:r>
              <w:rPr>
                <w:rFonts w:hint="default" w:ascii="方正书宋_GBK" w:hAnsi="方正书宋_GBK" w:eastAsia="方正书宋_GBK" w:cs="方正书宋_GBK"/>
                <w:b/>
                <w:bCs/>
                <w:i w:val="0"/>
                <w:iCs w:val="0"/>
                <w:color w:val="000000"/>
                <w:kern w:val="0"/>
                <w:sz w:val="22"/>
                <w:szCs w:val="22"/>
                <w:u w:val="none"/>
                <w:lang w:val="en-US" w:eastAsia="zh-CN" w:bidi="ar"/>
              </w:rPr>
              <w:t>合计</w:t>
            </w:r>
          </w:p>
        </w:tc>
        <w:tc>
          <w:tcPr>
            <w:tcW w:w="31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方正书宋_GBK" w:hAnsi="方正书宋_GBK" w:eastAsia="方正书宋_GBK" w:cs="方正书宋_GBK"/>
                <w:b/>
                <w:bCs/>
                <w:i w:val="0"/>
                <w:iCs w:val="0"/>
                <w:color w:val="000000"/>
                <w:kern w:val="0"/>
                <w:sz w:val="22"/>
                <w:szCs w:val="22"/>
                <w:u w:val="none"/>
                <w:lang w:val="en-US" w:eastAsia="zh-CN" w:bidi="ar"/>
              </w:rPr>
              <w:t>基本支出</w:t>
            </w:r>
            <w:r>
              <w:rPr>
                <w:rFonts w:hint="default" w:ascii="Times New Roman" w:hAnsi="Times New Roman" w:eastAsia="宋体" w:cs="Times New Roman"/>
                <w:b/>
                <w:bCs/>
                <w:i w:val="0"/>
                <w:iCs w:val="0"/>
                <w:color w:val="000000"/>
                <w:kern w:val="0"/>
                <w:sz w:val="22"/>
                <w:szCs w:val="22"/>
                <w:u w:val="none"/>
                <w:lang w:val="en-US" w:eastAsia="zh-CN" w:bidi="ar"/>
              </w:rPr>
              <w:t xml:space="preserve">  </w:t>
            </w:r>
          </w:p>
        </w:tc>
        <w:tc>
          <w:tcPr>
            <w:tcW w:w="32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方正书宋_GBK" w:hAnsi="方正书宋_GBK" w:eastAsia="方正书宋_GBK" w:cs="方正书宋_GBK"/>
                <w:b/>
                <w:bCs/>
                <w:i w:val="0"/>
                <w:iCs w:val="0"/>
                <w:color w:val="000000"/>
                <w:kern w:val="0"/>
                <w:sz w:val="22"/>
                <w:szCs w:val="2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5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方正书宋_GBK" w:hAnsi="方正书宋_GBK" w:eastAsia="方正书宋_GBK" w:cs="方正书宋_GBK"/>
                <w:b/>
                <w:bCs/>
                <w:i w:val="0"/>
                <w:iCs w:val="0"/>
                <w:color w:val="000000"/>
                <w:kern w:val="0"/>
                <w:sz w:val="22"/>
                <w:szCs w:val="22"/>
                <w:u w:val="none"/>
                <w:lang w:val="en-US" w:eastAsia="zh-CN" w:bidi="ar"/>
              </w:rPr>
              <w:t>功能分类科目编码</w:t>
            </w:r>
          </w:p>
        </w:tc>
        <w:tc>
          <w:tcPr>
            <w:tcW w:w="34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方正书宋_GBK" w:hAnsi="方正书宋_GBK" w:eastAsia="方正书宋_GBK" w:cs="方正书宋_GBK"/>
                <w:b/>
                <w:bCs/>
                <w:i w:val="0"/>
                <w:iCs w:val="0"/>
                <w:color w:val="000000"/>
                <w:kern w:val="0"/>
                <w:sz w:val="22"/>
                <w:szCs w:val="22"/>
                <w:u w:val="none"/>
                <w:lang w:val="en-US" w:eastAsia="zh-CN" w:bidi="ar"/>
              </w:rPr>
              <w:t>科目名称</w:t>
            </w:r>
          </w:p>
        </w:tc>
        <w:tc>
          <w:tcPr>
            <w:tcW w:w="31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书宋_GBK" w:hAnsi="方正书宋_GBK" w:eastAsia="方正书宋_GBK" w:cs="方正书宋_GBK"/>
                <w:b/>
                <w:bCs/>
                <w:i w:val="0"/>
                <w:iCs w:val="0"/>
                <w:color w:val="000000"/>
                <w:sz w:val="22"/>
                <w:szCs w:val="22"/>
                <w:u w:val="none"/>
              </w:rPr>
            </w:pPr>
          </w:p>
        </w:tc>
        <w:tc>
          <w:tcPr>
            <w:tcW w:w="3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22"/>
                <w:szCs w:val="22"/>
                <w:u w:val="none"/>
              </w:rPr>
            </w:pPr>
          </w:p>
        </w:tc>
        <w:tc>
          <w:tcPr>
            <w:tcW w:w="32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3" w:hRule="atLeast"/>
        </w:trPr>
        <w:tc>
          <w:tcPr>
            <w:tcW w:w="15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22"/>
                <w:szCs w:val="22"/>
                <w:u w:val="none"/>
              </w:rPr>
            </w:pPr>
          </w:p>
        </w:tc>
        <w:tc>
          <w:tcPr>
            <w:tcW w:w="34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22"/>
                <w:szCs w:val="22"/>
                <w:u w:val="none"/>
              </w:rPr>
            </w:pPr>
          </w:p>
        </w:tc>
        <w:tc>
          <w:tcPr>
            <w:tcW w:w="31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书宋_GBK" w:hAnsi="方正书宋_GBK" w:eastAsia="方正书宋_GBK" w:cs="方正书宋_GBK"/>
                <w:b/>
                <w:bCs/>
                <w:i w:val="0"/>
                <w:iCs w:val="0"/>
                <w:color w:val="000000"/>
                <w:sz w:val="22"/>
                <w:szCs w:val="22"/>
                <w:u w:val="none"/>
              </w:rPr>
            </w:pPr>
          </w:p>
        </w:tc>
        <w:tc>
          <w:tcPr>
            <w:tcW w:w="3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22"/>
                <w:szCs w:val="22"/>
                <w:u w:val="none"/>
              </w:rPr>
            </w:pPr>
          </w:p>
        </w:tc>
        <w:tc>
          <w:tcPr>
            <w:tcW w:w="32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15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22"/>
                <w:szCs w:val="22"/>
                <w:u w:val="none"/>
              </w:rPr>
            </w:pPr>
          </w:p>
        </w:tc>
        <w:tc>
          <w:tcPr>
            <w:tcW w:w="34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22"/>
                <w:szCs w:val="22"/>
                <w:u w:val="none"/>
              </w:rPr>
            </w:pPr>
          </w:p>
        </w:tc>
        <w:tc>
          <w:tcPr>
            <w:tcW w:w="31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书宋_GBK" w:hAnsi="方正书宋_GBK" w:eastAsia="方正书宋_GBK" w:cs="方正书宋_GBK"/>
                <w:b/>
                <w:bCs/>
                <w:i w:val="0"/>
                <w:iCs w:val="0"/>
                <w:color w:val="000000"/>
                <w:sz w:val="22"/>
                <w:szCs w:val="22"/>
                <w:u w:val="none"/>
              </w:rPr>
            </w:pPr>
          </w:p>
        </w:tc>
        <w:tc>
          <w:tcPr>
            <w:tcW w:w="3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22"/>
                <w:szCs w:val="22"/>
                <w:u w:val="none"/>
              </w:rPr>
            </w:pPr>
          </w:p>
        </w:tc>
        <w:tc>
          <w:tcPr>
            <w:tcW w:w="32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trPr>
        <w:tc>
          <w:tcPr>
            <w:tcW w:w="4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方正仿宋_GBK" w:hAnsi="方正仿宋_GBK" w:eastAsia="方正仿宋_GBK" w:cs="方正仿宋_GBK"/>
                <w:i w:val="0"/>
                <w:iCs w:val="0"/>
                <w:color w:val="000000"/>
                <w:kern w:val="0"/>
                <w:sz w:val="22"/>
                <w:szCs w:val="22"/>
                <w:u w:val="none"/>
                <w:lang w:val="en-US" w:eastAsia="zh-CN" w:bidi="ar"/>
              </w:rPr>
              <w:t>合计</w:t>
            </w:r>
          </w:p>
        </w:tc>
        <w:tc>
          <w:tcPr>
            <w:tcW w:w="31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3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32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trPr>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345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22"/>
                <w:szCs w:val="22"/>
                <w:u w:val="none"/>
              </w:rPr>
            </w:pPr>
          </w:p>
        </w:tc>
        <w:tc>
          <w:tcPr>
            <w:tcW w:w="31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22"/>
                <w:szCs w:val="22"/>
                <w:u w:val="none"/>
              </w:rPr>
            </w:pPr>
          </w:p>
        </w:tc>
        <w:tc>
          <w:tcPr>
            <w:tcW w:w="31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22"/>
                <w:szCs w:val="22"/>
                <w:u w:val="none"/>
              </w:rPr>
            </w:pPr>
          </w:p>
        </w:tc>
        <w:tc>
          <w:tcPr>
            <w:tcW w:w="325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345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22"/>
                <w:szCs w:val="22"/>
                <w:u w:val="none"/>
              </w:rPr>
            </w:pPr>
          </w:p>
        </w:tc>
        <w:tc>
          <w:tcPr>
            <w:tcW w:w="31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22"/>
                <w:szCs w:val="22"/>
                <w:u w:val="none"/>
              </w:rPr>
            </w:pPr>
          </w:p>
        </w:tc>
        <w:tc>
          <w:tcPr>
            <w:tcW w:w="31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22"/>
                <w:szCs w:val="22"/>
                <w:u w:val="none"/>
              </w:rPr>
            </w:pPr>
          </w:p>
        </w:tc>
        <w:tc>
          <w:tcPr>
            <w:tcW w:w="325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0" w:type="auto"/>
            <w:gridSpan w:val="5"/>
            <w:tcBorders>
              <w:top w:val="single" w:color="000000" w:sz="4" w:space="0"/>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说明:</w:t>
            </w:r>
            <w:r>
              <w:rPr>
                <w:rFonts w:hint="eastAsia" w:ascii="方正书宋_GBK" w:hAnsi="方正书宋_GBK" w:eastAsia="方正书宋_GBK" w:cs="方正书宋_GBK"/>
                <w:color w:val="000000"/>
                <w:sz w:val="21"/>
                <w:szCs w:val="21"/>
              </w:rPr>
              <w:t>无政府基金预算财政拨款预算，空表列示。</w:t>
            </w:r>
          </w:p>
        </w:tc>
      </w:tr>
    </w:tbl>
    <w:p/>
    <w:p/>
    <w:p/>
    <w:p/>
    <w:p/>
    <w:p/>
    <w:p/>
    <w:p/>
    <w:p/>
    <w:p/>
    <w:p/>
    <w:p/>
    <w:p/>
    <w:p/>
    <w:p/>
    <w:tbl>
      <w:tblPr>
        <w:tblStyle w:val="12"/>
        <w:tblW w:w="145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933"/>
        <w:gridCol w:w="3562"/>
        <w:gridCol w:w="3150"/>
        <w:gridCol w:w="2971"/>
        <w:gridCol w:w="28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7" w:hRule="atLeast"/>
        </w:trPr>
        <w:tc>
          <w:tcPr>
            <w:tcW w:w="14500" w:type="dxa"/>
            <w:gridSpan w:val="5"/>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ascii="方正小标宋_GBK" w:hAnsi="方正小标宋_GBK" w:eastAsia="方正小标宋_GBK" w:cs="方正小标宋_GBK"/>
                <w:i w:val="0"/>
                <w:iCs w:val="0"/>
                <w:color w:val="000000"/>
                <w:sz w:val="36"/>
                <w:szCs w:val="36"/>
                <w:u w:val="none"/>
              </w:rPr>
            </w:pPr>
            <w:r>
              <w:rPr>
                <w:rFonts w:hint="default" w:ascii="方正小标宋_GBK" w:hAnsi="方正小标宋_GBK" w:eastAsia="方正小标宋_GBK" w:cs="方正小标宋_GBK"/>
                <w:i w:val="0"/>
                <w:iCs w:val="0"/>
                <w:color w:val="000000"/>
                <w:kern w:val="0"/>
                <w:sz w:val="36"/>
                <w:szCs w:val="36"/>
                <w:u w:val="none"/>
                <w:lang w:val="en-US" w:eastAsia="zh-CN" w:bidi="ar"/>
              </w:rPr>
              <w:t>部门预算国有资本经营预算财政拨款支出表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0" w:type="auto"/>
            <w:gridSpan w:val="2"/>
            <w:tcBorders>
              <w:top w:val="nil"/>
              <w:left w:val="nil"/>
              <w:bottom w:val="nil"/>
              <w:right w:val="nil"/>
            </w:tcBorders>
            <w:shd w:val="clear" w:color="auto" w:fill="FFFFFF"/>
            <w:noWrap/>
            <w:vAlign w:val="center"/>
          </w:tcPr>
          <w:p>
            <w:pPr>
              <w:jc w:val="left"/>
              <w:rPr>
                <w:rFonts w:hint="default" w:ascii="Times New Roman" w:hAnsi="Times New Roman" w:eastAsia="宋体" w:cs="Times New Roman"/>
                <w:i w:val="0"/>
                <w:iCs w:val="0"/>
                <w:color w:val="000000"/>
                <w:sz w:val="22"/>
                <w:szCs w:val="22"/>
                <w:u w:val="none"/>
              </w:rPr>
            </w:pPr>
            <w:r>
              <w:rPr>
                <w:rFonts w:hint="eastAsia" w:eastAsia="宋体"/>
                <w:sz w:val="24"/>
                <w:szCs w:val="24"/>
                <w:lang w:val="en-US" w:eastAsia="zh-CN"/>
              </w:rPr>
              <w:t>中国人民政治协商会议唐山市丰南区委员会</w:t>
            </w:r>
          </w:p>
        </w:tc>
        <w:tc>
          <w:tcPr>
            <w:tcW w:w="3150" w:type="dxa"/>
            <w:tcBorders>
              <w:top w:val="nil"/>
              <w:left w:val="nil"/>
              <w:bottom w:val="nil"/>
              <w:right w:val="nil"/>
            </w:tcBorders>
            <w:shd w:val="clear" w:color="auto" w:fill="FFFFFF"/>
            <w:vAlign w:val="center"/>
          </w:tcPr>
          <w:p>
            <w:pPr>
              <w:rPr>
                <w:rFonts w:hint="default" w:ascii="Times New Roman" w:hAnsi="Times New Roman" w:eastAsia="宋体" w:cs="Times New Roman"/>
                <w:i w:val="0"/>
                <w:iCs w:val="0"/>
                <w:color w:val="000000"/>
                <w:sz w:val="22"/>
                <w:szCs w:val="22"/>
                <w:u w:val="none"/>
              </w:rPr>
            </w:pPr>
          </w:p>
        </w:tc>
        <w:tc>
          <w:tcPr>
            <w:tcW w:w="2971" w:type="dxa"/>
            <w:tcBorders>
              <w:top w:val="nil"/>
              <w:left w:val="nil"/>
              <w:bottom w:val="nil"/>
              <w:right w:val="nil"/>
            </w:tcBorders>
            <w:shd w:val="clear" w:color="auto" w:fill="FFFFFF"/>
            <w:vAlign w:val="center"/>
          </w:tcPr>
          <w:p>
            <w:pPr>
              <w:rPr>
                <w:rFonts w:hint="default" w:ascii="Times New Roman" w:hAnsi="Times New Roman" w:eastAsia="宋体" w:cs="Times New Roman"/>
                <w:i w:val="0"/>
                <w:iCs w:val="0"/>
                <w:color w:val="000000"/>
                <w:sz w:val="22"/>
                <w:szCs w:val="22"/>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1" w:hRule="atLeast"/>
        </w:trPr>
        <w:tc>
          <w:tcPr>
            <w:tcW w:w="54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书宋_GBK" w:hAnsi="方正书宋_GBK" w:eastAsia="方正书宋_GBK" w:cs="方正书宋_GBK"/>
                <w:b/>
                <w:bCs/>
                <w:i w:val="0"/>
                <w:iCs w:val="0"/>
                <w:color w:val="000000"/>
                <w:sz w:val="22"/>
                <w:szCs w:val="22"/>
                <w:u w:val="none"/>
              </w:rPr>
            </w:pPr>
            <w:r>
              <w:rPr>
                <w:rFonts w:hint="default" w:ascii="方正书宋_GBK" w:hAnsi="方正书宋_GBK" w:eastAsia="方正书宋_GBK" w:cs="方正书宋_GBK"/>
                <w:b/>
                <w:bCs/>
                <w:i w:val="0"/>
                <w:iCs w:val="0"/>
                <w:color w:val="000000"/>
                <w:kern w:val="0"/>
                <w:sz w:val="22"/>
                <w:szCs w:val="22"/>
                <w:u w:val="none"/>
                <w:lang w:val="en-US" w:eastAsia="zh-CN" w:bidi="ar"/>
              </w:rPr>
              <w:t>科目</w:t>
            </w:r>
          </w:p>
        </w:tc>
        <w:tc>
          <w:tcPr>
            <w:tcW w:w="31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书宋_GBK" w:hAnsi="方正书宋_GBK" w:eastAsia="方正书宋_GBK" w:cs="方正书宋_GBK"/>
                <w:b/>
                <w:bCs/>
                <w:i w:val="0"/>
                <w:iCs w:val="0"/>
                <w:color w:val="000000"/>
                <w:sz w:val="22"/>
                <w:szCs w:val="22"/>
                <w:u w:val="none"/>
              </w:rPr>
            </w:pPr>
            <w:r>
              <w:rPr>
                <w:rFonts w:hint="default" w:ascii="方正书宋_GBK" w:hAnsi="方正书宋_GBK" w:eastAsia="方正书宋_GBK" w:cs="方正书宋_GBK"/>
                <w:b/>
                <w:bCs/>
                <w:i w:val="0"/>
                <w:iCs w:val="0"/>
                <w:color w:val="000000"/>
                <w:kern w:val="0"/>
                <w:sz w:val="22"/>
                <w:szCs w:val="22"/>
                <w:u w:val="none"/>
                <w:lang w:val="en-US" w:eastAsia="zh-CN" w:bidi="ar"/>
              </w:rPr>
              <w:t>合计</w:t>
            </w:r>
          </w:p>
        </w:tc>
        <w:tc>
          <w:tcPr>
            <w:tcW w:w="29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方正书宋_GBK" w:hAnsi="方正书宋_GBK" w:eastAsia="方正书宋_GBK" w:cs="方正书宋_GBK"/>
                <w:b/>
                <w:bCs/>
                <w:i w:val="0"/>
                <w:iCs w:val="0"/>
                <w:color w:val="000000"/>
                <w:kern w:val="0"/>
                <w:sz w:val="22"/>
                <w:szCs w:val="22"/>
                <w:u w:val="none"/>
                <w:lang w:val="en-US" w:eastAsia="zh-CN" w:bidi="ar"/>
              </w:rPr>
              <w:t>基本支出</w:t>
            </w:r>
            <w:r>
              <w:rPr>
                <w:rFonts w:hint="default" w:ascii="Times New Roman" w:hAnsi="Times New Roman" w:eastAsia="宋体" w:cs="Times New Roman"/>
                <w:b/>
                <w:bCs/>
                <w:i w:val="0"/>
                <w:iCs w:val="0"/>
                <w:color w:val="000000"/>
                <w:kern w:val="0"/>
                <w:sz w:val="22"/>
                <w:szCs w:val="22"/>
                <w:u w:val="none"/>
                <w:lang w:val="en-US" w:eastAsia="zh-CN" w:bidi="ar"/>
              </w:rPr>
              <w:t xml:space="preserve">  </w:t>
            </w:r>
          </w:p>
        </w:tc>
        <w:tc>
          <w:tcPr>
            <w:tcW w:w="28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方正书宋_GBK" w:hAnsi="方正书宋_GBK" w:eastAsia="方正书宋_GBK" w:cs="方正书宋_GBK"/>
                <w:b/>
                <w:bCs/>
                <w:i w:val="0"/>
                <w:iCs w:val="0"/>
                <w:color w:val="000000"/>
                <w:kern w:val="0"/>
                <w:sz w:val="22"/>
                <w:szCs w:val="2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9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方正书宋_GBK" w:hAnsi="方正书宋_GBK" w:eastAsia="方正书宋_GBK" w:cs="方正书宋_GBK"/>
                <w:b/>
                <w:bCs/>
                <w:i w:val="0"/>
                <w:iCs w:val="0"/>
                <w:color w:val="000000"/>
                <w:kern w:val="0"/>
                <w:sz w:val="22"/>
                <w:szCs w:val="22"/>
                <w:u w:val="none"/>
                <w:lang w:val="en-US" w:eastAsia="zh-CN" w:bidi="ar"/>
              </w:rPr>
              <w:t>功能分类科目编码</w:t>
            </w:r>
          </w:p>
        </w:tc>
        <w:tc>
          <w:tcPr>
            <w:tcW w:w="35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方正书宋_GBK" w:hAnsi="方正书宋_GBK" w:eastAsia="方正书宋_GBK" w:cs="方正书宋_GBK"/>
                <w:b/>
                <w:bCs/>
                <w:i w:val="0"/>
                <w:iCs w:val="0"/>
                <w:color w:val="000000"/>
                <w:kern w:val="0"/>
                <w:sz w:val="22"/>
                <w:szCs w:val="22"/>
                <w:u w:val="none"/>
                <w:lang w:val="en-US" w:eastAsia="zh-CN" w:bidi="ar"/>
              </w:rPr>
              <w:t>科目名称</w:t>
            </w:r>
          </w:p>
        </w:tc>
        <w:tc>
          <w:tcPr>
            <w:tcW w:w="3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书宋_GBK" w:hAnsi="方正书宋_GBK" w:eastAsia="方正书宋_GBK" w:cs="方正书宋_GBK"/>
                <w:b/>
                <w:bCs/>
                <w:i w:val="0"/>
                <w:iCs w:val="0"/>
                <w:color w:val="000000"/>
                <w:sz w:val="22"/>
                <w:szCs w:val="22"/>
                <w:u w:val="none"/>
              </w:rPr>
            </w:pPr>
          </w:p>
        </w:tc>
        <w:tc>
          <w:tcPr>
            <w:tcW w:w="29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22"/>
                <w:szCs w:val="22"/>
                <w:u w:val="none"/>
              </w:rPr>
            </w:pPr>
          </w:p>
        </w:tc>
        <w:tc>
          <w:tcPr>
            <w:tcW w:w="28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9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22"/>
                <w:szCs w:val="22"/>
                <w:u w:val="none"/>
              </w:rPr>
            </w:pPr>
          </w:p>
        </w:tc>
        <w:tc>
          <w:tcPr>
            <w:tcW w:w="35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22"/>
                <w:szCs w:val="22"/>
                <w:u w:val="none"/>
              </w:rPr>
            </w:pPr>
          </w:p>
        </w:tc>
        <w:tc>
          <w:tcPr>
            <w:tcW w:w="3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书宋_GBK" w:hAnsi="方正书宋_GBK" w:eastAsia="方正书宋_GBK" w:cs="方正书宋_GBK"/>
                <w:b/>
                <w:bCs/>
                <w:i w:val="0"/>
                <w:iCs w:val="0"/>
                <w:color w:val="000000"/>
                <w:sz w:val="22"/>
                <w:szCs w:val="22"/>
                <w:u w:val="none"/>
              </w:rPr>
            </w:pPr>
          </w:p>
        </w:tc>
        <w:tc>
          <w:tcPr>
            <w:tcW w:w="29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22"/>
                <w:szCs w:val="22"/>
                <w:u w:val="none"/>
              </w:rPr>
            </w:pPr>
          </w:p>
        </w:tc>
        <w:tc>
          <w:tcPr>
            <w:tcW w:w="28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9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22"/>
                <w:szCs w:val="22"/>
                <w:u w:val="none"/>
              </w:rPr>
            </w:pPr>
          </w:p>
        </w:tc>
        <w:tc>
          <w:tcPr>
            <w:tcW w:w="35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22"/>
                <w:szCs w:val="22"/>
                <w:u w:val="none"/>
              </w:rPr>
            </w:pPr>
          </w:p>
        </w:tc>
        <w:tc>
          <w:tcPr>
            <w:tcW w:w="3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书宋_GBK" w:hAnsi="方正书宋_GBK" w:eastAsia="方正书宋_GBK" w:cs="方正书宋_GBK"/>
                <w:b/>
                <w:bCs/>
                <w:i w:val="0"/>
                <w:iCs w:val="0"/>
                <w:color w:val="000000"/>
                <w:sz w:val="22"/>
                <w:szCs w:val="22"/>
                <w:u w:val="none"/>
              </w:rPr>
            </w:pPr>
          </w:p>
        </w:tc>
        <w:tc>
          <w:tcPr>
            <w:tcW w:w="29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22"/>
                <w:szCs w:val="22"/>
                <w:u w:val="none"/>
              </w:rPr>
            </w:pPr>
          </w:p>
        </w:tc>
        <w:tc>
          <w:tcPr>
            <w:tcW w:w="28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1" w:hRule="atLeast"/>
        </w:trPr>
        <w:tc>
          <w:tcPr>
            <w:tcW w:w="54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方正仿宋_GBK" w:hAnsi="方正仿宋_GBK" w:eastAsia="方正仿宋_GBK" w:cs="方正仿宋_GBK"/>
                <w:i w:val="0"/>
                <w:iCs w:val="0"/>
                <w:color w:val="000000"/>
                <w:kern w:val="0"/>
                <w:sz w:val="22"/>
                <w:szCs w:val="22"/>
                <w:u w:val="none"/>
                <w:lang w:val="en-US" w:eastAsia="zh-CN" w:bidi="ar"/>
              </w:rPr>
              <w:t>合计</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28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5" w:hRule="atLeast"/>
        </w:trPr>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356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22"/>
                <w:szCs w:val="22"/>
                <w:u w:val="none"/>
              </w:rPr>
            </w:pP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22"/>
                <w:szCs w:val="22"/>
                <w:u w:val="none"/>
              </w:rPr>
            </w:pP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22"/>
                <w:szCs w:val="22"/>
                <w:u w:val="none"/>
              </w:rPr>
            </w:pPr>
          </w:p>
        </w:tc>
        <w:tc>
          <w:tcPr>
            <w:tcW w:w="288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5" w:hRule="atLeast"/>
        </w:trPr>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356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22"/>
                <w:szCs w:val="22"/>
                <w:u w:val="none"/>
              </w:rPr>
            </w:pP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22"/>
                <w:szCs w:val="22"/>
                <w:u w:val="none"/>
              </w:rPr>
            </w:pP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22"/>
                <w:szCs w:val="22"/>
                <w:u w:val="none"/>
              </w:rPr>
            </w:pPr>
          </w:p>
        </w:tc>
        <w:tc>
          <w:tcPr>
            <w:tcW w:w="288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6" w:hRule="atLeast"/>
        </w:trPr>
        <w:tc>
          <w:tcPr>
            <w:tcW w:w="0" w:type="auto"/>
            <w:gridSpan w:val="5"/>
            <w:tcBorders>
              <w:top w:val="single" w:color="000000" w:sz="4" w:space="0"/>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说明:</w:t>
            </w:r>
            <w:r>
              <w:rPr>
                <w:rFonts w:hint="eastAsia" w:ascii="方正书宋_GBK" w:hAnsi="方正书宋_GBK" w:eastAsia="方正书宋_GBK" w:cs="方正书宋_GBK"/>
                <w:color w:val="000000"/>
                <w:sz w:val="21"/>
                <w:szCs w:val="21"/>
              </w:rPr>
              <w:t>无国有资本经营预算财政拨款预算，空表列示。</w:t>
            </w:r>
          </w:p>
        </w:tc>
      </w:tr>
    </w:tbl>
    <w:p/>
    <w:p/>
    <w:p/>
    <w:p/>
    <w:p/>
    <w:p/>
    <w:p/>
    <w:p/>
    <w:p/>
    <w:p/>
    <w:p/>
    <w:p/>
    <w:p/>
    <w:p/>
    <w:p/>
    <w:p/>
    <w:p/>
    <w:p/>
    <w:p/>
    <w:p/>
    <w:tbl>
      <w:tblPr>
        <w:tblStyle w:val="12"/>
        <w:tblW w:w="144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180"/>
        <w:gridCol w:w="2806"/>
        <w:gridCol w:w="2804"/>
        <w:gridCol w:w="2804"/>
        <w:gridCol w:w="28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4412" w:type="dxa"/>
            <w:gridSpan w:val="5"/>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ascii="方正小标宋_GBK" w:hAnsi="方正小标宋_GBK" w:eastAsia="方正小标宋_GBK" w:cs="方正小标宋_GBK"/>
                <w:i w:val="0"/>
                <w:iCs w:val="0"/>
                <w:color w:val="000000"/>
                <w:sz w:val="36"/>
                <w:szCs w:val="36"/>
                <w:u w:val="none"/>
              </w:rPr>
            </w:pPr>
            <w:r>
              <w:rPr>
                <w:rFonts w:hint="default" w:ascii="方正小标宋_GBK" w:hAnsi="方正小标宋_GBK" w:eastAsia="方正小标宋_GBK" w:cs="方正小标宋_GBK"/>
                <w:i w:val="0"/>
                <w:iCs w:val="0"/>
                <w:color w:val="000000"/>
                <w:kern w:val="0"/>
                <w:sz w:val="36"/>
                <w:szCs w:val="36"/>
                <w:u w:val="none"/>
                <w:lang w:val="en-US" w:eastAsia="zh-CN" w:bidi="ar"/>
              </w:rPr>
              <w:t>部门预算财政拨款“三公”经费支出表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2"/>
            <w:tcBorders>
              <w:top w:val="nil"/>
              <w:left w:val="nil"/>
              <w:bottom w:val="nil"/>
              <w:right w:val="nil"/>
            </w:tcBorders>
            <w:shd w:val="clear" w:color="auto" w:fill="FFFFFF"/>
            <w:noWrap/>
            <w:vAlign w:val="center"/>
          </w:tcPr>
          <w:p>
            <w:pPr>
              <w:jc w:val="left"/>
              <w:rPr>
                <w:rFonts w:hint="default" w:ascii="Times New Roman" w:hAnsi="Times New Roman" w:eastAsia="宋体" w:cs="Times New Roman"/>
                <w:i w:val="0"/>
                <w:iCs w:val="0"/>
                <w:color w:val="000000"/>
                <w:sz w:val="22"/>
                <w:szCs w:val="22"/>
                <w:u w:val="none"/>
              </w:rPr>
            </w:pPr>
            <w:r>
              <w:rPr>
                <w:rFonts w:hint="eastAsia" w:eastAsia="宋体"/>
                <w:sz w:val="24"/>
                <w:szCs w:val="24"/>
                <w:lang w:val="en-US" w:eastAsia="zh-CN"/>
              </w:rPr>
              <w:t>中国人民政治协商会议唐山市丰南区委员会</w:t>
            </w:r>
          </w:p>
        </w:tc>
        <w:tc>
          <w:tcPr>
            <w:tcW w:w="2808" w:type="dxa"/>
            <w:tcBorders>
              <w:top w:val="nil"/>
              <w:left w:val="nil"/>
              <w:bottom w:val="nil"/>
              <w:right w:val="nil"/>
            </w:tcBorders>
            <w:shd w:val="clear" w:color="auto" w:fill="FFFFFF"/>
            <w:vAlign w:val="center"/>
          </w:tcPr>
          <w:p>
            <w:pPr>
              <w:rPr>
                <w:rFonts w:hint="default" w:ascii="Times New Roman" w:hAnsi="Times New Roman" w:eastAsia="宋体" w:cs="Times New Roman"/>
                <w:i w:val="0"/>
                <w:iCs w:val="0"/>
                <w:color w:val="000000"/>
                <w:sz w:val="22"/>
                <w:szCs w:val="22"/>
                <w:u w:val="none"/>
              </w:rPr>
            </w:pPr>
          </w:p>
        </w:tc>
        <w:tc>
          <w:tcPr>
            <w:tcW w:w="2808" w:type="dxa"/>
            <w:tcBorders>
              <w:top w:val="nil"/>
              <w:left w:val="nil"/>
              <w:bottom w:val="nil"/>
              <w:right w:val="nil"/>
            </w:tcBorders>
            <w:shd w:val="clear" w:color="auto" w:fill="FFFFFF"/>
            <w:vAlign w:val="center"/>
          </w:tcPr>
          <w:p>
            <w:pPr>
              <w:rPr>
                <w:rFonts w:hint="default" w:ascii="Times New Roman" w:hAnsi="Times New Roman" w:eastAsia="宋体" w:cs="Times New Roman"/>
                <w:i w:val="0"/>
                <w:iCs w:val="0"/>
                <w:color w:val="000000"/>
                <w:sz w:val="22"/>
                <w:szCs w:val="22"/>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ascii="方正仿宋_GBK" w:hAnsi="方正仿宋_GBK" w:eastAsia="方正仿宋_GBK" w:cs="方正仿宋_GBK"/>
                <w:i w:val="0"/>
                <w:iCs w:val="0"/>
                <w:color w:val="000000"/>
                <w:kern w:val="0"/>
                <w:sz w:val="22"/>
                <w:szCs w:val="22"/>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1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书宋_GBK" w:hAnsi="方正书宋_GBK" w:eastAsia="方正书宋_GBK" w:cs="方正书宋_GBK"/>
                <w:b/>
                <w:bCs/>
                <w:i w:val="0"/>
                <w:iCs w:val="0"/>
                <w:color w:val="000000"/>
                <w:sz w:val="22"/>
                <w:szCs w:val="22"/>
                <w:u w:val="none"/>
              </w:rPr>
            </w:pPr>
            <w:r>
              <w:rPr>
                <w:rFonts w:hint="default" w:ascii="方正书宋_GBK" w:hAnsi="方正书宋_GBK" w:eastAsia="方正书宋_GBK" w:cs="方正书宋_GBK"/>
                <w:b/>
                <w:bCs/>
                <w:i w:val="0"/>
                <w:iCs w:val="0"/>
                <w:color w:val="000000"/>
                <w:kern w:val="0"/>
                <w:sz w:val="22"/>
                <w:szCs w:val="22"/>
                <w:u w:val="none"/>
                <w:lang w:val="en-US" w:eastAsia="zh-CN" w:bidi="ar"/>
              </w:rPr>
              <w:t>项目</w:t>
            </w:r>
          </w:p>
        </w:tc>
        <w:tc>
          <w:tcPr>
            <w:tcW w:w="112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资金来源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1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书宋_GBK" w:hAnsi="方正书宋_GBK" w:eastAsia="方正书宋_GBK" w:cs="方正书宋_GBK"/>
                <w:b/>
                <w:bCs/>
                <w:i w:val="0"/>
                <w:iCs w:val="0"/>
                <w:color w:val="000000"/>
                <w:sz w:val="22"/>
                <w:szCs w:val="22"/>
                <w:u w:val="none"/>
              </w:rPr>
            </w:pPr>
          </w:p>
        </w:tc>
        <w:tc>
          <w:tcPr>
            <w:tcW w:w="2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书宋_GBK" w:hAnsi="方正书宋_GBK" w:eastAsia="方正书宋_GBK" w:cs="方正书宋_GBK"/>
                <w:b/>
                <w:bCs/>
                <w:i w:val="0"/>
                <w:iCs w:val="0"/>
                <w:color w:val="000000"/>
                <w:sz w:val="22"/>
                <w:szCs w:val="22"/>
                <w:u w:val="none"/>
              </w:rPr>
            </w:pPr>
            <w:r>
              <w:rPr>
                <w:rFonts w:hint="default" w:ascii="方正书宋_GBK" w:hAnsi="方正书宋_GBK" w:eastAsia="方正书宋_GBK" w:cs="方正书宋_GBK"/>
                <w:b/>
                <w:bCs/>
                <w:i w:val="0"/>
                <w:iCs w:val="0"/>
                <w:color w:val="000000"/>
                <w:kern w:val="0"/>
                <w:sz w:val="22"/>
                <w:szCs w:val="22"/>
                <w:u w:val="none"/>
                <w:lang w:val="en-US" w:eastAsia="zh-CN" w:bidi="ar"/>
              </w:rPr>
              <w:t>一般公共预算财政拨款</w:t>
            </w:r>
          </w:p>
        </w:tc>
        <w:tc>
          <w:tcPr>
            <w:tcW w:w="2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政府性基金财政拨款</w:t>
            </w:r>
          </w:p>
        </w:tc>
        <w:tc>
          <w:tcPr>
            <w:tcW w:w="2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2"/>
                <w:szCs w:val="22"/>
                <w:u w:val="none"/>
              </w:rPr>
            </w:pPr>
            <w:r>
              <w:rPr>
                <w:rFonts w:hint="default" w:ascii="方正仿宋_GBK" w:hAnsi="方正仿宋_GBK" w:eastAsia="方正仿宋_GBK" w:cs="方正仿宋_GBK"/>
                <w:i w:val="0"/>
                <w:iCs w:val="0"/>
                <w:color w:val="000000"/>
                <w:kern w:val="0"/>
                <w:sz w:val="22"/>
                <w:szCs w:val="22"/>
                <w:u w:val="none"/>
                <w:lang w:val="en-US" w:eastAsia="zh-CN" w:bidi="ar"/>
              </w:rPr>
              <w:t>合计</w:t>
            </w:r>
          </w:p>
        </w:tc>
        <w:tc>
          <w:tcPr>
            <w:tcW w:w="2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29.7</w:t>
            </w:r>
          </w:p>
        </w:tc>
        <w:tc>
          <w:tcPr>
            <w:tcW w:w="2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29.7</w:t>
            </w:r>
          </w:p>
        </w:tc>
        <w:tc>
          <w:tcPr>
            <w:tcW w:w="28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28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2"/>
                <w:szCs w:val="22"/>
                <w:u w:val="none"/>
              </w:rPr>
            </w:pPr>
            <w:r>
              <w:rPr>
                <w:rFonts w:hint="default" w:ascii="方正仿宋_GBK" w:hAnsi="方正仿宋_GBK" w:eastAsia="方正仿宋_GBK" w:cs="方正仿宋_GBK"/>
                <w:i w:val="0"/>
                <w:iCs w:val="0"/>
                <w:color w:val="000000"/>
                <w:kern w:val="0"/>
                <w:sz w:val="22"/>
                <w:szCs w:val="22"/>
                <w:u w:val="none"/>
                <w:lang w:val="en-US" w:eastAsia="zh-CN" w:bidi="ar"/>
              </w:rPr>
              <w:t>一、因公出国（境）费</w:t>
            </w:r>
          </w:p>
        </w:tc>
        <w:tc>
          <w:tcPr>
            <w:tcW w:w="2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2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28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28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2"/>
                <w:szCs w:val="22"/>
                <w:u w:val="none"/>
              </w:rPr>
            </w:pPr>
            <w:r>
              <w:rPr>
                <w:rFonts w:hint="default" w:ascii="方正仿宋_GBK" w:hAnsi="方正仿宋_GBK" w:eastAsia="方正仿宋_GBK" w:cs="方正仿宋_GBK"/>
                <w:i w:val="0"/>
                <w:iCs w:val="0"/>
                <w:color w:val="000000"/>
                <w:kern w:val="0"/>
                <w:sz w:val="22"/>
                <w:szCs w:val="22"/>
                <w:u w:val="none"/>
                <w:lang w:val="en-US" w:eastAsia="zh-CN" w:bidi="ar"/>
              </w:rPr>
              <w:t>二、公务用车购置及运行费</w:t>
            </w:r>
          </w:p>
        </w:tc>
        <w:tc>
          <w:tcPr>
            <w:tcW w:w="2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w:t>
            </w:r>
          </w:p>
        </w:tc>
        <w:tc>
          <w:tcPr>
            <w:tcW w:w="2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w:t>
            </w:r>
          </w:p>
        </w:tc>
        <w:tc>
          <w:tcPr>
            <w:tcW w:w="28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28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2"/>
                <w:szCs w:val="22"/>
                <w:u w:val="none"/>
              </w:rPr>
            </w:pPr>
            <w:r>
              <w:rPr>
                <w:rFonts w:hint="default" w:ascii="方正仿宋_GBK" w:hAnsi="方正仿宋_GBK" w:eastAsia="方正仿宋_GBK" w:cs="方正仿宋_GBK"/>
                <w:i w:val="0"/>
                <w:iCs w:val="0"/>
                <w:color w:val="000000"/>
                <w:kern w:val="0"/>
                <w:sz w:val="22"/>
                <w:szCs w:val="22"/>
                <w:u w:val="none"/>
                <w:lang w:val="en-US" w:eastAsia="zh-CN" w:bidi="ar"/>
              </w:rPr>
              <w:t>其中：公务用车购置费</w:t>
            </w:r>
          </w:p>
        </w:tc>
        <w:tc>
          <w:tcPr>
            <w:tcW w:w="2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2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28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28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2"/>
                <w:szCs w:val="22"/>
                <w:u w:val="none"/>
              </w:rPr>
            </w:pPr>
            <w:r>
              <w:rPr>
                <w:rFonts w:hint="default" w:ascii="方正仿宋_GBK" w:hAnsi="方正仿宋_GBK" w:eastAsia="方正仿宋_GBK" w:cs="方正仿宋_GBK"/>
                <w:i w:val="0"/>
                <w:iCs w:val="0"/>
                <w:color w:val="000000"/>
                <w:kern w:val="0"/>
                <w:sz w:val="22"/>
                <w:szCs w:val="22"/>
                <w:u w:val="none"/>
                <w:lang w:val="en-US" w:eastAsia="zh-CN" w:bidi="ar"/>
              </w:rPr>
              <w:t xml:space="preserve">       公务用车运行费</w:t>
            </w:r>
          </w:p>
        </w:tc>
        <w:tc>
          <w:tcPr>
            <w:tcW w:w="2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w:t>
            </w:r>
          </w:p>
        </w:tc>
        <w:tc>
          <w:tcPr>
            <w:tcW w:w="2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w:t>
            </w:r>
          </w:p>
        </w:tc>
        <w:tc>
          <w:tcPr>
            <w:tcW w:w="28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28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2"/>
                <w:szCs w:val="22"/>
                <w:u w:val="none"/>
              </w:rPr>
            </w:pPr>
            <w:r>
              <w:rPr>
                <w:rFonts w:hint="default" w:ascii="方正仿宋_GBK" w:hAnsi="方正仿宋_GBK" w:eastAsia="方正仿宋_GBK" w:cs="方正仿宋_GBK"/>
                <w:i w:val="0"/>
                <w:iCs w:val="0"/>
                <w:color w:val="000000"/>
                <w:kern w:val="0"/>
                <w:sz w:val="22"/>
                <w:szCs w:val="22"/>
                <w:u w:val="none"/>
                <w:lang w:val="en-US" w:eastAsia="zh-CN" w:bidi="ar"/>
              </w:rPr>
              <w:t>三、公务接待费</w:t>
            </w:r>
          </w:p>
        </w:tc>
        <w:tc>
          <w:tcPr>
            <w:tcW w:w="2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9.7</w:t>
            </w:r>
          </w:p>
        </w:tc>
        <w:tc>
          <w:tcPr>
            <w:tcW w:w="2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9.7</w:t>
            </w:r>
          </w:p>
        </w:tc>
        <w:tc>
          <w:tcPr>
            <w:tcW w:w="28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28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r>
    </w:tbl>
    <w:p>
      <w:pPr>
        <w:sectPr>
          <w:pgSz w:w="16840" w:h="11900" w:orient="landscape"/>
          <w:pgMar w:top="1587" w:right="1134" w:bottom="1361" w:left="1134" w:header="720" w:footer="720" w:gutter="0"/>
          <w:pgNumType w:start="1"/>
          <w:cols w:space="720" w:num="1"/>
        </w:sectPr>
      </w:pPr>
    </w:p>
    <w:p>
      <w:pPr>
        <w:jc w:val="center"/>
        <w:rPr>
          <w:rFonts w:hint="eastAsia" w:ascii="方正小标宋_GBK" w:hAnsi="方正小标宋_GBK" w:eastAsia="方正小标宋_GBK" w:cs="方正小标宋_GBK"/>
          <w:color w:val="000000"/>
          <w:sz w:val="44"/>
          <w:lang w:val="en-US" w:eastAsia="zh-CN"/>
        </w:rPr>
      </w:pPr>
      <w:r>
        <w:rPr>
          <w:rFonts w:hint="eastAsia" w:ascii="方正小标宋_GBK" w:hAnsi="方正小标宋_GBK" w:eastAsia="方正小标宋_GBK" w:cs="方正小标宋_GBK"/>
          <w:color w:val="000000"/>
          <w:sz w:val="44"/>
          <w:lang w:val="en-US" w:eastAsia="zh-CN"/>
        </w:rPr>
        <w:t>中国人民政治协商会议唐山市丰南区委员会</w:t>
      </w:r>
    </w:p>
    <w:p>
      <w:pPr>
        <w:jc w:val="center"/>
      </w:pPr>
      <w:r>
        <w:rPr>
          <w:rFonts w:hint="eastAsia" w:ascii="方正小标宋_GBK" w:hAnsi="方正小标宋_GBK" w:eastAsia="方正小标宋_GBK" w:cs="方正小标宋_GBK"/>
          <w:color w:val="000000"/>
          <w:sz w:val="44"/>
          <w:lang w:val="en-US" w:eastAsia="zh-CN"/>
        </w:rPr>
        <w:t>2017</w:t>
      </w:r>
      <w:r>
        <w:rPr>
          <w:rFonts w:ascii="方正小标宋_GBK" w:hAnsi="方正小标宋_GBK" w:eastAsia="方正小标宋_GBK" w:cs="方正小标宋_GBK"/>
          <w:color w:val="000000"/>
          <w:sz w:val="44"/>
        </w:rPr>
        <w:t>年部门预算信息公开情况说明</w:t>
      </w:r>
    </w:p>
    <w:p>
      <w:pPr>
        <w:spacing w:line="500" w:lineRule="exact"/>
        <w:ind w:firstLine="560"/>
      </w:pPr>
      <w:r>
        <w:rPr>
          <w:rFonts w:eastAsia="方正仿宋_GBK"/>
          <w:color w:val="000000"/>
          <w:sz w:val="28"/>
        </w:rPr>
        <w:t>按照《中华人民共和国预算法》、《地方预决算公开操作规程》和《关于进一步推进预算公开工作的实施意见》规定，现将</w:t>
      </w:r>
      <w:r>
        <w:rPr>
          <w:rFonts w:hint="eastAsia" w:eastAsia="方正仿宋_GBK"/>
          <w:color w:val="000000"/>
          <w:sz w:val="28"/>
          <w:lang w:val="en-US" w:eastAsia="zh-CN"/>
        </w:rPr>
        <w:t>中国人民政治协商会议唐山市丰南区委员会办2017</w:t>
      </w:r>
      <w:r>
        <w:rPr>
          <w:rFonts w:eastAsia="方正仿宋_GBK"/>
          <w:color w:val="000000"/>
          <w:sz w:val="28"/>
        </w:rPr>
        <w:t>年部门预算公开如下：</w:t>
      </w:r>
    </w:p>
    <w:p>
      <w:pPr>
        <w:spacing w:before="10" w:after="10" w:line="360" w:lineRule="auto"/>
        <w:ind w:firstLine="640"/>
        <w:outlineLvl w:val="2"/>
      </w:pPr>
      <w:bookmarkStart w:id="0" w:name="_Toc_3_3_0000000010"/>
      <w:r>
        <w:rPr>
          <w:rFonts w:ascii="黑体" w:hAnsi="黑体" w:eastAsia="黑体" w:cs="黑体"/>
          <w:color w:val="000000"/>
          <w:sz w:val="32"/>
        </w:rPr>
        <w:t>一、部门职责及机构设置情况</w:t>
      </w:r>
      <w:bookmarkEnd w:id="0"/>
    </w:p>
    <w:p>
      <w:pPr>
        <w:ind w:firstLine="640"/>
      </w:pPr>
      <w:r>
        <w:rPr>
          <w:rFonts w:ascii="方正楷体_GBK" w:hAnsi="方正楷体_GBK" w:eastAsia="方正楷体_GBK" w:cs="方正楷体_GBK"/>
          <w:b/>
          <w:color w:val="000000"/>
          <w:sz w:val="32"/>
        </w:rPr>
        <w:t>部门职责：</w:t>
      </w:r>
    </w:p>
    <w:p>
      <w:pPr>
        <w:ind w:firstLine="560"/>
        <w:rPr>
          <w:rFonts w:ascii="方正仿宋_GBK" w:eastAsia="方正仿宋_GBK"/>
          <w:sz w:val="28"/>
        </w:rPr>
      </w:pPr>
      <w:r>
        <w:rPr>
          <w:rFonts w:ascii="方正仿宋_GBK" w:eastAsia="方正仿宋_GBK"/>
          <w:sz w:val="28"/>
        </w:rPr>
        <w:t>政协的主要职能是政治协商、民主监督、参政议政。政治协商是对国家和地方的大政方针以及政治、经济、文化和社会生活中的重要问题在决策之前进行协商和就决策执行过程中的重要问题进行协商。民主监督是对国家宪法、法律和法规的实施，重大方针政策的贯彻执行、国家机关及其工作人员的工作，通过建议和批评进行监督。参政议政是对政治、经济、文化和社会生活中的重要问题以及人民群众普遍关心的问题，开展调查研究，反映社情民意，进行协商讨论。通过调研报告、提案、建议案或其他形式，向中国共产党和国家机关提出意见和建议。</w:t>
      </w:r>
    </w:p>
    <w:p>
      <w:pPr>
        <w:ind w:firstLine="560"/>
        <w:rPr>
          <w:rFonts w:ascii="方正仿宋_GBK" w:eastAsia="方正仿宋_GBK"/>
          <w:sz w:val="28"/>
        </w:rPr>
      </w:pPr>
      <w:r>
        <w:rPr>
          <w:rFonts w:ascii="方正仿宋_GBK" w:eastAsia="方正仿宋_GBK"/>
          <w:sz w:val="28"/>
        </w:rPr>
        <w:t>政协的主要工作有：</w:t>
      </w:r>
    </w:p>
    <w:p>
      <w:pPr>
        <w:ind w:firstLine="560"/>
        <w:rPr>
          <w:rFonts w:ascii="方正仿宋_GBK" w:eastAsia="方正仿宋_GBK"/>
          <w:sz w:val="28"/>
        </w:rPr>
      </w:pPr>
      <w:r>
        <w:rPr>
          <w:rFonts w:ascii="方正仿宋_GBK" w:eastAsia="方正仿宋_GBK"/>
          <w:sz w:val="28"/>
        </w:rPr>
        <w:t>1、做好提案的征集、分类、登记、审查、交办、督办、立卷和归档工作。</w:t>
      </w:r>
    </w:p>
    <w:p>
      <w:pPr>
        <w:ind w:firstLine="560"/>
        <w:rPr>
          <w:rFonts w:ascii="方正仿宋_GBK" w:eastAsia="方正仿宋_GBK"/>
          <w:sz w:val="28"/>
        </w:rPr>
      </w:pPr>
      <w:r>
        <w:rPr>
          <w:rFonts w:ascii="方正仿宋_GBK" w:eastAsia="方正仿宋_GBK"/>
          <w:sz w:val="28"/>
        </w:rPr>
        <w:t>2、做好文史资料的征集、整理、编辑、出版和发行工作。</w:t>
      </w:r>
    </w:p>
    <w:p>
      <w:pPr>
        <w:ind w:firstLine="560"/>
        <w:rPr>
          <w:rFonts w:ascii="方正仿宋_GBK" w:eastAsia="方正仿宋_GBK"/>
          <w:sz w:val="28"/>
        </w:rPr>
      </w:pPr>
      <w:r>
        <w:rPr>
          <w:rFonts w:ascii="方正仿宋_GBK" w:eastAsia="方正仿宋_GBK"/>
          <w:sz w:val="28"/>
        </w:rPr>
        <w:t>3、组织委员学习政治理论和政协业务知识，开展委员培训，提高委员参政议政能力。</w:t>
      </w:r>
    </w:p>
    <w:p>
      <w:pPr>
        <w:ind w:firstLine="560"/>
        <w:rPr>
          <w:rFonts w:ascii="方正仿宋_GBK" w:eastAsia="方正仿宋_GBK"/>
          <w:sz w:val="28"/>
        </w:rPr>
      </w:pPr>
      <w:r>
        <w:rPr>
          <w:rFonts w:ascii="方正仿宋_GBK" w:eastAsia="方正仿宋_GBK"/>
          <w:sz w:val="28"/>
        </w:rPr>
        <w:t>4、组织委员开展专题视察、考察、调研活动。</w:t>
      </w:r>
    </w:p>
    <w:p>
      <w:pPr>
        <w:ind w:firstLine="560"/>
        <w:rPr>
          <w:rFonts w:ascii="方正仿宋_GBK" w:eastAsia="方正仿宋_GBK"/>
          <w:sz w:val="28"/>
        </w:rPr>
      </w:pPr>
      <w:r>
        <w:rPr>
          <w:rFonts w:ascii="方正仿宋_GBK" w:eastAsia="方正仿宋_GBK"/>
          <w:sz w:val="28"/>
        </w:rPr>
        <w:t>5、开展政协委员活动，做好反映社情民意工作。</w:t>
      </w:r>
    </w:p>
    <w:p>
      <w:pPr>
        <w:ind w:firstLine="560"/>
        <w:rPr>
          <w:rFonts w:ascii="方正仿宋_GBK" w:eastAsia="方正仿宋_GBK"/>
          <w:sz w:val="28"/>
        </w:rPr>
      </w:pPr>
      <w:r>
        <w:rPr>
          <w:rFonts w:ascii="方正仿宋_GBK" w:eastAsia="方正仿宋_GBK"/>
          <w:sz w:val="28"/>
        </w:rPr>
        <w:t>6、组织好政协委员会全体会议、常务委员会议、主席会议等有关会议的会务工作。</w:t>
      </w:r>
    </w:p>
    <w:p>
      <w:pPr>
        <w:ind w:firstLine="560"/>
        <w:rPr>
          <w:rFonts w:ascii="方正仿宋_GBK" w:eastAsia="方正仿宋_GBK"/>
          <w:sz w:val="28"/>
        </w:rPr>
      </w:pPr>
      <w:r>
        <w:rPr>
          <w:rFonts w:ascii="方正仿宋_GBK" w:eastAsia="方正仿宋_GBK"/>
          <w:sz w:val="28"/>
        </w:rPr>
        <w:t>7、做好政协工作的宣传报道工作，加强同委员的联系，大力宣传委员的先进事迹，扩大政协委员的影响。</w:t>
      </w:r>
    </w:p>
    <w:p>
      <w:pPr>
        <w:ind w:firstLine="560"/>
        <w:rPr>
          <w:rFonts w:ascii="方正楷体_GBK" w:hAnsi="方正楷体_GBK" w:eastAsia="方正楷体_GBK" w:cs="方正楷体_GBK"/>
          <w:b/>
          <w:color w:val="000000"/>
          <w:sz w:val="32"/>
        </w:rPr>
      </w:pPr>
      <w:r>
        <w:rPr>
          <w:rFonts w:ascii="方正仿宋_GBK" w:eastAsia="方正仿宋_GBK"/>
          <w:sz w:val="28"/>
        </w:rPr>
        <w:t>8、做好区政协自身建设、宣传工作，与有关单位的联系协调；负责机关外事工作，机构编制、人事任免、人员培训、考核奖惩、工资福利，后勤保障、经费资产管理、和审计，接待、离退休人员服务，承办政协主席、副主席、秘书长交办的其他事项。</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1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20"/>
            </w:pPr>
            <w:r>
              <w:t>单位名称</w:t>
            </w:r>
          </w:p>
        </w:tc>
        <w:tc>
          <w:tcPr>
            <w:tcW w:w="1843" w:type="dxa"/>
            <w:vAlign w:val="center"/>
          </w:tcPr>
          <w:p>
            <w:pPr>
              <w:pStyle w:val="20"/>
            </w:pPr>
            <w:r>
              <w:t>单位性质</w:t>
            </w:r>
          </w:p>
        </w:tc>
        <w:tc>
          <w:tcPr>
            <w:tcW w:w="2126" w:type="dxa"/>
            <w:vAlign w:val="center"/>
          </w:tcPr>
          <w:p>
            <w:pPr>
              <w:pStyle w:val="20"/>
            </w:pPr>
            <w:r>
              <w:t>单位规格</w:t>
            </w:r>
          </w:p>
        </w:tc>
        <w:tc>
          <w:tcPr>
            <w:tcW w:w="3827" w:type="dxa"/>
            <w:vAlign w:val="center"/>
          </w:tcPr>
          <w:p>
            <w:pPr>
              <w:pStyle w:val="2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5669" w:type="dxa"/>
            <w:vAlign w:val="center"/>
          </w:tcPr>
          <w:p>
            <w:pPr>
              <w:pStyle w:val="22"/>
              <w:rPr>
                <w:rFonts w:hint="default" w:eastAsia="方正书宋_GBK"/>
                <w:lang w:val="en-US" w:eastAsia="zh-CN"/>
              </w:rPr>
            </w:pPr>
            <w:r>
              <w:rPr>
                <w:rFonts w:hint="eastAsia"/>
                <w:lang w:val="en-US" w:eastAsia="zh-CN"/>
              </w:rPr>
              <w:t>中国人民政治协商会议唐山市丰南区委员会</w:t>
            </w:r>
            <w:bookmarkStart w:id="10" w:name="_GoBack"/>
            <w:bookmarkEnd w:id="10"/>
          </w:p>
        </w:tc>
        <w:tc>
          <w:tcPr>
            <w:tcW w:w="1843" w:type="dxa"/>
            <w:vAlign w:val="center"/>
          </w:tcPr>
          <w:p>
            <w:pPr>
              <w:pStyle w:val="23"/>
            </w:pPr>
            <w:r>
              <w:t>行政</w:t>
            </w:r>
          </w:p>
        </w:tc>
        <w:tc>
          <w:tcPr>
            <w:tcW w:w="2126" w:type="dxa"/>
            <w:vAlign w:val="center"/>
          </w:tcPr>
          <w:p>
            <w:pPr>
              <w:pStyle w:val="23"/>
              <w:rPr>
                <w:rFonts w:hint="eastAsia" w:eastAsia="方正书宋_GBK"/>
                <w:lang w:eastAsia="zh-CN"/>
              </w:rPr>
            </w:pPr>
            <w:r>
              <w:rPr>
                <w:rFonts w:hint="eastAsia"/>
                <w:lang w:val="en-US" w:eastAsia="zh-CN"/>
              </w:rPr>
              <w:t>县处级</w:t>
            </w:r>
          </w:p>
        </w:tc>
        <w:tc>
          <w:tcPr>
            <w:tcW w:w="3827" w:type="dxa"/>
            <w:vAlign w:val="center"/>
          </w:tcPr>
          <w:p>
            <w:pPr>
              <w:pStyle w:val="23"/>
            </w:pPr>
            <w:r>
              <w:t>财政拨款</w:t>
            </w:r>
          </w:p>
        </w:tc>
      </w:tr>
    </w:tbl>
    <w:p>
      <w:pPr>
        <w:spacing w:before="10" w:after="10" w:line="360" w:lineRule="auto"/>
        <w:ind w:firstLine="640"/>
        <w:outlineLvl w:val="2"/>
        <w:rPr>
          <w:rFonts w:ascii="黑体" w:hAnsi="黑体" w:eastAsia="黑体" w:cs="黑体"/>
          <w:color w:val="000000"/>
          <w:sz w:val="32"/>
        </w:rPr>
      </w:pPr>
      <w:bookmarkStart w:id="1" w:name="_Toc_3_3_0000000011"/>
    </w:p>
    <w:p>
      <w:pPr>
        <w:spacing w:before="10" w:after="10" w:line="360" w:lineRule="auto"/>
        <w:ind w:firstLine="640"/>
        <w:outlineLvl w:val="2"/>
        <w:rPr>
          <w:rFonts w:ascii="黑体" w:hAnsi="黑体" w:eastAsia="黑体" w:cs="黑体"/>
          <w:color w:val="000000"/>
          <w:sz w:val="32"/>
        </w:rPr>
      </w:pPr>
    </w:p>
    <w:p>
      <w:pPr>
        <w:spacing w:before="10" w:after="10" w:line="360" w:lineRule="auto"/>
        <w:ind w:firstLine="640"/>
        <w:outlineLvl w:val="2"/>
      </w:pPr>
      <w:r>
        <w:rPr>
          <w:rFonts w:ascii="黑体" w:hAnsi="黑体" w:eastAsia="黑体" w:cs="黑体"/>
          <w:color w:val="000000"/>
          <w:sz w:val="32"/>
        </w:rPr>
        <w:t>二、部门预算安排的总体情况</w:t>
      </w:r>
      <w:bookmarkEnd w:id="1"/>
    </w:p>
    <w:p>
      <w:pPr>
        <w:pStyle w:val="28"/>
      </w:pPr>
      <w:r>
        <w:t>按照预算管理有关规定，目前部门预算的编制实行综合预算管理，即全部收入和支出都反映在预算中。</w:t>
      </w:r>
      <w:r>
        <w:rPr>
          <w:rFonts w:hint="eastAsia"/>
          <w:lang w:val="en-US" w:eastAsia="zh-CN"/>
        </w:rPr>
        <w:t>中国人民政治协商会议唐山市丰南区委员会</w:t>
      </w:r>
      <w:r>
        <w:t>机关及所属事业单位的收支包含在部门预算中。</w:t>
      </w:r>
    </w:p>
    <w:p>
      <w:pPr>
        <w:pStyle w:val="28"/>
      </w:pPr>
      <w:r>
        <w:t>1、收入说明</w:t>
      </w:r>
    </w:p>
    <w:p>
      <w:pPr>
        <w:pStyle w:val="28"/>
      </w:pPr>
      <w:r>
        <w:t>反映本部门当年全部收入。</w:t>
      </w:r>
      <w:r>
        <w:rPr>
          <w:rFonts w:hint="eastAsia"/>
          <w:lang w:val="en-US" w:eastAsia="zh-CN"/>
        </w:rPr>
        <w:t>2017</w:t>
      </w:r>
      <w:r>
        <w:t>年预算收入</w:t>
      </w:r>
      <w:r>
        <w:rPr>
          <w:rFonts w:hint="eastAsia"/>
          <w:lang w:val="en-US" w:eastAsia="zh-CN"/>
        </w:rPr>
        <w:t>363.81</w:t>
      </w:r>
      <w:r>
        <w:t>万元，其中：一般公共预算收入</w:t>
      </w:r>
      <w:r>
        <w:rPr>
          <w:rFonts w:hint="eastAsia"/>
          <w:lang w:val="en-US" w:eastAsia="zh-CN"/>
        </w:rPr>
        <w:t>363.81</w:t>
      </w:r>
      <w:r>
        <w:t>万元，基金预算收入0万元，国有资本经营预算收入0万元，财政专户核拨收入0万元，单位资金收入0万元，上年结转结余0万元。</w:t>
      </w:r>
    </w:p>
    <w:p>
      <w:pPr>
        <w:pStyle w:val="28"/>
      </w:pPr>
      <w:r>
        <w:t>2、支出说明</w:t>
      </w:r>
    </w:p>
    <w:p>
      <w:pPr>
        <w:pStyle w:val="28"/>
      </w:pPr>
      <w:r>
        <w:t>收支预算总表支出栏、基本支出表、项目支出表按经济分类和支出功能分类科目编制，反映</w:t>
      </w:r>
      <w:r>
        <w:rPr>
          <w:rFonts w:hint="eastAsia"/>
          <w:lang w:val="en-US" w:eastAsia="zh-CN"/>
        </w:rPr>
        <w:t>中国人民政治协商会议唐山市丰南区委员会</w:t>
      </w:r>
      <w:r>
        <w:t>年度部门预算中支出预算的总体情况。</w:t>
      </w:r>
      <w:r>
        <w:rPr>
          <w:rFonts w:hint="eastAsia"/>
          <w:lang w:val="en-US" w:eastAsia="zh-CN"/>
        </w:rPr>
        <w:t>2017</w:t>
      </w:r>
      <w:r>
        <w:t>年支出预算</w:t>
      </w:r>
      <w:r>
        <w:rPr>
          <w:rFonts w:hint="eastAsia"/>
          <w:lang w:val="en-US" w:eastAsia="zh-CN"/>
        </w:rPr>
        <w:t>363.81</w:t>
      </w:r>
      <w:r>
        <w:t>万元，其中基本支出</w:t>
      </w:r>
      <w:r>
        <w:rPr>
          <w:rFonts w:hint="eastAsia"/>
          <w:lang w:val="en-US" w:eastAsia="zh-CN"/>
        </w:rPr>
        <w:t>257.86</w:t>
      </w:r>
      <w:r>
        <w:t>万元，包括人员经费</w:t>
      </w:r>
      <w:r>
        <w:rPr>
          <w:rFonts w:hint="eastAsia"/>
          <w:lang w:val="en-US" w:eastAsia="zh-CN"/>
        </w:rPr>
        <w:t>223.29</w:t>
      </w:r>
      <w:r>
        <w:t>万元和日常公用经费</w:t>
      </w:r>
      <w:r>
        <w:rPr>
          <w:rFonts w:hint="eastAsia"/>
          <w:lang w:val="en-US" w:eastAsia="zh-CN"/>
        </w:rPr>
        <w:t>34.57</w:t>
      </w:r>
      <w:r>
        <w:t>万元；项目支出</w:t>
      </w:r>
      <w:r>
        <w:rPr>
          <w:rFonts w:hint="eastAsia"/>
          <w:lang w:val="en-US" w:eastAsia="zh-CN"/>
        </w:rPr>
        <w:t>105.95</w:t>
      </w:r>
      <w:r>
        <w:t>万元，主要为</w:t>
      </w:r>
      <w:r>
        <w:rPr>
          <w:rFonts w:hint="eastAsia"/>
          <w:lang w:val="en-US" w:eastAsia="zh-CN"/>
        </w:rPr>
        <w:t>政协会议费、差旅费、招待费、培训费等支出</w:t>
      </w:r>
      <w:r>
        <w:t>。</w:t>
      </w:r>
    </w:p>
    <w:p>
      <w:pPr>
        <w:pStyle w:val="28"/>
      </w:pPr>
      <w:r>
        <w:t>3、比上年增减情况</w:t>
      </w:r>
    </w:p>
    <w:p>
      <w:pPr>
        <w:pStyle w:val="28"/>
      </w:pPr>
      <w:r>
        <w:rPr>
          <w:rFonts w:hint="eastAsia"/>
          <w:lang w:val="en-US" w:eastAsia="zh-CN"/>
        </w:rPr>
        <w:t>2017</w:t>
      </w:r>
      <w:r>
        <w:t>年预算收支安排</w:t>
      </w:r>
      <w:r>
        <w:rPr>
          <w:rFonts w:hint="eastAsia"/>
          <w:lang w:val="en-US" w:eastAsia="zh-CN"/>
        </w:rPr>
        <w:t>383.81</w:t>
      </w:r>
      <w:r>
        <w:t>万元，较</w:t>
      </w:r>
      <w:r>
        <w:rPr>
          <w:rFonts w:hint="eastAsia"/>
          <w:lang w:val="en-US" w:eastAsia="zh-CN"/>
        </w:rPr>
        <w:t>2016</w:t>
      </w:r>
      <w:r>
        <w:t>年预算</w:t>
      </w:r>
      <w:r>
        <w:rPr>
          <w:rFonts w:hint="eastAsia"/>
          <w:lang w:val="en-US" w:eastAsia="zh-CN"/>
        </w:rPr>
        <w:t>减少116.16</w:t>
      </w:r>
      <w:r>
        <w:t>万元，其中：基本支出</w:t>
      </w:r>
      <w:r>
        <w:rPr>
          <w:rFonts w:hint="eastAsia"/>
          <w:lang w:val="en-US" w:eastAsia="zh-CN"/>
        </w:rPr>
        <w:t>减少142</w:t>
      </w:r>
      <w:r>
        <w:t>万元，主要为</w:t>
      </w:r>
      <w:r>
        <w:rPr>
          <w:rFonts w:hint="eastAsia"/>
          <w:lang w:val="en-US" w:eastAsia="zh-CN"/>
        </w:rPr>
        <w:t>统战部单独核算，不再政协统一核算，人员经费支出和日常公用经费支出减少</w:t>
      </w:r>
      <w:r>
        <w:t>。项目支出</w:t>
      </w:r>
      <w:r>
        <w:rPr>
          <w:rFonts w:hint="eastAsia"/>
          <w:lang w:val="en-US" w:eastAsia="zh-CN"/>
        </w:rPr>
        <w:t>增加25.84万元，主要为2017年度印刷费支出增加</w:t>
      </w:r>
      <w:r>
        <w:t>。</w:t>
      </w:r>
    </w:p>
    <w:p>
      <w:pPr>
        <w:spacing w:before="10" w:after="10" w:line="360" w:lineRule="auto"/>
        <w:ind w:firstLine="640"/>
        <w:outlineLvl w:val="2"/>
        <w:rPr>
          <w:rFonts w:ascii="黑体" w:hAnsi="黑体" w:eastAsia="黑体" w:cs="黑体"/>
          <w:color w:val="000000"/>
          <w:sz w:val="32"/>
        </w:rPr>
      </w:pPr>
      <w:bookmarkStart w:id="2" w:name="_Toc_3_3_0000000012"/>
    </w:p>
    <w:p>
      <w:pPr>
        <w:spacing w:before="10" w:after="10" w:line="360" w:lineRule="auto"/>
        <w:ind w:firstLine="640"/>
        <w:outlineLvl w:val="2"/>
        <w:rPr>
          <w:rFonts w:ascii="黑体" w:hAnsi="黑体" w:eastAsia="黑体" w:cs="黑体"/>
          <w:color w:val="000000"/>
          <w:sz w:val="32"/>
        </w:rPr>
      </w:pPr>
    </w:p>
    <w:p>
      <w:pPr>
        <w:spacing w:before="10" w:after="10" w:line="360" w:lineRule="auto"/>
        <w:ind w:firstLine="640"/>
        <w:outlineLvl w:val="2"/>
      </w:pPr>
      <w:r>
        <w:rPr>
          <w:rFonts w:ascii="黑体" w:hAnsi="黑体" w:eastAsia="黑体" w:cs="黑体"/>
          <w:color w:val="000000"/>
          <w:sz w:val="32"/>
        </w:rPr>
        <w:t>三、机关运行经费安排情况</w:t>
      </w:r>
      <w:bookmarkEnd w:id="2"/>
    </w:p>
    <w:p>
      <w:pPr>
        <w:pStyle w:val="29"/>
      </w:pPr>
      <w:r>
        <w:rPr>
          <w:rFonts w:hint="eastAsia"/>
          <w:lang w:val="en-US" w:eastAsia="zh-CN"/>
        </w:rPr>
        <w:t>2017</w:t>
      </w:r>
      <w:r>
        <w:t>年，我部门机关运行经费共计安排</w:t>
      </w:r>
      <w:r>
        <w:rPr>
          <w:rFonts w:hint="eastAsia"/>
          <w:lang w:val="en-US" w:eastAsia="zh-CN"/>
        </w:rPr>
        <w:t>34.57</w:t>
      </w:r>
      <w:r>
        <w:t>万元，主要用于日常维修</w:t>
      </w:r>
      <w:r>
        <w:rPr>
          <w:rFonts w:hint="eastAsia"/>
          <w:lang w:eastAsia="zh-CN"/>
        </w:rPr>
        <w:t>、</w:t>
      </w:r>
      <w:r>
        <w:t>办公用房物业管理费等日常运行支出。</w:t>
      </w:r>
    </w:p>
    <w:p>
      <w:pPr>
        <w:spacing w:before="10" w:after="10" w:line="360" w:lineRule="auto"/>
        <w:ind w:firstLine="640"/>
        <w:outlineLvl w:val="2"/>
      </w:pPr>
      <w:bookmarkStart w:id="3" w:name="_Toc_3_3_0000000013"/>
      <w:r>
        <w:rPr>
          <w:rFonts w:ascii="黑体" w:hAnsi="黑体" w:eastAsia="黑体" w:cs="黑体"/>
          <w:color w:val="000000"/>
          <w:sz w:val="32"/>
        </w:rPr>
        <w:t>四、财政拨款“三公”经费预算情况及增减变化原因</w:t>
      </w:r>
      <w:bookmarkEnd w:id="3"/>
    </w:p>
    <w:p>
      <w:pPr>
        <w:pStyle w:val="37"/>
      </w:pPr>
      <w:bookmarkStart w:id="4" w:name="_Toc_3_3_0000000014"/>
      <w:r>
        <w:rPr>
          <w:rFonts w:hint="eastAsia"/>
          <w:lang w:val="en-US" w:eastAsia="zh-CN"/>
        </w:rPr>
        <w:t>2017</w:t>
      </w:r>
      <w:r>
        <w:t>年，我单位财政拨款“三公”经费预算安排</w:t>
      </w:r>
      <w:r>
        <w:rPr>
          <w:rFonts w:hint="eastAsia"/>
          <w:lang w:val="en-US" w:eastAsia="zh-CN"/>
        </w:rPr>
        <w:t>29.7</w:t>
      </w:r>
      <w:r>
        <w:t>万元，其中因公出国（境）费0万元；公务用车购置及运维费</w:t>
      </w:r>
      <w:r>
        <w:rPr>
          <w:rFonts w:hint="eastAsia"/>
          <w:lang w:val="en-US" w:eastAsia="zh-CN"/>
        </w:rPr>
        <w:t>20</w:t>
      </w:r>
      <w:r>
        <w:t>万元（其中：公务用车购置费为0万元，公务用车运维费</w:t>
      </w:r>
      <w:r>
        <w:rPr>
          <w:rFonts w:hint="eastAsia"/>
          <w:lang w:val="en-US" w:eastAsia="zh-CN"/>
        </w:rPr>
        <w:t>20</w:t>
      </w:r>
      <w:r>
        <w:t>万元)；公务接待费</w:t>
      </w:r>
      <w:r>
        <w:rPr>
          <w:rFonts w:hint="eastAsia"/>
          <w:lang w:val="en-US" w:eastAsia="zh-CN"/>
        </w:rPr>
        <w:t>9.7</w:t>
      </w:r>
      <w:r>
        <w:t>万元。</w:t>
      </w:r>
      <w:r>
        <w:rPr>
          <w:rFonts w:hint="eastAsia"/>
          <w:lang w:val="en-US" w:eastAsia="zh-CN"/>
        </w:rPr>
        <w:t>较2016</w:t>
      </w:r>
      <w:r>
        <w:t>年</w:t>
      </w:r>
      <w:r>
        <w:rPr>
          <w:rFonts w:hint="eastAsia"/>
          <w:lang w:val="en-US" w:eastAsia="zh-CN"/>
        </w:rPr>
        <w:t>减少22.8万元</w:t>
      </w:r>
      <w:r>
        <w:rPr>
          <w:rFonts w:hint="eastAsia"/>
          <w:lang w:eastAsia="zh-CN"/>
        </w:rPr>
        <w:t>，</w:t>
      </w:r>
      <w:r>
        <w:rPr>
          <w:rFonts w:hint="eastAsia"/>
          <w:lang w:val="en-US" w:eastAsia="zh-CN"/>
        </w:rPr>
        <w:t>主要为公务用车运行维护费减少12.5万元，公务接待费减少10.3万元</w:t>
      </w:r>
      <w:r>
        <w:t>。</w:t>
      </w:r>
    </w:p>
    <w:bookmarkEnd w:id="4"/>
    <w:p>
      <w:pPr>
        <w:spacing w:line="360" w:lineRule="auto"/>
        <w:ind w:firstLine="630"/>
        <w:rPr>
          <w:rFonts w:ascii="黑体" w:hAnsi="黑体" w:eastAsia="黑体"/>
          <w:sz w:val="32"/>
          <w:szCs w:val="32"/>
        </w:rPr>
      </w:pPr>
      <w:r>
        <w:rPr>
          <w:rFonts w:hint="eastAsia" w:ascii="黑体" w:hAnsi="黑体" w:eastAsia="黑体"/>
          <w:sz w:val="32"/>
          <w:szCs w:val="32"/>
        </w:rPr>
        <w:t>五、绩效预算信息</w:t>
      </w:r>
    </w:p>
    <w:p>
      <w:pPr>
        <w:spacing w:line="500" w:lineRule="exact"/>
        <w:ind w:firstLine="560"/>
        <w:rPr>
          <w:rFonts w:eastAsia="方正仿宋_GBK"/>
          <w:color w:val="000000"/>
          <w:sz w:val="28"/>
        </w:rPr>
      </w:pPr>
      <w:r>
        <w:rPr>
          <w:rFonts w:eastAsia="方正仿宋_GBK"/>
          <w:color w:val="000000"/>
          <w:sz w:val="28"/>
        </w:rPr>
        <w:t>（一）总体绩效目标</w:t>
      </w:r>
    </w:p>
    <w:p>
      <w:pPr>
        <w:spacing w:line="500" w:lineRule="exact"/>
        <w:ind w:firstLine="560"/>
        <w:rPr>
          <w:rFonts w:hint="eastAsia" w:eastAsia="方正仿宋_GBK"/>
          <w:b/>
          <w:bCs/>
          <w:color w:val="000000"/>
          <w:sz w:val="28"/>
          <w:lang w:val="en-US" w:eastAsia="zh-CN"/>
        </w:rPr>
      </w:pPr>
      <w:r>
        <w:rPr>
          <w:rFonts w:eastAsia="方正仿宋_GBK"/>
          <w:b/>
          <w:bCs/>
          <w:color w:val="000000"/>
          <w:sz w:val="28"/>
        </w:rPr>
        <w:t>区政协</w:t>
      </w:r>
      <w:r>
        <w:rPr>
          <w:rFonts w:hint="eastAsia" w:eastAsia="方正仿宋_GBK"/>
          <w:b/>
          <w:bCs/>
          <w:color w:val="000000"/>
          <w:sz w:val="28"/>
          <w:lang w:val="en-US" w:eastAsia="zh-CN"/>
        </w:rPr>
        <w:t>总体绩效目标</w:t>
      </w:r>
    </w:p>
    <w:p>
      <w:pPr>
        <w:ind w:firstLine="560" w:firstLineChars="200"/>
        <w:outlineLvl w:val="0"/>
        <w:rPr>
          <w:rFonts w:hint="eastAsia" w:ascii="方正仿宋简体" w:hAnsi="仿宋" w:eastAsia="方正仿宋简体" w:cs="仿宋"/>
          <w:bCs/>
          <w:color w:val="000000"/>
          <w:sz w:val="28"/>
          <w:szCs w:val="28"/>
          <w:lang w:eastAsia="zh-CN"/>
        </w:rPr>
      </w:pPr>
      <w:bookmarkStart w:id="5" w:name="_Toc_3_3_0000000017"/>
      <w:r>
        <w:rPr>
          <w:rFonts w:hint="eastAsia" w:ascii="方正仿宋简体" w:hAnsi="仿宋" w:eastAsia="方正仿宋简体" w:cs="仿宋"/>
          <w:bCs/>
          <w:color w:val="000000"/>
          <w:sz w:val="28"/>
          <w:szCs w:val="28"/>
          <w:lang w:eastAsia="zh-CN"/>
        </w:rPr>
        <w:t>2017年，是我区新一届领导班子的履新之年，是经济转型升级和全面建成小康社会的关键一年，新一届政协委员服务改革发展、展现更大作为的重要一年。区政协办将在区政协党组的领导下，围绕区委中心工作，坚持团结和民主两大主题，切实履行职能，激发创新活力，为全区经济社会发展作出新的更大的贡献。</w:t>
      </w:r>
    </w:p>
    <w:p>
      <w:pPr>
        <w:ind w:firstLine="560" w:firstLineChars="200"/>
        <w:outlineLvl w:val="0"/>
        <w:rPr>
          <w:rFonts w:hint="eastAsia" w:ascii="方正仿宋简体" w:hAnsi="仿宋" w:eastAsia="方正仿宋简体" w:cs="仿宋"/>
          <w:bCs/>
          <w:color w:val="000000"/>
          <w:sz w:val="28"/>
          <w:szCs w:val="28"/>
          <w:lang w:eastAsia="zh-CN"/>
        </w:rPr>
      </w:pPr>
      <w:r>
        <w:rPr>
          <w:rFonts w:hint="eastAsia" w:ascii="方正仿宋简体" w:hAnsi="仿宋" w:eastAsia="方正仿宋简体" w:cs="仿宋"/>
          <w:bCs/>
          <w:color w:val="000000"/>
          <w:sz w:val="28"/>
          <w:szCs w:val="28"/>
          <w:lang w:eastAsia="zh-CN"/>
        </w:rPr>
        <w:t>一、加强理论武装，始终保持正确的政治方向</w:t>
      </w:r>
    </w:p>
    <w:p>
      <w:pPr>
        <w:ind w:firstLine="560" w:firstLineChars="200"/>
        <w:outlineLvl w:val="0"/>
        <w:rPr>
          <w:rFonts w:hint="eastAsia" w:ascii="方正仿宋简体" w:hAnsi="仿宋" w:eastAsia="方正仿宋简体" w:cs="仿宋"/>
          <w:bCs/>
          <w:color w:val="000000"/>
          <w:sz w:val="28"/>
          <w:szCs w:val="28"/>
          <w:lang w:eastAsia="zh-CN"/>
        </w:rPr>
      </w:pPr>
      <w:r>
        <w:rPr>
          <w:rFonts w:hint="eastAsia" w:ascii="方正仿宋简体" w:hAnsi="仿宋" w:eastAsia="方正仿宋简体" w:cs="仿宋"/>
          <w:bCs/>
          <w:color w:val="000000"/>
          <w:sz w:val="28"/>
          <w:szCs w:val="28"/>
          <w:lang w:eastAsia="zh-CN"/>
        </w:rPr>
        <w:t> 坚定理想信念。按照区委要求，适应政协换届后形势和任务的需要，组织推动广大委员深入学习中国特色社会主义理论体系，坚定道路自信，坚持中国共产党领导，确保政协工作坚持正确的政治方向。切实统一思想。采取集中学习、联组学习等多种形式，学习中共十八届三中、四中、五中、六中全会和习近平总书记系列重要讲话精神，积极引导广大政协委员把思想和行动统一到中央和省、市、区的决策部署上来。提升履职能力。组织开展学习座谈、理论研讨等活动，学习协商民主理论和新时期关于加强人民政协工作的一系列文件，不断丰富广大委员的理论知识，提升履职能力。</w:t>
      </w:r>
    </w:p>
    <w:p>
      <w:pPr>
        <w:ind w:firstLine="560" w:firstLineChars="200"/>
        <w:outlineLvl w:val="0"/>
        <w:rPr>
          <w:rFonts w:hint="eastAsia" w:ascii="方正仿宋简体" w:hAnsi="仿宋" w:eastAsia="方正仿宋简体" w:cs="仿宋"/>
          <w:bCs/>
          <w:color w:val="000000"/>
          <w:sz w:val="28"/>
          <w:szCs w:val="28"/>
          <w:lang w:eastAsia="zh-CN"/>
        </w:rPr>
      </w:pPr>
      <w:r>
        <w:rPr>
          <w:rFonts w:hint="eastAsia" w:ascii="方正仿宋简体" w:hAnsi="仿宋" w:eastAsia="方正仿宋简体" w:cs="仿宋"/>
          <w:bCs/>
          <w:color w:val="000000"/>
          <w:sz w:val="28"/>
          <w:szCs w:val="28"/>
          <w:lang w:eastAsia="zh-CN"/>
        </w:rPr>
        <w:t>二、倾力服务大局，充分发挥重要的协商渠道作用</w:t>
      </w:r>
    </w:p>
    <w:p>
      <w:pPr>
        <w:ind w:firstLine="560" w:firstLineChars="200"/>
        <w:outlineLvl w:val="0"/>
        <w:rPr>
          <w:rFonts w:hint="eastAsia" w:ascii="方正仿宋简体" w:hAnsi="仿宋" w:eastAsia="方正仿宋简体" w:cs="仿宋"/>
          <w:bCs/>
          <w:color w:val="000000"/>
          <w:sz w:val="28"/>
          <w:szCs w:val="28"/>
          <w:lang w:eastAsia="zh-CN"/>
        </w:rPr>
      </w:pPr>
      <w:r>
        <w:rPr>
          <w:rFonts w:hint="eastAsia" w:ascii="方正仿宋简体" w:hAnsi="仿宋" w:eastAsia="方正仿宋简体" w:cs="仿宋"/>
          <w:bCs/>
          <w:color w:val="000000"/>
          <w:sz w:val="28"/>
          <w:szCs w:val="28"/>
          <w:lang w:eastAsia="zh-CN"/>
        </w:rPr>
        <w:t>融入大局协商。开展“协商成果落实年”活动，主动投身全区大局，制定年度协商工作计划，丰富协商形式，细化协商环节，加强协商成果的运用落实和宣传反馈。把握重点调研。继续开展“委员大调研”活动，选取关系丰南发展的关键点，精准选题，精心调研，为助推发展提供典型的案例和详实的数据。立足岗位建言。开展“行业献策”活动，组织全区政协委员，爱岗敬业，发挥优势，从基层专家的角度为促进政策落实、行业发展建言献策，通过政协渠道及时报送落实，促进相关工作开展。</w:t>
      </w:r>
    </w:p>
    <w:p>
      <w:pPr>
        <w:ind w:firstLine="560" w:firstLineChars="200"/>
        <w:outlineLvl w:val="0"/>
        <w:rPr>
          <w:rFonts w:hint="eastAsia" w:ascii="方正仿宋简体" w:hAnsi="仿宋" w:eastAsia="方正仿宋简体" w:cs="仿宋"/>
          <w:bCs/>
          <w:color w:val="000000"/>
          <w:sz w:val="28"/>
          <w:szCs w:val="28"/>
          <w:lang w:eastAsia="zh-CN"/>
        </w:rPr>
      </w:pPr>
      <w:r>
        <w:rPr>
          <w:rFonts w:hint="eastAsia" w:ascii="方正仿宋简体" w:hAnsi="仿宋" w:eastAsia="方正仿宋简体" w:cs="仿宋"/>
          <w:bCs/>
          <w:color w:val="000000"/>
          <w:sz w:val="28"/>
          <w:szCs w:val="28"/>
          <w:lang w:eastAsia="zh-CN"/>
        </w:rPr>
        <w:t>三、坚持履职为民，不断促进民生事业的稳步推进</w:t>
      </w:r>
    </w:p>
    <w:p>
      <w:pPr>
        <w:ind w:firstLine="560" w:firstLineChars="200"/>
        <w:outlineLvl w:val="0"/>
        <w:rPr>
          <w:rFonts w:hint="eastAsia" w:ascii="方正仿宋简体" w:hAnsi="仿宋" w:eastAsia="方正仿宋简体" w:cs="仿宋"/>
          <w:bCs/>
          <w:color w:val="000000"/>
          <w:sz w:val="28"/>
          <w:szCs w:val="28"/>
          <w:lang w:eastAsia="zh-CN"/>
        </w:rPr>
      </w:pPr>
      <w:r>
        <w:rPr>
          <w:rFonts w:hint="eastAsia" w:ascii="方正仿宋简体" w:hAnsi="仿宋" w:eastAsia="方正仿宋简体" w:cs="仿宋"/>
          <w:bCs/>
          <w:color w:val="000000"/>
          <w:sz w:val="28"/>
          <w:szCs w:val="28"/>
          <w:lang w:eastAsia="zh-CN"/>
        </w:rPr>
        <w:t>加大提案办理力度。开展“提案办理见效年”活动，继续把民生类提案作为重点督办提案，完善提案的落实反馈制度，促进民生工程的落实。加大民主监督力度。完善民主评议机制，规范民主监督员制度，组织召开民主监督员座谈会，推动民主监督工作有效有序开展。加大民情反馈力度。开展“民情直通车”委员下基层活动，围绕涉及群众切身利益的焦点问题，深入基层视察调研，倾听群众呼声，整理上报社情民意，反映群众诉求。加大公益服务力度。继续开展“界别委员活动月”，组织引导广大政协委员承担社会责任，积极参与兴教办学、扶危济困、养老助残等公益事业，关心帮助困难群众和弱势群体。</w:t>
      </w:r>
    </w:p>
    <w:p>
      <w:pPr>
        <w:ind w:firstLine="560" w:firstLineChars="200"/>
        <w:outlineLvl w:val="0"/>
        <w:rPr>
          <w:rFonts w:hint="eastAsia" w:ascii="方正仿宋简体" w:hAnsi="仿宋" w:eastAsia="方正仿宋简体" w:cs="仿宋"/>
          <w:bCs/>
          <w:color w:val="000000"/>
          <w:sz w:val="28"/>
          <w:szCs w:val="28"/>
          <w:lang w:eastAsia="zh-CN"/>
        </w:rPr>
      </w:pPr>
      <w:r>
        <w:rPr>
          <w:rFonts w:hint="eastAsia" w:ascii="方正仿宋简体" w:hAnsi="仿宋" w:eastAsia="方正仿宋简体" w:cs="仿宋"/>
          <w:bCs/>
          <w:color w:val="000000"/>
          <w:sz w:val="28"/>
          <w:szCs w:val="28"/>
          <w:lang w:eastAsia="zh-CN"/>
        </w:rPr>
        <w:t>四、促进团结和谐，广泛凝聚促进发展的强大合力</w:t>
      </w:r>
    </w:p>
    <w:p>
      <w:pPr>
        <w:ind w:firstLine="560" w:firstLineChars="200"/>
        <w:outlineLvl w:val="0"/>
        <w:rPr>
          <w:rFonts w:hint="eastAsia" w:ascii="方正仿宋简体" w:hAnsi="仿宋" w:eastAsia="方正仿宋简体" w:cs="仿宋"/>
          <w:bCs/>
          <w:color w:val="000000"/>
          <w:sz w:val="28"/>
          <w:szCs w:val="28"/>
          <w:lang w:eastAsia="zh-CN"/>
        </w:rPr>
      </w:pPr>
      <w:r>
        <w:rPr>
          <w:rFonts w:hint="eastAsia" w:ascii="方正仿宋简体" w:hAnsi="仿宋" w:eastAsia="方正仿宋简体" w:cs="仿宋"/>
          <w:bCs/>
          <w:color w:val="000000"/>
          <w:sz w:val="28"/>
          <w:szCs w:val="28"/>
          <w:lang w:eastAsia="zh-CN"/>
        </w:rPr>
        <w:t>加强团结联谊。促进与各党派和无党派人士的合作共事，加强与各人民团体和各界人士、港澳台同胞和海外侨胞的联系，广泛团结包括新经济组织、新社会阶层在内的全体社会主义劳动者和社会主义事业建设者。促进民族和睦。宣传贯彻党和国家的民族、宗教政策，维护民族团结和睦。发挥纽带作用。协助党委、政府做好宣传解释、利益协调等工作，维护社会稳定，推动改革发展。</w:t>
      </w:r>
    </w:p>
    <w:p>
      <w:pPr>
        <w:ind w:firstLine="560" w:firstLineChars="200"/>
        <w:outlineLvl w:val="0"/>
        <w:rPr>
          <w:rFonts w:hint="eastAsia" w:ascii="方正仿宋简体" w:hAnsi="仿宋" w:eastAsia="方正仿宋简体" w:cs="仿宋"/>
          <w:bCs/>
          <w:color w:val="000000"/>
          <w:sz w:val="28"/>
          <w:szCs w:val="28"/>
          <w:lang w:eastAsia="zh-CN"/>
        </w:rPr>
      </w:pPr>
      <w:r>
        <w:rPr>
          <w:rFonts w:hint="eastAsia" w:ascii="方正仿宋简体" w:hAnsi="仿宋" w:eastAsia="方正仿宋简体" w:cs="仿宋"/>
          <w:bCs/>
          <w:color w:val="000000"/>
          <w:sz w:val="28"/>
          <w:szCs w:val="28"/>
          <w:lang w:eastAsia="zh-CN"/>
        </w:rPr>
        <w:t>五、注重探索创新，不断提升政协工作的科学化水平</w:t>
      </w:r>
    </w:p>
    <w:p>
      <w:pPr>
        <w:ind w:firstLine="560" w:firstLineChars="200"/>
        <w:outlineLvl w:val="0"/>
        <w:rPr>
          <w:rFonts w:hint="eastAsia" w:ascii="方正仿宋简体" w:hAnsi="仿宋" w:eastAsia="方正仿宋简体" w:cs="仿宋"/>
          <w:bCs/>
          <w:color w:val="000000"/>
          <w:sz w:val="28"/>
          <w:szCs w:val="28"/>
          <w:lang w:eastAsia="zh-CN"/>
        </w:rPr>
      </w:pPr>
      <w:r>
        <w:rPr>
          <w:rFonts w:hint="eastAsia" w:ascii="方正仿宋简体" w:hAnsi="仿宋" w:eastAsia="方正仿宋简体" w:cs="仿宋"/>
          <w:bCs/>
          <w:color w:val="000000"/>
          <w:sz w:val="28"/>
          <w:szCs w:val="28"/>
          <w:lang w:eastAsia="zh-CN"/>
        </w:rPr>
        <w:t>打造坚强核心。充分发挥常委会的核心作用，创新发挥界别作用的方法和途径，重视发挥专门委员会的力量和作用。打造两支队伍。注重加强委员队伍和机关干部队伍建设。健全委员联络机构，完善委员联络和服务制度。探索建立各政协工作组联动、资源共享机制，加强对各工作组的指导，增进交流合作。加强机关建设。持续深入反“四风”，牢记党的根本宗旨，严守党的政治纪律和政治规矩，认真依法依规办事，切实发挥各项制度的约束作用，以良好作风促进政协工作科学化水平的提升。</w:t>
      </w:r>
    </w:p>
    <w:p>
      <w:pPr>
        <w:ind w:firstLine="560" w:firstLineChars="200"/>
        <w:outlineLvl w:val="0"/>
        <w:rPr>
          <w:rFonts w:ascii="方正仿宋简体" w:hAnsi="仿宋" w:eastAsia="方正仿宋简体" w:cs="仿宋"/>
          <w:bCs/>
          <w:color w:val="000000"/>
          <w:sz w:val="28"/>
          <w:szCs w:val="28"/>
        </w:rPr>
      </w:pPr>
      <w:r>
        <w:rPr>
          <w:rFonts w:hint="eastAsia" w:ascii="方正仿宋简体" w:hAnsi="仿宋" w:eastAsia="方正仿宋简体" w:cs="仿宋"/>
          <w:bCs/>
          <w:color w:val="000000"/>
          <w:sz w:val="28"/>
          <w:szCs w:val="28"/>
          <w:lang w:eastAsia="zh-CN"/>
        </w:rPr>
        <w:t>（二）</w:t>
      </w:r>
      <w:r>
        <w:rPr>
          <w:rFonts w:hint="eastAsia" w:ascii="方正仿宋简体" w:hAnsi="仿宋" w:eastAsia="方正仿宋简体" w:cs="仿宋"/>
          <w:bCs/>
          <w:color w:val="000000"/>
          <w:sz w:val="28"/>
          <w:szCs w:val="28"/>
        </w:rPr>
        <w:t>实现年度发展规划目标的保障措施</w:t>
      </w:r>
    </w:p>
    <w:p>
      <w:pPr>
        <w:ind w:firstLine="560"/>
        <w:rPr>
          <w:rFonts w:ascii="方正仿宋_GBK" w:eastAsia="方正仿宋_GBK"/>
          <w:sz w:val="28"/>
        </w:rPr>
      </w:pPr>
      <w:r>
        <w:rPr>
          <w:rFonts w:ascii="方正仿宋_GBK" w:eastAsia="方正仿宋_GBK"/>
          <w:sz w:val="28"/>
        </w:rPr>
        <w:t>一是明确任务，实行目标管理。对201</w:t>
      </w:r>
      <w:r>
        <w:rPr>
          <w:rFonts w:hint="eastAsia" w:ascii="方正仿宋_GBK" w:eastAsia="方正仿宋_GBK"/>
          <w:sz w:val="28"/>
          <w:lang w:val="en-US" w:eastAsia="zh-CN"/>
        </w:rPr>
        <w:t>7</w:t>
      </w:r>
      <w:r>
        <w:rPr>
          <w:rFonts w:ascii="方正仿宋_GBK" w:eastAsia="方正仿宋_GBK"/>
          <w:sz w:val="28"/>
        </w:rPr>
        <w:t>年目标任务一一梳理，对照时间节点，合理安排分工，创新工作方法，提高工作效率，实行主要领导负总责，将各项工作目标任务落实到班子成员，责任到科室，明确到个人，对目标任务逐项分析，细化分解，层层落实，责任到岗，任务到人，跟踪问效，确保按时保质完成所有工作目标。</w:t>
      </w:r>
    </w:p>
    <w:p>
      <w:pPr>
        <w:ind w:firstLine="560"/>
        <w:rPr>
          <w:rFonts w:ascii="方正仿宋_GBK" w:eastAsia="方正仿宋_GBK"/>
          <w:sz w:val="28"/>
        </w:rPr>
      </w:pPr>
      <w:r>
        <w:rPr>
          <w:rFonts w:ascii="方正仿宋_GBK" w:eastAsia="方正仿宋_GBK"/>
          <w:sz w:val="28"/>
        </w:rPr>
        <w:t>二是统筹安排，强化工作落实。整合科室力量，统筹安排工作，实行每月调度，对重要工作实行随时调度，听取项目任务进展汇报，根据需要及时调配力量，确保目标任务顺利完成。</w:t>
      </w:r>
    </w:p>
    <w:p>
      <w:pPr>
        <w:ind w:firstLine="560"/>
        <w:rPr>
          <w:rFonts w:ascii="方正仿宋_GBK" w:eastAsia="方正仿宋_GBK"/>
          <w:sz w:val="28"/>
        </w:rPr>
      </w:pPr>
      <w:r>
        <w:rPr>
          <w:rFonts w:ascii="方正仿宋_GBK" w:eastAsia="方正仿宋_GBK"/>
          <w:sz w:val="28"/>
        </w:rPr>
        <w:t>三是完善制度，确保工作质量。健全和完善各项内部管理和工作制度，坚持以制度管事、以制度管人，以制度建设规范权力运行，增强机关工作人员贯彻执行制度的自觉性，严格规范工作行为，坚持廉洁自律，为完成全年目标任务提供制度保障。</w:t>
      </w:r>
    </w:p>
    <w:p>
      <w:pPr>
        <w:ind w:firstLine="560"/>
        <w:rPr>
          <w:rFonts w:ascii="方正仿宋_GBK" w:eastAsia="方正仿宋_GBK"/>
          <w:sz w:val="28"/>
        </w:rPr>
      </w:pPr>
      <w:r>
        <w:rPr>
          <w:rFonts w:ascii="方正仿宋_GBK" w:eastAsia="方正仿宋_GBK"/>
          <w:sz w:val="28"/>
        </w:rPr>
        <w:t>四是有效激励，严格考核。为进一步调动和激发机关干部的积极性和创造性，促进工作争先进位，把目标任务的完成情况作为主要的考核内容。年终考核评比结果，作为评先评优、提拔、奖惩的重要依据，切实做到奖惩兑现，使那些会干事、能干事、干成事的同志有作为有地位，努力形成正确的用人导向和激励约束机制。</w:t>
      </w:r>
    </w:p>
    <w:p>
      <w:pPr>
        <w:jc w:val="left"/>
        <w:rPr>
          <w:rFonts w:hint="eastAsia"/>
        </w:rPr>
        <w:sectPr>
          <w:pgSz w:w="16839" w:h="11907" w:orient="landscape"/>
          <w:pgMar w:top="1134" w:right="1531" w:bottom="1134" w:left="1474" w:header="851" w:footer="992" w:gutter="0"/>
          <w:cols w:space="425" w:num="1"/>
          <w:docGrid w:type="lines" w:linePitch="312" w:charSpace="0"/>
        </w:sectPr>
      </w:pPr>
    </w:p>
    <w:p>
      <w:pPr>
        <w:spacing w:line="360" w:lineRule="auto"/>
        <w:ind w:firstLine="630"/>
        <w:rPr>
          <w:rFonts w:ascii="方正仿宋简体" w:hAnsi="楷体" w:eastAsia="方正仿宋简体"/>
          <w:sz w:val="28"/>
          <w:szCs w:val="28"/>
        </w:rPr>
      </w:pPr>
      <w:r>
        <w:rPr>
          <w:rFonts w:hint="eastAsia" w:ascii="方正仿宋简体" w:hAnsi="楷体" w:eastAsia="方正仿宋简体"/>
          <w:sz w:val="28"/>
          <w:szCs w:val="28"/>
        </w:rPr>
        <w:t>（三）部门职责及工作活动绩效目标指标</w:t>
      </w:r>
    </w:p>
    <w:p>
      <w:pPr>
        <w:jc w:val="center"/>
        <w:outlineLvl w:val="0"/>
        <w:rPr>
          <w:rFonts w:ascii="方正小标宋_GBK" w:eastAsia="方正小标宋_GBK"/>
          <w:sz w:val="32"/>
        </w:rPr>
      </w:pPr>
      <w:bookmarkStart w:id="6" w:name="_Toc441303271"/>
      <w:r>
        <w:rPr>
          <w:rFonts w:hint="eastAsia" w:ascii="方正小标宋_GBK" w:eastAsia="方正小标宋_GBK"/>
          <w:sz w:val="32"/>
        </w:rPr>
        <w:t>部门职责-工作活动绩效目标</w:t>
      </w:r>
      <w:bookmarkEnd w:id="6"/>
    </w:p>
    <w:p>
      <w:pPr>
        <w:spacing w:line="300" w:lineRule="exact"/>
        <w:outlineLvl w:val="0"/>
        <w:rPr>
          <w:rFonts w:hint="eastAsia" w:eastAsia="宋体"/>
          <w:lang w:eastAsia="zh-CN"/>
        </w:rPr>
      </w:pPr>
    </w:p>
    <w:tbl>
      <w:tblPr>
        <w:tblStyle w:val="12"/>
        <w:tblW w:w="1393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41"/>
        <w:gridCol w:w="1276"/>
        <w:gridCol w:w="2976"/>
        <w:gridCol w:w="2976"/>
        <w:gridCol w:w="1417"/>
        <w:gridCol w:w="737"/>
        <w:gridCol w:w="737"/>
        <w:gridCol w:w="737"/>
        <w:gridCol w:w="7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0986" w:type="dxa"/>
            <w:gridSpan w:val="5"/>
            <w:tcBorders>
              <w:top w:val="single" w:color="FFFFFF" w:sz="6" w:space="0"/>
              <w:left w:val="single" w:color="FFFFFF" w:sz="6" w:space="0"/>
              <w:right w:val="single" w:color="FFFFFF" w:sz="6" w:space="0"/>
            </w:tcBorders>
            <w:noWrap w:val="0"/>
            <w:vAlign w:val="center"/>
          </w:tcPr>
          <w:p>
            <w:pPr>
              <w:spacing w:line="300" w:lineRule="exact"/>
              <w:jc w:val="left"/>
              <w:rPr>
                <w:rFonts w:ascii="方正小标宋_GBK" w:eastAsia="方正小标宋_GBK"/>
                <w:sz w:val="24"/>
              </w:rPr>
            </w:pPr>
            <w:r>
              <w:rPr>
                <w:rFonts w:ascii="方正小标宋_GBK" w:eastAsia="方正小标宋_GBK"/>
                <w:sz w:val="24"/>
              </w:rPr>
              <w:t>302</w:t>
            </w:r>
            <w:r>
              <w:rPr>
                <w:rFonts w:hint="eastAsia" w:ascii="方正小标宋_GBK" w:eastAsia="方正小标宋_GBK"/>
                <w:sz w:val="24"/>
              </w:rPr>
              <w:t>政治协商会议唐山市丰南区委员会</w:t>
            </w:r>
          </w:p>
        </w:tc>
        <w:tc>
          <w:tcPr>
            <w:tcW w:w="2948" w:type="dxa"/>
            <w:gridSpan w:val="4"/>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职责活动</w:t>
            </w:r>
          </w:p>
        </w:tc>
        <w:tc>
          <w:tcPr>
            <w:tcW w:w="1276"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年度预算数</w:t>
            </w:r>
          </w:p>
        </w:tc>
        <w:tc>
          <w:tcPr>
            <w:tcW w:w="2976"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内容描述</w:t>
            </w:r>
          </w:p>
        </w:tc>
        <w:tc>
          <w:tcPr>
            <w:tcW w:w="2976"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417"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绩效指标</w:t>
            </w:r>
          </w:p>
        </w:tc>
        <w:tc>
          <w:tcPr>
            <w:tcW w:w="2948" w:type="dxa"/>
            <w:gridSpan w:val="4"/>
            <w:noWrap w:val="0"/>
            <w:vAlign w:val="center"/>
          </w:tcPr>
          <w:p>
            <w:pPr>
              <w:spacing w:line="300" w:lineRule="exact"/>
              <w:jc w:val="center"/>
              <w:rPr>
                <w:rFonts w:ascii="方正书宋_GBK" w:eastAsia="方正书宋_GBK"/>
                <w:b/>
              </w:rPr>
            </w:pPr>
            <w:r>
              <w:rPr>
                <w:rFonts w:hint="eastAsia" w:ascii="方正书宋_GBK" w:eastAsia="方正书宋_GBK"/>
                <w:b/>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continue"/>
            <w:noWrap w:val="0"/>
            <w:vAlign w:val="center"/>
          </w:tcPr>
          <w:p>
            <w:pPr>
              <w:spacing w:line="300" w:lineRule="exact"/>
              <w:jc w:val="left"/>
              <w:outlineLvl w:val="0"/>
            </w:pPr>
          </w:p>
        </w:tc>
        <w:tc>
          <w:tcPr>
            <w:tcW w:w="1276" w:type="dxa"/>
            <w:vMerge w:val="continue"/>
            <w:noWrap w:val="0"/>
            <w:vAlign w:val="center"/>
          </w:tcPr>
          <w:p>
            <w:pPr>
              <w:spacing w:line="300" w:lineRule="exact"/>
              <w:jc w:val="left"/>
              <w:outlineLvl w:val="0"/>
            </w:pPr>
          </w:p>
        </w:tc>
        <w:tc>
          <w:tcPr>
            <w:tcW w:w="2976" w:type="dxa"/>
            <w:vMerge w:val="continue"/>
            <w:noWrap w:val="0"/>
            <w:vAlign w:val="center"/>
          </w:tcPr>
          <w:p>
            <w:pPr>
              <w:spacing w:line="300" w:lineRule="exact"/>
              <w:jc w:val="left"/>
              <w:outlineLvl w:val="0"/>
            </w:pPr>
          </w:p>
        </w:tc>
        <w:tc>
          <w:tcPr>
            <w:tcW w:w="2976" w:type="dxa"/>
            <w:vMerge w:val="continue"/>
            <w:noWrap w:val="0"/>
            <w:vAlign w:val="center"/>
          </w:tcPr>
          <w:p>
            <w:pPr>
              <w:spacing w:line="300" w:lineRule="exact"/>
              <w:jc w:val="left"/>
              <w:outlineLvl w:val="0"/>
            </w:pPr>
          </w:p>
        </w:tc>
        <w:tc>
          <w:tcPr>
            <w:tcW w:w="1417" w:type="dxa"/>
            <w:vMerge w:val="continue"/>
            <w:noWrap w:val="0"/>
            <w:vAlign w:val="center"/>
          </w:tcPr>
          <w:p>
            <w:pPr>
              <w:spacing w:line="300" w:lineRule="exact"/>
              <w:jc w:val="left"/>
              <w:outlineLvl w:val="0"/>
            </w:pPr>
          </w:p>
        </w:tc>
        <w:tc>
          <w:tcPr>
            <w:tcW w:w="737" w:type="dxa"/>
            <w:noWrap w:val="0"/>
            <w:vAlign w:val="center"/>
          </w:tcPr>
          <w:p>
            <w:pPr>
              <w:spacing w:line="300" w:lineRule="exact"/>
              <w:jc w:val="center"/>
              <w:rPr>
                <w:rFonts w:ascii="方正书宋_GBK" w:eastAsia="方正书宋_GBK"/>
                <w:b/>
              </w:rPr>
            </w:pPr>
            <w:r>
              <w:rPr>
                <w:rFonts w:hint="eastAsia" w:ascii="方正书宋_GBK" w:eastAsia="方正书宋_GBK"/>
                <w:b/>
              </w:rPr>
              <w:t>优</w:t>
            </w:r>
          </w:p>
        </w:tc>
        <w:tc>
          <w:tcPr>
            <w:tcW w:w="737" w:type="dxa"/>
            <w:noWrap w:val="0"/>
            <w:vAlign w:val="center"/>
          </w:tcPr>
          <w:p>
            <w:pPr>
              <w:spacing w:line="300" w:lineRule="exact"/>
              <w:jc w:val="center"/>
              <w:rPr>
                <w:rFonts w:ascii="方正书宋_GBK" w:eastAsia="方正书宋_GBK"/>
                <w:b/>
              </w:rPr>
            </w:pPr>
            <w:r>
              <w:rPr>
                <w:rFonts w:hint="eastAsia" w:ascii="方正书宋_GBK" w:eastAsia="方正书宋_GBK"/>
                <w:b/>
              </w:rPr>
              <w:t>良</w:t>
            </w:r>
          </w:p>
        </w:tc>
        <w:tc>
          <w:tcPr>
            <w:tcW w:w="737" w:type="dxa"/>
            <w:noWrap w:val="0"/>
            <w:vAlign w:val="center"/>
          </w:tcPr>
          <w:p>
            <w:pPr>
              <w:spacing w:line="300" w:lineRule="exact"/>
              <w:jc w:val="center"/>
              <w:rPr>
                <w:rFonts w:ascii="方正书宋_GBK" w:eastAsia="方正书宋_GBK"/>
                <w:b/>
              </w:rPr>
            </w:pPr>
            <w:r>
              <w:rPr>
                <w:rFonts w:hint="eastAsia" w:ascii="方正书宋_GBK" w:eastAsia="方正书宋_GBK"/>
                <w:b/>
              </w:rPr>
              <w:t>中</w:t>
            </w:r>
          </w:p>
        </w:tc>
        <w:tc>
          <w:tcPr>
            <w:tcW w:w="737" w:type="dxa"/>
            <w:noWrap w:val="0"/>
            <w:vAlign w:val="center"/>
          </w:tcPr>
          <w:p>
            <w:pPr>
              <w:spacing w:line="300" w:lineRule="exact"/>
              <w:jc w:val="center"/>
              <w:rPr>
                <w:rFonts w:ascii="方正书宋_GBK" w:eastAsia="方正书宋_GBK"/>
                <w:b/>
              </w:rPr>
            </w:pPr>
            <w:r>
              <w:rPr>
                <w:rFonts w:hint="eastAsia" w:ascii="方正书宋_GBK" w:eastAsia="方正书宋_GBK"/>
                <w:b/>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ascii="方正书宋_GBK" w:eastAsia="方正书宋_GBK"/>
                <w:b/>
              </w:rPr>
            </w:pPr>
            <w:r>
              <w:rPr>
                <w:rFonts w:hint="eastAsia" w:ascii="方正书宋_GBK" w:eastAsia="方正书宋_GBK"/>
                <w:b/>
              </w:rPr>
              <w:t>政治协商</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14.40</w:t>
            </w:r>
          </w:p>
        </w:tc>
        <w:tc>
          <w:tcPr>
            <w:tcW w:w="2976" w:type="dxa"/>
            <w:noWrap w:val="0"/>
            <w:vAlign w:val="center"/>
          </w:tcPr>
          <w:p>
            <w:pPr>
              <w:spacing w:line="300" w:lineRule="exact"/>
              <w:jc w:val="left"/>
              <w:rPr>
                <w:rFonts w:ascii="方正书宋_GBK" w:eastAsia="方正书宋_GBK"/>
              </w:rPr>
            </w:pPr>
            <w:r>
              <w:rPr>
                <w:rFonts w:hint="eastAsia" w:ascii="方正书宋_GBK" w:eastAsia="方正书宋_GBK"/>
              </w:rPr>
              <w:t>就大政方针及重要问题在决策之前和决策执行过程中进行协商。</w:t>
            </w:r>
          </w:p>
        </w:tc>
        <w:tc>
          <w:tcPr>
            <w:tcW w:w="2976" w:type="dxa"/>
            <w:noWrap w:val="0"/>
            <w:vAlign w:val="center"/>
          </w:tcPr>
          <w:p>
            <w:pPr>
              <w:spacing w:line="300" w:lineRule="exact"/>
              <w:jc w:val="left"/>
              <w:rPr>
                <w:rFonts w:ascii="方正书宋_GBK" w:eastAsia="方正书宋_GBK"/>
              </w:rPr>
            </w:pPr>
            <w:r>
              <w:rPr>
                <w:rFonts w:hint="eastAsia" w:ascii="方正书宋_GBK" w:eastAsia="方正书宋_GBK"/>
              </w:rPr>
              <w:t>完善各项会议制度，规范会议程序，提高会议质量，提高政治协商水平。</w:t>
            </w:r>
          </w:p>
        </w:tc>
        <w:tc>
          <w:tcPr>
            <w:tcW w:w="1417" w:type="dxa"/>
            <w:noWrap w:val="0"/>
            <w:vAlign w:val="center"/>
          </w:tcPr>
          <w:p>
            <w:pPr>
              <w:spacing w:line="300" w:lineRule="exact"/>
              <w:jc w:val="left"/>
              <w:rPr>
                <w:rFonts w:ascii="方正书宋_GBK" w:eastAsia="方正书宋_GBK"/>
              </w:rPr>
            </w:pPr>
          </w:p>
        </w:tc>
        <w:tc>
          <w:tcPr>
            <w:tcW w:w="737" w:type="dxa"/>
            <w:noWrap w:val="0"/>
            <w:vAlign w:val="center"/>
          </w:tcPr>
          <w:p>
            <w:pPr>
              <w:spacing w:line="300" w:lineRule="exact"/>
              <w:jc w:val="center"/>
              <w:rPr>
                <w:rFonts w:ascii="方正书宋_GBK" w:eastAsia="方正书宋_GBK"/>
              </w:rPr>
            </w:pPr>
          </w:p>
        </w:tc>
        <w:tc>
          <w:tcPr>
            <w:tcW w:w="737" w:type="dxa"/>
            <w:noWrap w:val="0"/>
            <w:vAlign w:val="center"/>
          </w:tcPr>
          <w:p>
            <w:pPr>
              <w:spacing w:line="300" w:lineRule="exact"/>
              <w:jc w:val="center"/>
              <w:rPr>
                <w:rFonts w:ascii="方正书宋_GBK" w:eastAsia="方正书宋_GBK"/>
              </w:rPr>
            </w:pPr>
          </w:p>
        </w:tc>
        <w:tc>
          <w:tcPr>
            <w:tcW w:w="737" w:type="dxa"/>
            <w:noWrap w:val="0"/>
            <w:vAlign w:val="center"/>
          </w:tcPr>
          <w:p>
            <w:pPr>
              <w:spacing w:line="300" w:lineRule="exact"/>
              <w:jc w:val="center"/>
              <w:rPr>
                <w:rFonts w:ascii="方正书宋_GBK" w:eastAsia="方正书宋_GBK"/>
              </w:rPr>
            </w:pPr>
          </w:p>
        </w:tc>
        <w:tc>
          <w:tcPr>
            <w:tcW w:w="737" w:type="dxa"/>
            <w:noWrap w:val="0"/>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hint="eastAsia" w:ascii="方正书宋_GBK" w:eastAsia="方正书宋_GBK"/>
                <w:b/>
              </w:rPr>
            </w:pPr>
            <w:r>
              <w:rPr>
                <w:rFonts w:hint="eastAsia" w:ascii="方正书宋_GBK" w:eastAsia="方正书宋_GBK"/>
                <w:b/>
              </w:rPr>
              <w:t>　　政协会议</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14.40</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各类会议是政协履行职能的主要形式，是开展工作的主体，是委员履行自身职责的主要途径。</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完善各项会议制度，规范会议程序，提高会议质量，提高政治协商水平。</w:t>
            </w:r>
          </w:p>
        </w:tc>
        <w:tc>
          <w:tcPr>
            <w:tcW w:w="1417" w:type="dxa"/>
            <w:noWrap w:val="0"/>
            <w:vAlign w:val="center"/>
          </w:tcPr>
          <w:p>
            <w:pPr>
              <w:spacing w:line="300" w:lineRule="exact"/>
              <w:jc w:val="left"/>
              <w:rPr>
                <w:rFonts w:ascii="方正书宋_GBK" w:eastAsia="方正书宋_GBK"/>
              </w:rPr>
            </w:pPr>
            <w:r>
              <w:rPr>
                <w:rFonts w:hint="eastAsia" w:ascii="方正书宋_GBK" w:eastAsia="方正书宋_GBK"/>
              </w:rPr>
              <w:t>会议活动组织率</w:t>
            </w:r>
          </w:p>
        </w:tc>
        <w:tc>
          <w:tcPr>
            <w:tcW w:w="737" w:type="dxa"/>
            <w:noWrap w:val="0"/>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noWrap w:val="0"/>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noWrap w:val="0"/>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&lt;60%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hint="eastAsia" w:ascii="方正书宋_GBK" w:eastAsia="方正书宋_GBK"/>
                <w:b/>
              </w:rPr>
            </w:pPr>
            <w:r>
              <w:rPr>
                <w:rFonts w:hint="eastAsia" w:ascii="方正书宋_GBK" w:eastAsia="方正书宋_GBK"/>
                <w:b/>
              </w:rPr>
              <w:t>　　民主协商</w:t>
            </w:r>
          </w:p>
        </w:tc>
        <w:tc>
          <w:tcPr>
            <w:tcW w:w="1276" w:type="dxa"/>
            <w:noWrap w:val="0"/>
            <w:vAlign w:val="center"/>
          </w:tcPr>
          <w:p>
            <w:pPr>
              <w:spacing w:line="300" w:lineRule="exact"/>
              <w:jc w:val="left"/>
              <w:rPr>
                <w:rFonts w:ascii="方正书宋_GBK" w:eastAsia="方正书宋_GBK"/>
              </w:rPr>
            </w:pP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根据形势、任务，围绕全区工作大局，安排协商活动，召开专题座谈会等。</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增强开展政治协商的自觉性和主动性，规范协商内容，丰富协商形式和层次，把政治协商纳入决策程序。</w:t>
            </w:r>
          </w:p>
        </w:tc>
        <w:tc>
          <w:tcPr>
            <w:tcW w:w="1417" w:type="dxa"/>
            <w:noWrap w:val="0"/>
            <w:vAlign w:val="center"/>
          </w:tcPr>
          <w:p>
            <w:pPr>
              <w:spacing w:line="300" w:lineRule="exact"/>
              <w:jc w:val="left"/>
              <w:rPr>
                <w:rFonts w:hint="eastAsia" w:ascii="方正书宋_GBK" w:eastAsia="方正书宋_GBK"/>
              </w:rPr>
            </w:pPr>
            <w:r>
              <w:rPr>
                <w:rFonts w:hint="eastAsia" w:ascii="方正书宋_GBK" w:eastAsia="方正书宋_GBK"/>
              </w:rPr>
              <w:t>专题协商完成率</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60%</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&lt;60%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hint="eastAsia" w:ascii="方正书宋_GBK" w:eastAsia="方正书宋_GBK"/>
                <w:b/>
              </w:rPr>
            </w:pPr>
            <w:r>
              <w:rPr>
                <w:rFonts w:hint="eastAsia" w:ascii="方正书宋_GBK" w:eastAsia="方正书宋_GBK"/>
                <w:b/>
              </w:rPr>
              <w:t>民主监督</w:t>
            </w:r>
          </w:p>
        </w:tc>
        <w:tc>
          <w:tcPr>
            <w:tcW w:w="1276" w:type="dxa"/>
            <w:noWrap w:val="0"/>
            <w:vAlign w:val="center"/>
          </w:tcPr>
          <w:p>
            <w:pPr>
              <w:spacing w:line="300" w:lineRule="exact"/>
              <w:jc w:val="left"/>
              <w:rPr>
                <w:rFonts w:ascii="方正书宋_GBK" w:eastAsia="方正书宋_GBK"/>
              </w:rPr>
            </w:pP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有效履行民主监督职责。通过意见、建议、批评的方式对国家法律法规的实施、重大方针政策的贯彻执行、区委、政府的工作进行政治监督。</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完善民主监督机制，畅通民主监督渠道，建立健全知情、沟通制度，将民主监督寓于委员提案、进行视察、参与工作检查等活动中，提高民主监督质量和成效。</w:t>
            </w:r>
          </w:p>
        </w:tc>
        <w:tc>
          <w:tcPr>
            <w:tcW w:w="1417" w:type="dxa"/>
            <w:noWrap w:val="0"/>
            <w:vAlign w:val="center"/>
          </w:tcPr>
          <w:p>
            <w:pPr>
              <w:spacing w:line="300" w:lineRule="exact"/>
              <w:jc w:val="left"/>
              <w:rPr>
                <w:rFonts w:hint="eastAsia" w:ascii="方正书宋_GBK" w:eastAsia="方正书宋_GBK"/>
              </w:rPr>
            </w:pPr>
          </w:p>
        </w:tc>
        <w:tc>
          <w:tcPr>
            <w:tcW w:w="737" w:type="dxa"/>
            <w:noWrap w:val="0"/>
            <w:vAlign w:val="center"/>
          </w:tcPr>
          <w:p>
            <w:pPr>
              <w:spacing w:line="300" w:lineRule="exact"/>
              <w:jc w:val="center"/>
              <w:rPr>
                <w:rFonts w:hint="eastAsia" w:ascii="方正书宋_GBK" w:eastAsia="方正书宋_GBK"/>
              </w:rPr>
            </w:pPr>
          </w:p>
        </w:tc>
        <w:tc>
          <w:tcPr>
            <w:tcW w:w="737" w:type="dxa"/>
            <w:noWrap w:val="0"/>
            <w:vAlign w:val="center"/>
          </w:tcPr>
          <w:p>
            <w:pPr>
              <w:spacing w:line="300" w:lineRule="exact"/>
              <w:jc w:val="center"/>
              <w:rPr>
                <w:rFonts w:hint="eastAsia" w:ascii="方正书宋_GBK" w:eastAsia="方正书宋_GBK"/>
              </w:rPr>
            </w:pPr>
          </w:p>
        </w:tc>
        <w:tc>
          <w:tcPr>
            <w:tcW w:w="737" w:type="dxa"/>
            <w:noWrap w:val="0"/>
            <w:vAlign w:val="center"/>
          </w:tcPr>
          <w:p>
            <w:pPr>
              <w:spacing w:line="300" w:lineRule="exact"/>
              <w:jc w:val="center"/>
              <w:rPr>
                <w:rFonts w:hint="eastAsia" w:ascii="方正书宋_GBK" w:eastAsia="方正书宋_GBK"/>
              </w:rPr>
            </w:pPr>
          </w:p>
        </w:tc>
        <w:tc>
          <w:tcPr>
            <w:tcW w:w="737" w:type="dxa"/>
            <w:noWrap w:val="0"/>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hint="eastAsia" w:ascii="方正书宋_GBK" w:eastAsia="方正书宋_GBK"/>
                <w:b/>
              </w:rPr>
            </w:pPr>
            <w:r>
              <w:rPr>
                <w:rFonts w:hint="eastAsia" w:ascii="方正书宋_GBK" w:eastAsia="方正书宋_GBK"/>
                <w:b/>
              </w:rPr>
              <w:t>　　监督事务</w:t>
            </w:r>
          </w:p>
        </w:tc>
        <w:tc>
          <w:tcPr>
            <w:tcW w:w="1276" w:type="dxa"/>
            <w:noWrap w:val="0"/>
            <w:vAlign w:val="center"/>
          </w:tcPr>
          <w:p>
            <w:pPr>
              <w:spacing w:line="300" w:lineRule="exact"/>
              <w:jc w:val="left"/>
              <w:rPr>
                <w:rFonts w:ascii="方正书宋_GBK" w:eastAsia="方正书宋_GBK"/>
              </w:rPr>
            </w:pP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组织、鼓励和引导委员深入实际，通过提案等形式进行监督。通过参加党委政府组织的调查和检查活动实施监督。</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完善民主监督机制，畅通民主监督渠道，建立健全知情、沟通制度，加强工作协调配合，提高民主监督的质量和成效。</w:t>
            </w:r>
          </w:p>
        </w:tc>
        <w:tc>
          <w:tcPr>
            <w:tcW w:w="1417" w:type="dxa"/>
            <w:noWrap w:val="0"/>
            <w:vAlign w:val="center"/>
          </w:tcPr>
          <w:p>
            <w:pPr>
              <w:spacing w:line="300" w:lineRule="exact"/>
              <w:jc w:val="left"/>
              <w:rPr>
                <w:rFonts w:hint="eastAsia" w:ascii="方正书宋_GBK" w:eastAsia="方正书宋_GBK"/>
              </w:rPr>
            </w:pPr>
            <w:r>
              <w:rPr>
                <w:rFonts w:hint="eastAsia" w:ascii="方正书宋_GBK" w:eastAsia="方正书宋_GBK"/>
              </w:rPr>
              <w:t>重大工作参与率</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60%</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&lt;60%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hint="eastAsia" w:ascii="方正书宋_GBK" w:eastAsia="方正书宋_GBK"/>
                <w:b/>
              </w:rPr>
            </w:pPr>
            <w:r>
              <w:rPr>
                <w:rFonts w:hint="eastAsia" w:ascii="方正书宋_GBK" w:eastAsia="方正书宋_GBK"/>
                <w:b/>
              </w:rPr>
              <w:t>　　提案工作</w:t>
            </w:r>
          </w:p>
        </w:tc>
        <w:tc>
          <w:tcPr>
            <w:tcW w:w="1276" w:type="dxa"/>
            <w:noWrap w:val="0"/>
            <w:vAlign w:val="center"/>
          </w:tcPr>
          <w:p>
            <w:pPr>
              <w:spacing w:line="300" w:lineRule="exact"/>
              <w:jc w:val="left"/>
              <w:rPr>
                <w:rFonts w:ascii="方正书宋_GBK" w:eastAsia="方正书宋_GBK"/>
              </w:rPr>
            </w:pP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征集提案，对政协委员和政协各参加单位的提案进行审查立案，立案后交承办单位办理，适时督办。</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完善提案审查、办理和反馈机制，做到提案程序更加规范，制度更加完善，提案质量和办理质量不断提高，政协履职作用更加突出。</w:t>
            </w:r>
          </w:p>
        </w:tc>
        <w:tc>
          <w:tcPr>
            <w:tcW w:w="1417" w:type="dxa"/>
            <w:noWrap w:val="0"/>
            <w:vAlign w:val="center"/>
          </w:tcPr>
          <w:p>
            <w:pPr>
              <w:spacing w:line="300" w:lineRule="exact"/>
              <w:jc w:val="left"/>
              <w:rPr>
                <w:rFonts w:hint="eastAsia" w:ascii="方正书宋_GBK" w:eastAsia="方正书宋_GBK"/>
              </w:rPr>
            </w:pPr>
            <w:r>
              <w:rPr>
                <w:rFonts w:hint="eastAsia" w:ascii="方正书宋_GBK" w:eastAsia="方正书宋_GBK"/>
              </w:rPr>
              <w:t>提案办理率</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60%</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&lt;60%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hint="eastAsia" w:ascii="方正书宋_GBK" w:eastAsia="方正书宋_GBK"/>
                <w:b/>
              </w:rPr>
            </w:pPr>
            <w:r>
              <w:rPr>
                <w:rFonts w:hint="eastAsia" w:ascii="方正书宋_GBK" w:eastAsia="方正书宋_GBK"/>
                <w:b/>
              </w:rPr>
              <w:t>参政议政</w:t>
            </w:r>
          </w:p>
        </w:tc>
        <w:tc>
          <w:tcPr>
            <w:tcW w:w="1276" w:type="dxa"/>
            <w:noWrap w:val="0"/>
            <w:vAlign w:val="center"/>
          </w:tcPr>
          <w:p>
            <w:pPr>
              <w:spacing w:line="300" w:lineRule="exact"/>
              <w:jc w:val="left"/>
              <w:rPr>
                <w:rFonts w:ascii="方正书宋_GBK" w:eastAsia="方正书宋_GBK"/>
              </w:rPr>
            </w:pP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通过对重大问题以及人民群众普遍关心的问题，开展调查研究，向区委、区政府提出意见和建议。</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发挥政协作为扩大社会各界有序参与的重要渠道作用，探索开展活动的新方法新途径，充分调动委员参政议政积极性，向区委、区政府提出高质量的建议案。</w:t>
            </w:r>
          </w:p>
        </w:tc>
        <w:tc>
          <w:tcPr>
            <w:tcW w:w="1417" w:type="dxa"/>
            <w:noWrap w:val="0"/>
            <w:vAlign w:val="center"/>
          </w:tcPr>
          <w:p>
            <w:pPr>
              <w:spacing w:line="300" w:lineRule="exact"/>
              <w:jc w:val="left"/>
              <w:rPr>
                <w:rFonts w:hint="eastAsia" w:ascii="方正书宋_GBK" w:eastAsia="方正书宋_GBK"/>
              </w:rPr>
            </w:pPr>
          </w:p>
        </w:tc>
        <w:tc>
          <w:tcPr>
            <w:tcW w:w="737" w:type="dxa"/>
            <w:noWrap w:val="0"/>
            <w:vAlign w:val="center"/>
          </w:tcPr>
          <w:p>
            <w:pPr>
              <w:spacing w:line="300" w:lineRule="exact"/>
              <w:jc w:val="center"/>
              <w:rPr>
                <w:rFonts w:hint="eastAsia" w:ascii="方正书宋_GBK" w:eastAsia="方正书宋_GBK"/>
              </w:rPr>
            </w:pPr>
          </w:p>
        </w:tc>
        <w:tc>
          <w:tcPr>
            <w:tcW w:w="737" w:type="dxa"/>
            <w:noWrap w:val="0"/>
            <w:vAlign w:val="center"/>
          </w:tcPr>
          <w:p>
            <w:pPr>
              <w:spacing w:line="300" w:lineRule="exact"/>
              <w:jc w:val="center"/>
              <w:rPr>
                <w:rFonts w:hint="eastAsia" w:ascii="方正书宋_GBK" w:eastAsia="方正书宋_GBK"/>
              </w:rPr>
            </w:pPr>
          </w:p>
        </w:tc>
        <w:tc>
          <w:tcPr>
            <w:tcW w:w="737" w:type="dxa"/>
            <w:noWrap w:val="0"/>
            <w:vAlign w:val="center"/>
          </w:tcPr>
          <w:p>
            <w:pPr>
              <w:spacing w:line="300" w:lineRule="exact"/>
              <w:jc w:val="center"/>
              <w:rPr>
                <w:rFonts w:hint="eastAsia" w:ascii="方正书宋_GBK" w:eastAsia="方正书宋_GBK"/>
              </w:rPr>
            </w:pPr>
          </w:p>
        </w:tc>
        <w:tc>
          <w:tcPr>
            <w:tcW w:w="737" w:type="dxa"/>
            <w:noWrap w:val="0"/>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hint="eastAsia" w:ascii="方正书宋_GBK" w:eastAsia="方正书宋_GBK"/>
                <w:b/>
              </w:rPr>
            </w:pPr>
            <w:r>
              <w:rPr>
                <w:rFonts w:hint="eastAsia" w:ascii="方正书宋_GBK" w:eastAsia="方正书宋_GBK"/>
                <w:b/>
              </w:rPr>
              <w:t>　　专题调研</w:t>
            </w:r>
          </w:p>
        </w:tc>
        <w:tc>
          <w:tcPr>
            <w:tcW w:w="1276" w:type="dxa"/>
            <w:noWrap w:val="0"/>
            <w:vAlign w:val="center"/>
          </w:tcPr>
          <w:p>
            <w:pPr>
              <w:spacing w:line="300" w:lineRule="exact"/>
              <w:jc w:val="left"/>
              <w:rPr>
                <w:rFonts w:ascii="方正书宋_GBK" w:eastAsia="方正书宋_GBK"/>
              </w:rPr>
            </w:pP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关注重点，围绕难点，针对热点，选择经济社会发展中具有综合性、全局性、前瞻性的课题，组织开展视察、考察，座谈调研，专家论证等专题调研活动。</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努力汇聚才智，为经济社会发展，建睿智之言，献务实之策，不断提高建言立论的质量和水平，全力打造</w:t>
            </w:r>
            <w:r>
              <w:rPr>
                <w:rFonts w:hint="cs" w:ascii="方正书宋_GBK" w:eastAsia="方正书宋_GBK"/>
                <w:cs/>
              </w:rPr>
              <w:t>“</w:t>
            </w:r>
            <w:r>
              <w:rPr>
                <w:rFonts w:hint="eastAsia" w:ascii="方正书宋_GBK" w:eastAsia="方正书宋_GBK"/>
              </w:rPr>
              <w:t>精品</w:t>
            </w:r>
            <w:r>
              <w:rPr>
                <w:rFonts w:hint="cs" w:ascii="方正书宋_GBK" w:eastAsia="方正书宋_GBK"/>
                <w:cs/>
              </w:rPr>
              <w:t>”</w:t>
            </w:r>
            <w:r>
              <w:rPr>
                <w:rFonts w:hint="eastAsia" w:ascii="方正书宋_GBK" w:eastAsia="方正书宋_GBK"/>
              </w:rPr>
              <w:t>，在参政中增加权重，在议政中体现价值。</w:t>
            </w:r>
          </w:p>
        </w:tc>
        <w:tc>
          <w:tcPr>
            <w:tcW w:w="1417" w:type="dxa"/>
            <w:noWrap w:val="0"/>
            <w:vAlign w:val="center"/>
          </w:tcPr>
          <w:p>
            <w:pPr>
              <w:spacing w:line="300" w:lineRule="exact"/>
              <w:jc w:val="left"/>
              <w:rPr>
                <w:rFonts w:hint="eastAsia" w:ascii="方正书宋_GBK" w:eastAsia="方正书宋_GBK"/>
              </w:rPr>
            </w:pPr>
            <w:r>
              <w:rPr>
                <w:rFonts w:hint="eastAsia" w:ascii="方正书宋_GBK" w:eastAsia="方正书宋_GBK"/>
              </w:rPr>
              <w:t>重点课题和专项调研完成率</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60%</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&lt;60%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hint="eastAsia" w:ascii="方正书宋_GBK" w:eastAsia="方正书宋_GBK"/>
                <w:b/>
              </w:rPr>
            </w:pPr>
            <w:r>
              <w:rPr>
                <w:rFonts w:hint="eastAsia" w:ascii="方正书宋_GBK" w:eastAsia="方正书宋_GBK"/>
                <w:b/>
              </w:rPr>
              <w:t>　　社情民意</w:t>
            </w:r>
          </w:p>
        </w:tc>
        <w:tc>
          <w:tcPr>
            <w:tcW w:w="1276" w:type="dxa"/>
            <w:noWrap w:val="0"/>
            <w:vAlign w:val="center"/>
          </w:tcPr>
          <w:p>
            <w:pPr>
              <w:spacing w:line="300" w:lineRule="exact"/>
              <w:jc w:val="left"/>
              <w:rPr>
                <w:rFonts w:ascii="方正书宋_GBK" w:eastAsia="方正书宋_GBK"/>
              </w:rPr>
            </w:pP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了解社会不同阶层、群体的愿望和要求，反映给决策部门。</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密切联系群众，反映社情民意，努力做到协调关系、化解矛盾、理顺情绪，增进社会各阶层不同利益群体的和谐和稳定。</w:t>
            </w:r>
          </w:p>
        </w:tc>
        <w:tc>
          <w:tcPr>
            <w:tcW w:w="1417" w:type="dxa"/>
            <w:noWrap w:val="0"/>
            <w:vAlign w:val="center"/>
          </w:tcPr>
          <w:p>
            <w:pPr>
              <w:spacing w:line="300" w:lineRule="exact"/>
              <w:jc w:val="left"/>
              <w:rPr>
                <w:rFonts w:hint="eastAsia" w:ascii="方正书宋_GBK" w:eastAsia="方正书宋_GBK"/>
              </w:rPr>
            </w:pPr>
            <w:r>
              <w:rPr>
                <w:rFonts w:hint="eastAsia" w:ascii="方正书宋_GBK" w:eastAsia="方正书宋_GBK"/>
              </w:rPr>
              <w:t>社情民意反映率</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60%</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&lt;60%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hint="eastAsia" w:ascii="方正书宋_GBK" w:eastAsia="方正书宋_GBK"/>
                <w:b/>
              </w:rPr>
            </w:pPr>
            <w:r>
              <w:rPr>
                <w:rFonts w:hint="eastAsia" w:ascii="方正书宋_GBK" w:eastAsia="方正书宋_GBK"/>
                <w:b/>
              </w:rPr>
              <w:t>政协事务管理</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91.55</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区政协自身建设、宣传工作，与有关单位的联系协调；负责机关外事工作，机构编制、人事任免、人员培训、考核奖惩、工资福利，后勤保障、经费资产管理、和审计，接待、离退休人员服务，承办政协主席、副主席、秘书长交办的其他事项。</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机关自身建设、服务保障能力进一步提升。</w:t>
            </w:r>
          </w:p>
        </w:tc>
        <w:tc>
          <w:tcPr>
            <w:tcW w:w="1417" w:type="dxa"/>
            <w:noWrap w:val="0"/>
            <w:vAlign w:val="center"/>
          </w:tcPr>
          <w:p>
            <w:pPr>
              <w:spacing w:line="300" w:lineRule="exact"/>
              <w:jc w:val="left"/>
              <w:rPr>
                <w:rFonts w:hint="eastAsia" w:ascii="方正书宋_GBK" w:eastAsia="方正书宋_GBK"/>
              </w:rPr>
            </w:pPr>
          </w:p>
        </w:tc>
        <w:tc>
          <w:tcPr>
            <w:tcW w:w="737" w:type="dxa"/>
            <w:noWrap w:val="0"/>
            <w:vAlign w:val="center"/>
          </w:tcPr>
          <w:p>
            <w:pPr>
              <w:spacing w:line="300" w:lineRule="exact"/>
              <w:jc w:val="center"/>
              <w:rPr>
                <w:rFonts w:hint="eastAsia" w:ascii="方正书宋_GBK" w:eastAsia="方正书宋_GBK"/>
              </w:rPr>
            </w:pPr>
          </w:p>
        </w:tc>
        <w:tc>
          <w:tcPr>
            <w:tcW w:w="737" w:type="dxa"/>
            <w:noWrap w:val="0"/>
            <w:vAlign w:val="center"/>
          </w:tcPr>
          <w:p>
            <w:pPr>
              <w:spacing w:line="300" w:lineRule="exact"/>
              <w:jc w:val="center"/>
              <w:rPr>
                <w:rFonts w:hint="eastAsia" w:ascii="方正书宋_GBK" w:eastAsia="方正书宋_GBK"/>
              </w:rPr>
            </w:pPr>
          </w:p>
        </w:tc>
        <w:tc>
          <w:tcPr>
            <w:tcW w:w="737" w:type="dxa"/>
            <w:noWrap w:val="0"/>
            <w:vAlign w:val="center"/>
          </w:tcPr>
          <w:p>
            <w:pPr>
              <w:spacing w:line="300" w:lineRule="exact"/>
              <w:jc w:val="center"/>
              <w:rPr>
                <w:rFonts w:hint="eastAsia" w:ascii="方正书宋_GBK" w:eastAsia="方正书宋_GBK"/>
              </w:rPr>
            </w:pPr>
          </w:p>
        </w:tc>
        <w:tc>
          <w:tcPr>
            <w:tcW w:w="737" w:type="dxa"/>
            <w:noWrap w:val="0"/>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hint="eastAsia" w:ascii="方正书宋_GBK" w:eastAsia="方正书宋_GBK"/>
                <w:b/>
              </w:rPr>
            </w:pPr>
            <w:r>
              <w:rPr>
                <w:rFonts w:hint="eastAsia" w:ascii="方正书宋_GBK" w:eastAsia="方正书宋_GBK"/>
                <w:b/>
              </w:rPr>
              <w:t>　　综合业务管理</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51.55</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加强区政协机关自身建设和宣传工作，编辑出版《委员园地》等宣传资料，加强政协与区委、区人大、区政府，各民主党派、工商联、人民团体、区直有关部门的联系、协调工作。搜集、撰写、整理文史资料，搞好文史资料的发行。组织委员开展参观学习培训活动。</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政协自身建设更加扎实，工作科学化水平进一步提升。文史资料的社会功能增强，理论研究成果服务履职作用明显。</w:t>
            </w:r>
          </w:p>
        </w:tc>
        <w:tc>
          <w:tcPr>
            <w:tcW w:w="1417" w:type="dxa"/>
            <w:noWrap w:val="0"/>
            <w:vAlign w:val="center"/>
          </w:tcPr>
          <w:p>
            <w:pPr>
              <w:spacing w:line="300" w:lineRule="exact"/>
              <w:jc w:val="left"/>
              <w:rPr>
                <w:rFonts w:hint="eastAsia" w:ascii="方正书宋_GBK" w:eastAsia="方正书宋_GBK"/>
              </w:rPr>
            </w:pPr>
            <w:r>
              <w:rPr>
                <w:rFonts w:hint="eastAsia" w:ascii="方正书宋_GBK" w:eastAsia="方正书宋_GBK"/>
              </w:rPr>
              <w:t>委员学习培训率</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60%</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&lt;60%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hint="eastAsia" w:ascii="方正书宋_GBK" w:eastAsia="方正书宋_GBK"/>
                <w:b/>
              </w:rPr>
            </w:pPr>
            <w:r>
              <w:rPr>
                <w:rFonts w:hint="eastAsia" w:ascii="方正书宋_GBK" w:eastAsia="方正书宋_GBK"/>
                <w:b/>
              </w:rPr>
              <w:t>　　综合事务管理</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40.00</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区政协机关的外事工作，处理群众来信来访，机构编制、人事任免、调配及人员培训、考核奖惩、工资福利，后勤保障、车辆管理、机关经费管理、资产管理、审计，机关接待、离退休人员服务，与有关部门配合，开展祖国统一联谊活动和民族宗教工作，以及承办区政协主席、副主席、秘书长交办的其他事项。</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机关基本设施设备正常运转、信息化保障、老干部服务保障能力进一步提高。</w:t>
            </w:r>
          </w:p>
        </w:tc>
        <w:tc>
          <w:tcPr>
            <w:tcW w:w="1417" w:type="dxa"/>
            <w:noWrap w:val="0"/>
            <w:vAlign w:val="center"/>
          </w:tcPr>
          <w:p>
            <w:pPr>
              <w:spacing w:line="300" w:lineRule="exact"/>
              <w:jc w:val="left"/>
              <w:rPr>
                <w:rFonts w:hint="eastAsia" w:ascii="方正书宋_GBK" w:eastAsia="方正书宋_GBK"/>
              </w:rPr>
            </w:pPr>
            <w:r>
              <w:rPr>
                <w:rFonts w:hint="eastAsia" w:ascii="方正书宋_GBK" w:eastAsia="方正书宋_GBK"/>
              </w:rPr>
              <w:t>综合事务保障率</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60%</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&lt;60%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hint="eastAsia" w:ascii="方正书宋_GBK" w:eastAsia="方正书宋_GBK"/>
                <w:b/>
              </w:rPr>
            </w:pPr>
            <w:r>
              <w:rPr>
                <w:rFonts w:hint="eastAsia" w:ascii="方正书宋_GBK" w:eastAsia="方正书宋_GBK"/>
                <w:b/>
              </w:rPr>
              <w:t>开展统战工作</w:t>
            </w:r>
          </w:p>
        </w:tc>
        <w:tc>
          <w:tcPr>
            <w:tcW w:w="1276" w:type="dxa"/>
            <w:noWrap w:val="0"/>
            <w:vAlign w:val="center"/>
          </w:tcPr>
          <w:p>
            <w:pPr>
              <w:spacing w:line="300" w:lineRule="exact"/>
              <w:jc w:val="left"/>
              <w:rPr>
                <w:rFonts w:ascii="方正书宋_GBK" w:eastAsia="方正书宋_GBK"/>
              </w:rPr>
            </w:pP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调查研究统一战线的理论、政策和法律法规，向区委全面反映统一战线情况，提出开展统一战线工作的意见和建议，组织协调统一战线政策和法律法规的贯彻落实，检查执行情况，协调统一战线各个方面关系。负责开展统一战线宣传工作。</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调查研究统一战线的理论、政策和法律法规，向区委全面反映统一战线情况，提出开展统一战线工作的意见和建议，组织协调统一战线政策和法律法规的贯彻落实，检查执行情况，协调统一战线各个方面关系。负责开展统一战线宣传工作。</w:t>
            </w:r>
          </w:p>
        </w:tc>
        <w:tc>
          <w:tcPr>
            <w:tcW w:w="1417" w:type="dxa"/>
            <w:noWrap w:val="0"/>
            <w:vAlign w:val="center"/>
          </w:tcPr>
          <w:p>
            <w:pPr>
              <w:spacing w:line="300" w:lineRule="exact"/>
              <w:jc w:val="left"/>
              <w:rPr>
                <w:rFonts w:hint="eastAsia" w:ascii="方正书宋_GBK" w:eastAsia="方正书宋_GBK"/>
              </w:rPr>
            </w:pPr>
          </w:p>
        </w:tc>
        <w:tc>
          <w:tcPr>
            <w:tcW w:w="737" w:type="dxa"/>
            <w:noWrap w:val="0"/>
            <w:vAlign w:val="center"/>
          </w:tcPr>
          <w:p>
            <w:pPr>
              <w:spacing w:line="300" w:lineRule="exact"/>
              <w:jc w:val="center"/>
              <w:rPr>
                <w:rFonts w:hint="eastAsia" w:ascii="方正书宋_GBK" w:eastAsia="方正书宋_GBK"/>
              </w:rPr>
            </w:pPr>
          </w:p>
        </w:tc>
        <w:tc>
          <w:tcPr>
            <w:tcW w:w="737" w:type="dxa"/>
            <w:noWrap w:val="0"/>
            <w:vAlign w:val="center"/>
          </w:tcPr>
          <w:p>
            <w:pPr>
              <w:spacing w:line="300" w:lineRule="exact"/>
              <w:jc w:val="center"/>
              <w:rPr>
                <w:rFonts w:hint="eastAsia" w:ascii="方正书宋_GBK" w:eastAsia="方正书宋_GBK"/>
              </w:rPr>
            </w:pPr>
          </w:p>
        </w:tc>
        <w:tc>
          <w:tcPr>
            <w:tcW w:w="737" w:type="dxa"/>
            <w:noWrap w:val="0"/>
            <w:vAlign w:val="center"/>
          </w:tcPr>
          <w:p>
            <w:pPr>
              <w:spacing w:line="300" w:lineRule="exact"/>
              <w:jc w:val="center"/>
              <w:rPr>
                <w:rFonts w:hint="eastAsia" w:ascii="方正书宋_GBK" w:eastAsia="方正书宋_GBK"/>
              </w:rPr>
            </w:pPr>
          </w:p>
        </w:tc>
        <w:tc>
          <w:tcPr>
            <w:tcW w:w="737" w:type="dxa"/>
            <w:noWrap w:val="0"/>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hint="eastAsia" w:ascii="方正书宋_GBK" w:eastAsia="方正书宋_GBK"/>
                <w:b/>
              </w:rPr>
            </w:pPr>
            <w:r>
              <w:rPr>
                <w:rFonts w:hint="eastAsia" w:ascii="方正书宋_GBK" w:eastAsia="方正书宋_GBK"/>
                <w:b/>
              </w:rPr>
              <w:t>　　民主党派和无党派代表人士工作</w:t>
            </w:r>
          </w:p>
        </w:tc>
        <w:tc>
          <w:tcPr>
            <w:tcW w:w="1276" w:type="dxa"/>
            <w:noWrap w:val="0"/>
            <w:vAlign w:val="center"/>
          </w:tcPr>
          <w:p>
            <w:pPr>
              <w:spacing w:line="300" w:lineRule="exact"/>
              <w:jc w:val="left"/>
              <w:rPr>
                <w:rFonts w:ascii="方正书宋_GBK" w:eastAsia="方正书宋_GBK"/>
              </w:rPr>
            </w:pP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负责联系民主党派，牵头协调无党派人士工作，研究贯彻做好民主党派和无党派人士工作的方针政策，支持民主党派和无党派人士履行职责、发挥作用，支持、帮助民主党派和无党派人士加强自身建设。</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不断推进多党合作和政治协商的制度化、规范化，协助民主党派建设高素质干部队伍，不断提高参政议政、民主监督水平。</w:t>
            </w:r>
          </w:p>
        </w:tc>
        <w:tc>
          <w:tcPr>
            <w:tcW w:w="1417" w:type="dxa"/>
            <w:noWrap w:val="0"/>
            <w:vAlign w:val="center"/>
          </w:tcPr>
          <w:p>
            <w:pPr>
              <w:spacing w:line="300" w:lineRule="exact"/>
              <w:jc w:val="left"/>
              <w:rPr>
                <w:rFonts w:hint="eastAsia" w:ascii="方正书宋_GBK" w:eastAsia="方正书宋_GBK"/>
              </w:rPr>
            </w:pPr>
            <w:r>
              <w:rPr>
                <w:rFonts w:hint="eastAsia" w:ascii="方正书宋_GBK" w:eastAsia="方正书宋_GBK"/>
              </w:rPr>
              <w:t>意见建议条数</w:t>
            </w:r>
          </w:p>
        </w:tc>
        <w:tc>
          <w:tcPr>
            <w:tcW w:w="737" w:type="dxa"/>
            <w:noWrap w:val="0"/>
            <w:vAlign w:val="center"/>
          </w:tcPr>
          <w:p>
            <w:pPr>
              <w:spacing w:line="300" w:lineRule="exact"/>
              <w:jc w:val="center"/>
              <w:rPr>
                <w:rFonts w:hint="eastAsia" w:ascii="方正书宋_GBK" w:eastAsia="方正书宋_GBK"/>
              </w:rPr>
            </w:pPr>
            <w:r>
              <w:rPr>
                <w:rFonts w:ascii="方正书宋_GBK" w:eastAsia="方正书宋_GBK"/>
              </w:rPr>
              <w:t>30</w:t>
            </w:r>
            <w:r>
              <w:rPr>
                <w:rFonts w:hint="eastAsia" w:ascii="方正书宋_GBK" w:eastAsia="方正书宋_GBK"/>
              </w:rPr>
              <w:t>条以上</w:t>
            </w:r>
          </w:p>
        </w:tc>
        <w:tc>
          <w:tcPr>
            <w:tcW w:w="737" w:type="dxa"/>
            <w:noWrap w:val="0"/>
            <w:vAlign w:val="center"/>
          </w:tcPr>
          <w:p>
            <w:pPr>
              <w:spacing w:line="300" w:lineRule="exact"/>
              <w:jc w:val="center"/>
              <w:rPr>
                <w:rFonts w:hint="eastAsia" w:ascii="方正书宋_GBK" w:eastAsia="方正书宋_GBK"/>
              </w:rPr>
            </w:pPr>
            <w:r>
              <w:rPr>
                <w:rFonts w:ascii="方正书宋_GBK" w:eastAsia="方正书宋_GBK"/>
              </w:rPr>
              <w:t>25</w:t>
            </w:r>
            <w:r>
              <w:rPr>
                <w:rFonts w:hint="eastAsia" w:ascii="方正书宋_GBK" w:eastAsia="方正书宋_GBK"/>
              </w:rPr>
              <w:t>条以上</w:t>
            </w:r>
          </w:p>
        </w:tc>
        <w:tc>
          <w:tcPr>
            <w:tcW w:w="737" w:type="dxa"/>
            <w:noWrap w:val="0"/>
            <w:vAlign w:val="center"/>
          </w:tcPr>
          <w:p>
            <w:pPr>
              <w:spacing w:line="300" w:lineRule="exact"/>
              <w:jc w:val="center"/>
              <w:rPr>
                <w:rFonts w:hint="eastAsia" w:ascii="方正书宋_GBK" w:eastAsia="方正书宋_GBK"/>
              </w:rPr>
            </w:pPr>
            <w:r>
              <w:rPr>
                <w:rFonts w:ascii="方正书宋_GBK" w:eastAsia="方正书宋_GBK"/>
              </w:rPr>
              <w:t>20</w:t>
            </w:r>
            <w:r>
              <w:rPr>
                <w:rFonts w:hint="eastAsia" w:ascii="方正书宋_GBK" w:eastAsia="方正书宋_GBK"/>
              </w:rPr>
              <w:t>条以上</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10</w:t>
            </w:r>
            <w:r>
              <w:rPr>
                <w:rFonts w:hint="eastAsia" w:ascii="方正书宋_GBK" w:eastAsia="方正书宋_GBK"/>
              </w:rPr>
              <w:t>条以下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hint="eastAsia" w:ascii="方正书宋_GBK" w:eastAsia="方正书宋_GBK"/>
                <w:b/>
              </w:rPr>
            </w:pPr>
            <w:r>
              <w:rPr>
                <w:rFonts w:hint="eastAsia" w:ascii="方正书宋_GBK" w:eastAsia="方正书宋_GBK"/>
                <w:b/>
              </w:rPr>
              <w:t>　　民族宗教统战工作</w:t>
            </w:r>
          </w:p>
        </w:tc>
        <w:tc>
          <w:tcPr>
            <w:tcW w:w="1276" w:type="dxa"/>
            <w:noWrap w:val="0"/>
            <w:vAlign w:val="center"/>
          </w:tcPr>
          <w:p>
            <w:pPr>
              <w:spacing w:line="300" w:lineRule="exact"/>
              <w:jc w:val="left"/>
              <w:rPr>
                <w:rFonts w:ascii="方正书宋_GBK" w:eastAsia="方正书宋_GBK"/>
              </w:rPr>
            </w:pP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调查研究民族、宗教工作的理论、方针、政策和法律法规，牵头协调检查落实情况，做好重要工作和重大问题的处理，协调开展马克思主义民族观、宗教观和相关理论、政策的宣传教育，联系少数民族和宗教界的代表人士，会同有关部门做好少数民族干部培养和举荐工作。</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涉密</w:t>
            </w:r>
          </w:p>
        </w:tc>
        <w:tc>
          <w:tcPr>
            <w:tcW w:w="1417" w:type="dxa"/>
            <w:noWrap w:val="0"/>
            <w:vAlign w:val="center"/>
          </w:tcPr>
          <w:p>
            <w:pPr>
              <w:spacing w:line="300" w:lineRule="exact"/>
              <w:jc w:val="left"/>
              <w:rPr>
                <w:rFonts w:hint="eastAsia" w:ascii="方正书宋_GBK" w:eastAsia="方正书宋_GBK"/>
              </w:rPr>
            </w:pPr>
            <w:r>
              <w:rPr>
                <w:rFonts w:hint="eastAsia" w:ascii="方正书宋_GBK" w:eastAsia="方正书宋_GBK"/>
              </w:rPr>
              <w:t>涉密</w:t>
            </w:r>
          </w:p>
        </w:tc>
        <w:tc>
          <w:tcPr>
            <w:tcW w:w="737" w:type="dxa"/>
            <w:noWrap w:val="0"/>
            <w:vAlign w:val="center"/>
          </w:tcPr>
          <w:p>
            <w:pPr>
              <w:spacing w:line="300" w:lineRule="exact"/>
              <w:jc w:val="center"/>
              <w:rPr>
                <w:rFonts w:ascii="方正书宋_GBK" w:eastAsia="方正书宋_GBK"/>
              </w:rPr>
            </w:pPr>
          </w:p>
        </w:tc>
        <w:tc>
          <w:tcPr>
            <w:tcW w:w="737" w:type="dxa"/>
            <w:noWrap w:val="0"/>
            <w:vAlign w:val="center"/>
          </w:tcPr>
          <w:p>
            <w:pPr>
              <w:spacing w:line="300" w:lineRule="exact"/>
              <w:jc w:val="center"/>
              <w:rPr>
                <w:rFonts w:ascii="方正书宋_GBK" w:eastAsia="方正书宋_GBK"/>
              </w:rPr>
            </w:pPr>
          </w:p>
        </w:tc>
        <w:tc>
          <w:tcPr>
            <w:tcW w:w="737" w:type="dxa"/>
            <w:noWrap w:val="0"/>
            <w:vAlign w:val="center"/>
          </w:tcPr>
          <w:p>
            <w:pPr>
              <w:spacing w:line="300" w:lineRule="exact"/>
              <w:jc w:val="center"/>
              <w:rPr>
                <w:rFonts w:ascii="方正书宋_GBK" w:eastAsia="方正书宋_GBK"/>
              </w:rPr>
            </w:pPr>
          </w:p>
        </w:tc>
        <w:tc>
          <w:tcPr>
            <w:tcW w:w="737" w:type="dxa"/>
            <w:noWrap w:val="0"/>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hint="eastAsia" w:ascii="方正书宋_GBK" w:eastAsia="方正书宋_GBK"/>
                <w:b/>
              </w:rPr>
            </w:pPr>
            <w:r>
              <w:rPr>
                <w:rFonts w:hint="eastAsia" w:ascii="方正书宋_GBK" w:eastAsia="方正书宋_GBK"/>
                <w:b/>
              </w:rPr>
              <w:t>　　港澳台海外统战工作</w:t>
            </w:r>
          </w:p>
        </w:tc>
        <w:tc>
          <w:tcPr>
            <w:tcW w:w="1276" w:type="dxa"/>
            <w:noWrap w:val="0"/>
            <w:vAlign w:val="center"/>
          </w:tcPr>
          <w:p>
            <w:pPr>
              <w:spacing w:line="300" w:lineRule="exact"/>
              <w:jc w:val="left"/>
              <w:rPr>
                <w:rFonts w:ascii="方正书宋_GBK" w:eastAsia="方正书宋_GBK"/>
              </w:rPr>
            </w:pP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开展港澳台海外统一战线工作，研究和贯彻执行对香港、澳门地区统一战线工作方针和法律法规，做好台胞、台属有关工作。负责区委交办的其他港澳、对台工作。</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涉密</w:t>
            </w:r>
          </w:p>
        </w:tc>
        <w:tc>
          <w:tcPr>
            <w:tcW w:w="1417" w:type="dxa"/>
            <w:noWrap w:val="0"/>
            <w:vAlign w:val="center"/>
          </w:tcPr>
          <w:p>
            <w:pPr>
              <w:spacing w:line="300" w:lineRule="exact"/>
              <w:jc w:val="left"/>
              <w:rPr>
                <w:rFonts w:hint="eastAsia" w:ascii="方正书宋_GBK" w:eastAsia="方正书宋_GBK"/>
              </w:rPr>
            </w:pPr>
            <w:r>
              <w:rPr>
                <w:rFonts w:hint="eastAsia" w:ascii="方正书宋_GBK" w:eastAsia="方正书宋_GBK"/>
              </w:rPr>
              <w:t>涉密</w:t>
            </w:r>
          </w:p>
        </w:tc>
        <w:tc>
          <w:tcPr>
            <w:tcW w:w="737" w:type="dxa"/>
            <w:noWrap w:val="0"/>
            <w:vAlign w:val="center"/>
          </w:tcPr>
          <w:p>
            <w:pPr>
              <w:spacing w:line="300" w:lineRule="exact"/>
              <w:jc w:val="center"/>
              <w:rPr>
                <w:rFonts w:ascii="方正书宋_GBK" w:eastAsia="方正书宋_GBK"/>
              </w:rPr>
            </w:pPr>
          </w:p>
        </w:tc>
        <w:tc>
          <w:tcPr>
            <w:tcW w:w="737" w:type="dxa"/>
            <w:noWrap w:val="0"/>
            <w:vAlign w:val="center"/>
          </w:tcPr>
          <w:p>
            <w:pPr>
              <w:spacing w:line="300" w:lineRule="exact"/>
              <w:jc w:val="center"/>
              <w:rPr>
                <w:rFonts w:ascii="方正书宋_GBK" w:eastAsia="方正书宋_GBK"/>
              </w:rPr>
            </w:pPr>
          </w:p>
        </w:tc>
        <w:tc>
          <w:tcPr>
            <w:tcW w:w="737" w:type="dxa"/>
            <w:noWrap w:val="0"/>
            <w:vAlign w:val="center"/>
          </w:tcPr>
          <w:p>
            <w:pPr>
              <w:spacing w:line="300" w:lineRule="exact"/>
              <w:jc w:val="center"/>
              <w:rPr>
                <w:rFonts w:ascii="方正书宋_GBK" w:eastAsia="方正书宋_GBK"/>
              </w:rPr>
            </w:pPr>
          </w:p>
        </w:tc>
        <w:tc>
          <w:tcPr>
            <w:tcW w:w="737" w:type="dxa"/>
            <w:noWrap w:val="0"/>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hint="eastAsia" w:ascii="方正书宋_GBK" w:eastAsia="方正书宋_GBK"/>
                <w:b/>
              </w:rPr>
            </w:pPr>
            <w:r>
              <w:rPr>
                <w:rFonts w:hint="eastAsia" w:ascii="方正书宋_GBK" w:eastAsia="方正书宋_GBK"/>
                <w:b/>
              </w:rPr>
              <w:t>　　非公经济统战工作</w:t>
            </w:r>
          </w:p>
        </w:tc>
        <w:tc>
          <w:tcPr>
            <w:tcW w:w="1276" w:type="dxa"/>
            <w:noWrap w:val="0"/>
            <w:vAlign w:val="center"/>
          </w:tcPr>
          <w:p>
            <w:pPr>
              <w:spacing w:line="300" w:lineRule="exact"/>
              <w:jc w:val="left"/>
              <w:rPr>
                <w:rFonts w:ascii="方正书宋_GBK" w:eastAsia="方正书宋_GBK"/>
              </w:rPr>
            </w:pP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调查研究非公有制经济人士的情况，协调关系，提出政策建议，团结、服务、引导、教育非公有制经济人士，开展思想政治工作。</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促进非公经济人士健康成长和非公经济健康发展。</w:t>
            </w:r>
          </w:p>
        </w:tc>
        <w:tc>
          <w:tcPr>
            <w:tcW w:w="1417" w:type="dxa"/>
            <w:noWrap w:val="0"/>
            <w:vAlign w:val="center"/>
          </w:tcPr>
          <w:p>
            <w:pPr>
              <w:spacing w:line="300" w:lineRule="exact"/>
              <w:jc w:val="left"/>
              <w:rPr>
                <w:rFonts w:hint="eastAsia" w:ascii="方正书宋_GBK" w:eastAsia="方正书宋_GBK"/>
              </w:rPr>
            </w:pPr>
            <w:r>
              <w:rPr>
                <w:rFonts w:hint="eastAsia" w:ascii="方正书宋_GBK" w:eastAsia="方正书宋_GBK"/>
              </w:rPr>
              <w:t>综合评价合格率</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以上</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80%</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70%</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70%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hint="eastAsia" w:ascii="方正书宋_GBK" w:eastAsia="方正书宋_GBK"/>
                <w:b/>
              </w:rPr>
            </w:pPr>
            <w:r>
              <w:rPr>
                <w:rFonts w:hint="eastAsia" w:ascii="方正书宋_GBK" w:eastAsia="方正书宋_GBK"/>
                <w:b/>
              </w:rPr>
              <w:t>　　党外知识分子统战工作</w:t>
            </w:r>
          </w:p>
        </w:tc>
        <w:tc>
          <w:tcPr>
            <w:tcW w:w="1276" w:type="dxa"/>
            <w:noWrap w:val="0"/>
            <w:vAlign w:val="center"/>
          </w:tcPr>
          <w:p>
            <w:pPr>
              <w:spacing w:line="300" w:lineRule="exact"/>
              <w:jc w:val="left"/>
              <w:rPr>
                <w:rFonts w:ascii="方正书宋_GBK" w:eastAsia="方正书宋_GBK"/>
              </w:rPr>
            </w:pP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调查研究党外知识分子的情况，反映意见，协调关系，提出政策建议，联系党外知识分子代表人士。</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凝聚共识，弘扬正能量；发挥人才智力优势，服务经济社会发展。</w:t>
            </w:r>
          </w:p>
        </w:tc>
        <w:tc>
          <w:tcPr>
            <w:tcW w:w="1417" w:type="dxa"/>
            <w:noWrap w:val="0"/>
            <w:vAlign w:val="center"/>
          </w:tcPr>
          <w:p>
            <w:pPr>
              <w:spacing w:line="300" w:lineRule="exact"/>
              <w:jc w:val="left"/>
              <w:rPr>
                <w:rFonts w:hint="eastAsia" w:ascii="方正书宋_GBK" w:eastAsia="方正书宋_GBK"/>
              </w:rPr>
            </w:pPr>
            <w:r>
              <w:rPr>
                <w:rFonts w:hint="cs" w:ascii="方正书宋_GBK" w:eastAsia="方正书宋_GBK"/>
                <w:cs/>
              </w:rPr>
              <w:t>“</w:t>
            </w:r>
            <w:r>
              <w:rPr>
                <w:rFonts w:hint="eastAsia" w:ascii="方正书宋_GBK" w:eastAsia="方正书宋_GBK"/>
              </w:rPr>
              <w:t>送服务</w:t>
            </w:r>
            <w:r>
              <w:rPr>
                <w:rFonts w:hint="cs" w:ascii="方正书宋_GBK" w:eastAsia="方正书宋_GBK"/>
                <w:cs/>
              </w:rPr>
              <w:t>”</w:t>
            </w:r>
            <w:r>
              <w:rPr>
                <w:rFonts w:hint="eastAsia" w:ascii="方正书宋_GBK" w:eastAsia="方正书宋_GBK"/>
              </w:rPr>
              <w:t>下乡次数</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20</w:t>
            </w:r>
            <w:r>
              <w:rPr>
                <w:rFonts w:hint="eastAsia" w:ascii="方正书宋_GBK" w:eastAsia="方正书宋_GBK"/>
              </w:rPr>
              <w:t>人次以上</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15</w:t>
            </w:r>
            <w:r>
              <w:rPr>
                <w:rFonts w:hint="eastAsia" w:ascii="方正书宋_GBK" w:eastAsia="方正书宋_GBK"/>
              </w:rPr>
              <w:t>人次以上</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10</w:t>
            </w:r>
            <w:r>
              <w:rPr>
                <w:rFonts w:hint="eastAsia" w:ascii="方正书宋_GBK" w:eastAsia="方正书宋_GBK"/>
              </w:rPr>
              <w:t>人次以上</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5</w:t>
            </w:r>
            <w:r>
              <w:rPr>
                <w:rFonts w:hint="eastAsia" w:ascii="方正书宋_GBK" w:eastAsia="方正书宋_GBK"/>
              </w:rPr>
              <w:t>人次以下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hint="eastAsia" w:ascii="方正书宋_GBK" w:eastAsia="方正书宋_GBK"/>
                <w:b/>
              </w:rPr>
            </w:pPr>
            <w:r>
              <w:rPr>
                <w:rFonts w:hint="eastAsia" w:ascii="方正书宋_GBK" w:eastAsia="方正书宋_GBK"/>
                <w:b/>
              </w:rPr>
              <w:t>　　基层统战工作</w:t>
            </w:r>
          </w:p>
        </w:tc>
        <w:tc>
          <w:tcPr>
            <w:tcW w:w="1276" w:type="dxa"/>
            <w:noWrap w:val="0"/>
            <w:vAlign w:val="center"/>
          </w:tcPr>
          <w:p>
            <w:pPr>
              <w:spacing w:line="300" w:lineRule="exact"/>
              <w:jc w:val="left"/>
              <w:rPr>
                <w:rFonts w:ascii="方正书宋_GBK" w:eastAsia="方正书宋_GBK"/>
              </w:rPr>
            </w:pP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指导基层党委（党组）统一战线工作，负责基层统战委员和统战干部的培训工作；协调政府有关部门统一战线工作，协助做好民族、宗教等工作部门领导班子成员推荐工作；领导工商联党组，指导工商联工作；做好有关统战团体管理工作。</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建立健全全区大统战工作格局。</w:t>
            </w:r>
          </w:p>
        </w:tc>
        <w:tc>
          <w:tcPr>
            <w:tcW w:w="1417" w:type="dxa"/>
            <w:noWrap w:val="0"/>
            <w:vAlign w:val="center"/>
          </w:tcPr>
          <w:p>
            <w:pPr>
              <w:spacing w:line="300" w:lineRule="exact"/>
              <w:jc w:val="left"/>
              <w:rPr>
                <w:rFonts w:hint="cs" w:ascii="方正书宋_GBK" w:eastAsia="方正书宋_GBK"/>
                <w:cs/>
              </w:rPr>
            </w:pPr>
            <w:r>
              <w:rPr>
                <w:rFonts w:hint="eastAsia" w:ascii="方正书宋_GBK" w:eastAsia="方正书宋_GBK"/>
              </w:rPr>
              <w:t>培训考察人次数</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15</w:t>
            </w:r>
            <w:r>
              <w:rPr>
                <w:rFonts w:hint="eastAsia" w:ascii="方正书宋_GBK" w:eastAsia="方正书宋_GBK"/>
              </w:rPr>
              <w:t>人次以上</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10</w:t>
            </w:r>
            <w:r>
              <w:rPr>
                <w:rFonts w:hint="eastAsia" w:ascii="方正书宋_GBK" w:eastAsia="方正书宋_GBK"/>
              </w:rPr>
              <w:t>人次以上</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5</w:t>
            </w:r>
            <w:r>
              <w:rPr>
                <w:rFonts w:hint="eastAsia" w:ascii="方正书宋_GBK" w:eastAsia="方正书宋_GBK"/>
              </w:rPr>
              <w:t>人次以上</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5</w:t>
            </w:r>
            <w:r>
              <w:rPr>
                <w:rFonts w:hint="eastAsia" w:ascii="方正书宋_GBK" w:eastAsia="方正书宋_GBK"/>
              </w:rPr>
              <w:t>人次以下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hint="eastAsia" w:ascii="方正书宋_GBK" w:eastAsia="方正书宋_GBK"/>
                <w:b/>
              </w:rPr>
            </w:pPr>
            <w:r>
              <w:rPr>
                <w:rFonts w:hint="eastAsia" w:ascii="方正书宋_GBK" w:eastAsia="方正书宋_GBK"/>
                <w:b/>
              </w:rPr>
              <w:t>党外代表人士队伍建设</w:t>
            </w:r>
          </w:p>
        </w:tc>
        <w:tc>
          <w:tcPr>
            <w:tcW w:w="1276" w:type="dxa"/>
            <w:noWrap w:val="0"/>
            <w:vAlign w:val="center"/>
          </w:tcPr>
          <w:p>
            <w:pPr>
              <w:spacing w:line="300" w:lineRule="exact"/>
              <w:jc w:val="left"/>
              <w:rPr>
                <w:rFonts w:ascii="方正书宋_GBK" w:eastAsia="方正书宋_GBK"/>
              </w:rPr>
            </w:pP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牵头协调党外代表人士管理工作。加强党外代表人士的发现储备，择优向有关部门推荐提名。</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牵头协调党外代表人士管理工作。加强党外代表人士的发现储备，择优向有关部门推荐提名。</w:t>
            </w:r>
          </w:p>
        </w:tc>
        <w:tc>
          <w:tcPr>
            <w:tcW w:w="1417" w:type="dxa"/>
            <w:noWrap w:val="0"/>
            <w:vAlign w:val="center"/>
          </w:tcPr>
          <w:p>
            <w:pPr>
              <w:spacing w:line="300" w:lineRule="exact"/>
              <w:jc w:val="left"/>
              <w:rPr>
                <w:rFonts w:hint="eastAsia" w:ascii="方正书宋_GBK" w:eastAsia="方正书宋_GBK"/>
              </w:rPr>
            </w:pPr>
          </w:p>
        </w:tc>
        <w:tc>
          <w:tcPr>
            <w:tcW w:w="737" w:type="dxa"/>
            <w:noWrap w:val="0"/>
            <w:vAlign w:val="center"/>
          </w:tcPr>
          <w:p>
            <w:pPr>
              <w:spacing w:line="300" w:lineRule="exact"/>
              <w:jc w:val="center"/>
              <w:rPr>
                <w:rFonts w:ascii="方正书宋_GBK" w:eastAsia="方正书宋_GBK"/>
              </w:rPr>
            </w:pPr>
          </w:p>
        </w:tc>
        <w:tc>
          <w:tcPr>
            <w:tcW w:w="737" w:type="dxa"/>
            <w:noWrap w:val="0"/>
            <w:vAlign w:val="center"/>
          </w:tcPr>
          <w:p>
            <w:pPr>
              <w:spacing w:line="300" w:lineRule="exact"/>
              <w:jc w:val="center"/>
              <w:rPr>
                <w:rFonts w:ascii="方正书宋_GBK" w:eastAsia="方正书宋_GBK"/>
              </w:rPr>
            </w:pPr>
          </w:p>
        </w:tc>
        <w:tc>
          <w:tcPr>
            <w:tcW w:w="737" w:type="dxa"/>
            <w:noWrap w:val="0"/>
            <w:vAlign w:val="center"/>
          </w:tcPr>
          <w:p>
            <w:pPr>
              <w:spacing w:line="300" w:lineRule="exact"/>
              <w:jc w:val="center"/>
              <w:rPr>
                <w:rFonts w:ascii="方正书宋_GBK" w:eastAsia="方正书宋_GBK"/>
              </w:rPr>
            </w:pPr>
          </w:p>
        </w:tc>
        <w:tc>
          <w:tcPr>
            <w:tcW w:w="737" w:type="dxa"/>
            <w:noWrap w:val="0"/>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noWrap w:val="0"/>
            <w:vAlign w:val="center"/>
          </w:tcPr>
          <w:p>
            <w:pPr>
              <w:spacing w:line="300" w:lineRule="exact"/>
              <w:jc w:val="left"/>
              <w:rPr>
                <w:rFonts w:hint="eastAsia" w:ascii="方正书宋_GBK" w:eastAsia="方正书宋_GBK"/>
                <w:b/>
              </w:rPr>
            </w:pPr>
            <w:r>
              <w:rPr>
                <w:rFonts w:hint="eastAsia" w:ascii="方正书宋_GBK" w:eastAsia="方正书宋_GBK"/>
                <w:b/>
              </w:rPr>
              <w:t>　　党外代表人士队伍建设</w:t>
            </w:r>
          </w:p>
        </w:tc>
        <w:tc>
          <w:tcPr>
            <w:tcW w:w="1276" w:type="dxa"/>
            <w:vMerge w:val="restart"/>
            <w:noWrap w:val="0"/>
            <w:vAlign w:val="center"/>
          </w:tcPr>
          <w:p>
            <w:pPr>
              <w:spacing w:line="300" w:lineRule="exact"/>
              <w:jc w:val="left"/>
              <w:rPr>
                <w:rFonts w:ascii="方正书宋_GBK" w:eastAsia="方正书宋_GBK"/>
              </w:rPr>
            </w:pPr>
          </w:p>
        </w:tc>
        <w:tc>
          <w:tcPr>
            <w:tcW w:w="2976" w:type="dxa"/>
            <w:vMerge w:val="restart"/>
            <w:noWrap w:val="0"/>
            <w:vAlign w:val="center"/>
          </w:tcPr>
          <w:p>
            <w:pPr>
              <w:spacing w:line="300" w:lineRule="exact"/>
              <w:jc w:val="left"/>
              <w:rPr>
                <w:rFonts w:hint="eastAsia" w:ascii="方正书宋_GBK" w:eastAsia="方正书宋_GBK"/>
              </w:rPr>
            </w:pPr>
            <w:r>
              <w:rPr>
                <w:rFonts w:hint="eastAsia" w:ascii="方正书宋_GBK" w:eastAsia="方正书宋_GBK"/>
              </w:rPr>
              <w:t>负责党外代表人士在人大、政协安排的有关工作，会同有关部门做好安排党外代表人士担任政府和司法机关等领导职务的工作，做好党外代表人士和后备干部队伍建设工作，协助民主党派做好干部管理工作，反映和解决党外代表人士工作生活中的实际困难。</w:t>
            </w:r>
          </w:p>
        </w:tc>
        <w:tc>
          <w:tcPr>
            <w:tcW w:w="2976" w:type="dxa"/>
            <w:vMerge w:val="restart"/>
            <w:noWrap w:val="0"/>
            <w:vAlign w:val="center"/>
          </w:tcPr>
          <w:p>
            <w:pPr>
              <w:spacing w:line="300" w:lineRule="exact"/>
              <w:jc w:val="left"/>
              <w:rPr>
                <w:rFonts w:hint="eastAsia" w:ascii="方正书宋_GBK" w:eastAsia="方正书宋_GBK"/>
              </w:rPr>
            </w:pPr>
            <w:r>
              <w:rPr>
                <w:rFonts w:hint="eastAsia" w:ascii="方正书宋_GBK" w:eastAsia="方正书宋_GBK"/>
              </w:rPr>
              <w:t>提升党外代表人士整体素质，增强党外代表人士参政议政、组织领导和合作共事能力。</w:t>
            </w:r>
          </w:p>
        </w:tc>
        <w:tc>
          <w:tcPr>
            <w:tcW w:w="1417" w:type="dxa"/>
            <w:noWrap w:val="0"/>
            <w:vAlign w:val="center"/>
          </w:tcPr>
          <w:p>
            <w:pPr>
              <w:spacing w:line="300" w:lineRule="exact"/>
              <w:jc w:val="left"/>
              <w:rPr>
                <w:rFonts w:hint="eastAsia" w:ascii="方正书宋_GBK" w:eastAsia="方正书宋_GBK"/>
              </w:rPr>
            </w:pPr>
            <w:r>
              <w:rPr>
                <w:rFonts w:hint="eastAsia" w:ascii="方正书宋_GBK" w:eastAsia="方正书宋_GBK"/>
              </w:rPr>
              <w:t>遴选推荐人数</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80</w:t>
            </w:r>
            <w:r>
              <w:rPr>
                <w:rFonts w:hint="eastAsia" w:ascii="方正书宋_GBK" w:eastAsia="方正书宋_GBK"/>
              </w:rPr>
              <w:t>人以上</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60</w:t>
            </w:r>
            <w:r>
              <w:rPr>
                <w:rFonts w:hint="eastAsia" w:ascii="方正书宋_GBK" w:eastAsia="方正书宋_GBK"/>
              </w:rPr>
              <w:t>人以上</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40</w:t>
            </w:r>
            <w:r>
              <w:rPr>
                <w:rFonts w:hint="eastAsia" w:ascii="方正书宋_GBK" w:eastAsia="方正书宋_GBK"/>
              </w:rPr>
              <w:t>人以上</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20</w:t>
            </w:r>
            <w:r>
              <w:rPr>
                <w:rFonts w:hint="eastAsia" w:ascii="方正书宋_GBK" w:eastAsia="方正书宋_GBK"/>
              </w:rPr>
              <w:t>人以下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noWrap w:val="0"/>
            <w:vAlign w:val="center"/>
          </w:tcPr>
          <w:p>
            <w:pPr>
              <w:spacing w:line="300" w:lineRule="exact"/>
              <w:jc w:val="left"/>
              <w:rPr>
                <w:rFonts w:hint="eastAsia" w:ascii="方正书宋_GBK" w:eastAsia="方正书宋_GBK"/>
                <w:b/>
              </w:rPr>
            </w:pPr>
          </w:p>
        </w:tc>
        <w:tc>
          <w:tcPr>
            <w:tcW w:w="1276" w:type="dxa"/>
            <w:vMerge w:val="continue"/>
            <w:noWrap w:val="0"/>
            <w:vAlign w:val="center"/>
          </w:tcPr>
          <w:p>
            <w:pPr>
              <w:spacing w:line="300" w:lineRule="exact"/>
              <w:jc w:val="left"/>
              <w:rPr>
                <w:rFonts w:ascii="方正书宋_GBK" w:eastAsia="方正书宋_GBK"/>
              </w:rPr>
            </w:pPr>
          </w:p>
        </w:tc>
        <w:tc>
          <w:tcPr>
            <w:tcW w:w="2976" w:type="dxa"/>
            <w:vMerge w:val="continue"/>
            <w:noWrap w:val="0"/>
            <w:vAlign w:val="center"/>
          </w:tcPr>
          <w:p>
            <w:pPr>
              <w:spacing w:line="300" w:lineRule="exact"/>
              <w:jc w:val="left"/>
              <w:rPr>
                <w:rFonts w:hint="eastAsia" w:ascii="方正书宋_GBK" w:eastAsia="方正书宋_GBK"/>
              </w:rPr>
            </w:pPr>
          </w:p>
        </w:tc>
        <w:tc>
          <w:tcPr>
            <w:tcW w:w="2976" w:type="dxa"/>
            <w:vMerge w:val="continue"/>
            <w:noWrap w:val="0"/>
            <w:vAlign w:val="center"/>
          </w:tcPr>
          <w:p>
            <w:pPr>
              <w:spacing w:line="300" w:lineRule="exact"/>
              <w:jc w:val="left"/>
              <w:rPr>
                <w:rFonts w:hint="eastAsia" w:ascii="方正书宋_GBK" w:eastAsia="方正书宋_GBK"/>
              </w:rPr>
            </w:pPr>
          </w:p>
        </w:tc>
        <w:tc>
          <w:tcPr>
            <w:tcW w:w="1417" w:type="dxa"/>
            <w:noWrap w:val="0"/>
            <w:vAlign w:val="center"/>
          </w:tcPr>
          <w:p>
            <w:pPr>
              <w:spacing w:line="300" w:lineRule="exact"/>
              <w:jc w:val="left"/>
              <w:rPr>
                <w:rFonts w:hint="eastAsia" w:ascii="方正书宋_GBK" w:eastAsia="方正书宋_GBK"/>
              </w:rPr>
            </w:pPr>
            <w:r>
              <w:rPr>
                <w:rFonts w:hint="eastAsia" w:ascii="方正书宋_GBK" w:eastAsia="方正书宋_GBK"/>
              </w:rPr>
              <w:t>跟踪培养人数</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150</w:t>
            </w:r>
            <w:r>
              <w:rPr>
                <w:rFonts w:hint="eastAsia" w:ascii="方正书宋_GBK" w:eastAsia="方正书宋_GBK"/>
              </w:rPr>
              <w:t>人以上</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100</w:t>
            </w:r>
            <w:r>
              <w:rPr>
                <w:rFonts w:hint="eastAsia" w:ascii="方正书宋_GBK" w:eastAsia="方正书宋_GBK"/>
              </w:rPr>
              <w:t>人以上</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70</w:t>
            </w:r>
            <w:r>
              <w:rPr>
                <w:rFonts w:hint="eastAsia" w:ascii="方正书宋_GBK" w:eastAsia="方正书宋_GBK"/>
              </w:rPr>
              <w:t>人以上</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50</w:t>
            </w:r>
            <w:r>
              <w:rPr>
                <w:rFonts w:hint="eastAsia" w:ascii="方正书宋_GBK" w:eastAsia="方正书宋_GBK"/>
              </w:rPr>
              <w:t>人以下</w:t>
            </w:r>
          </w:p>
        </w:tc>
      </w:tr>
    </w:tbl>
    <w:p>
      <w:pPr>
        <w:spacing w:line="300" w:lineRule="exact"/>
        <w:outlineLvl w:val="0"/>
        <w:rPr>
          <w:rFonts w:hint="eastAsia" w:eastAsia="宋体"/>
          <w:lang w:eastAsia="zh-CN"/>
        </w:rPr>
        <w:sectPr>
          <w:pgSz w:w="16839" w:h="11907" w:orient="landscape"/>
          <w:pgMar w:top="1020" w:right="1361" w:bottom="1020" w:left="1361" w:header="851" w:footer="992" w:gutter="0"/>
          <w:cols w:space="425" w:num="1"/>
          <w:docGrid w:type="lines" w:linePitch="312" w:charSpace="0"/>
        </w:sectPr>
      </w:pPr>
    </w:p>
    <w:p>
      <w:pPr>
        <w:spacing w:before="10" w:after="10"/>
        <w:ind w:firstLine="640"/>
        <w:outlineLvl w:val="2"/>
      </w:pPr>
      <w:r>
        <w:rPr>
          <w:rFonts w:ascii="黑体" w:hAnsi="黑体" w:eastAsia="黑体" w:cs="黑体"/>
          <w:color w:val="000000"/>
          <w:sz w:val="32"/>
        </w:rPr>
        <w:t>六、政府采购预算情况</w:t>
      </w:r>
      <w:bookmarkEnd w:id="5"/>
    </w:p>
    <w:p>
      <w:pPr>
        <w:jc w:val="center"/>
      </w:pPr>
      <w:r>
        <w:rPr>
          <w:rFonts w:ascii="方正小标宋_GBK" w:hAnsi="方正小标宋_GBK" w:eastAsia="方正小标宋_GBK" w:cs="方正小标宋_GBK"/>
          <w:color w:val="000000"/>
          <w:sz w:val="36"/>
        </w:rPr>
        <w:t>部门政府采购预算</w:t>
      </w:r>
    </w:p>
    <w:tbl>
      <w:tblPr>
        <w:tblStyle w:val="12"/>
        <w:tblW w:w="1505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9"/>
              <w:rPr>
                <w:rFonts w:hint="default"/>
                <w:lang w:val="en-US"/>
              </w:rPr>
            </w:pPr>
            <w:r>
              <w:rPr>
                <w:rFonts w:hint="eastAsia"/>
                <w:lang w:val="en-US" w:eastAsia="zh-CN"/>
              </w:rPr>
              <w:t>中国人民政治协商会议唐山市丰南区委员会</w:t>
            </w:r>
          </w:p>
        </w:tc>
        <w:tc>
          <w:tcPr>
            <w:tcW w:w="7712" w:type="dxa"/>
            <w:gridSpan w:val="8"/>
            <w:tcBorders>
              <w:top w:val="single" w:color="FFFFFF" w:sz="6" w:space="0"/>
              <w:left w:val="single" w:color="FFFFFF" w:sz="6" w:space="0"/>
              <w:right w:val="single" w:color="FFFFFF" w:sz="6" w:space="0"/>
            </w:tcBorders>
            <w:vAlign w:val="center"/>
          </w:tcPr>
          <w:p>
            <w:pPr>
              <w:pStyle w:val="3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20"/>
            </w:pPr>
            <w:r>
              <w:t>政府采购项目来源</w:t>
            </w:r>
          </w:p>
        </w:tc>
        <w:tc>
          <w:tcPr>
            <w:tcW w:w="1134" w:type="dxa"/>
            <w:vMerge w:val="restart"/>
            <w:vAlign w:val="center"/>
          </w:tcPr>
          <w:p>
            <w:pPr>
              <w:pStyle w:val="20"/>
            </w:pPr>
            <w:r>
              <w:t>采购物品名称</w:t>
            </w:r>
          </w:p>
        </w:tc>
        <w:tc>
          <w:tcPr>
            <w:tcW w:w="1134" w:type="dxa"/>
            <w:vMerge w:val="restart"/>
            <w:vAlign w:val="center"/>
          </w:tcPr>
          <w:p>
            <w:pPr>
              <w:pStyle w:val="20"/>
            </w:pPr>
            <w:r>
              <w:t>政府采购目录序号</w:t>
            </w:r>
          </w:p>
        </w:tc>
        <w:tc>
          <w:tcPr>
            <w:tcW w:w="709" w:type="dxa"/>
            <w:vMerge w:val="restart"/>
            <w:vAlign w:val="center"/>
          </w:tcPr>
          <w:p>
            <w:pPr>
              <w:pStyle w:val="20"/>
            </w:pPr>
            <w:r>
              <w:t>计量  单位</w:t>
            </w:r>
          </w:p>
        </w:tc>
        <w:tc>
          <w:tcPr>
            <w:tcW w:w="850" w:type="dxa"/>
            <w:vMerge w:val="restart"/>
            <w:vAlign w:val="center"/>
          </w:tcPr>
          <w:p>
            <w:pPr>
              <w:pStyle w:val="20"/>
            </w:pPr>
            <w:r>
              <w:t>数量</w:t>
            </w:r>
          </w:p>
        </w:tc>
        <w:tc>
          <w:tcPr>
            <w:tcW w:w="850" w:type="dxa"/>
            <w:vMerge w:val="restart"/>
            <w:vAlign w:val="center"/>
          </w:tcPr>
          <w:p>
            <w:pPr>
              <w:pStyle w:val="20"/>
            </w:pPr>
            <w:r>
              <w:t>单价</w:t>
            </w:r>
          </w:p>
        </w:tc>
        <w:tc>
          <w:tcPr>
            <w:tcW w:w="6748" w:type="dxa"/>
            <w:gridSpan w:val="7"/>
            <w:vAlign w:val="center"/>
          </w:tcPr>
          <w:p>
            <w:pPr>
              <w:pStyle w:val="20"/>
            </w:pPr>
            <w:r>
              <w:t>政府采购金额（当年部门预算安排资金）</w:t>
            </w:r>
          </w:p>
        </w:tc>
        <w:tc>
          <w:tcPr>
            <w:tcW w:w="964" w:type="dxa"/>
            <w:vMerge w:val="restart"/>
            <w:vAlign w:val="center"/>
          </w:tcPr>
          <w:p>
            <w:pPr>
              <w:pStyle w:val="20"/>
            </w:pPr>
            <w:r>
              <w:rPr>
                <w:rFonts w:hint="eastAsia"/>
                <w:lang w:eastAsia="zh-CN"/>
              </w:rPr>
              <w:t>XXXX</w:t>
            </w:r>
            <w:r>
              <w:t>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20"/>
            </w:pPr>
            <w:r>
              <w:t>项目名称</w:t>
            </w:r>
          </w:p>
        </w:tc>
        <w:tc>
          <w:tcPr>
            <w:tcW w:w="964" w:type="dxa"/>
            <w:vAlign w:val="center"/>
          </w:tcPr>
          <w:p>
            <w:pPr>
              <w:pStyle w:val="2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20"/>
            </w:pPr>
            <w:r>
              <w:t>合计</w:t>
            </w:r>
          </w:p>
        </w:tc>
        <w:tc>
          <w:tcPr>
            <w:tcW w:w="964" w:type="dxa"/>
            <w:vAlign w:val="center"/>
          </w:tcPr>
          <w:p>
            <w:pPr>
              <w:pStyle w:val="20"/>
            </w:pPr>
            <w:r>
              <w:t>一般公共预算拨款</w:t>
            </w:r>
          </w:p>
        </w:tc>
        <w:tc>
          <w:tcPr>
            <w:tcW w:w="964" w:type="dxa"/>
            <w:vAlign w:val="center"/>
          </w:tcPr>
          <w:p>
            <w:pPr>
              <w:pStyle w:val="20"/>
            </w:pPr>
            <w:r>
              <w:t>基金预算拨款</w:t>
            </w:r>
          </w:p>
        </w:tc>
        <w:tc>
          <w:tcPr>
            <w:tcW w:w="964" w:type="dxa"/>
            <w:vAlign w:val="center"/>
          </w:tcPr>
          <w:p>
            <w:pPr>
              <w:pStyle w:val="20"/>
            </w:pPr>
            <w:r>
              <w:t>国有资本经营预算拨款</w:t>
            </w:r>
          </w:p>
        </w:tc>
        <w:tc>
          <w:tcPr>
            <w:tcW w:w="964" w:type="dxa"/>
            <w:vAlign w:val="center"/>
          </w:tcPr>
          <w:p>
            <w:pPr>
              <w:pStyle w:val="20"/>
            </w:pPr>
            <w:r>
              <w:t>财政专户核拨</w:t>
            </w:r>
          </w:p>
        </w:tc>
        <w:tc>
          <w:tcPr>
            <w:tcW w:w="964" w:type="dxa"/>
            <w:vAlign w:val="center"/>
          </w:tcPr>
          <w:p>
            <w:pPr>
              <w:pStyle w:val="20"/>
            </w:pPr>
            <w:r>
              <w:t>单位    资金</w:t>
            </w:r>
          </w:p>
        </w:tc>
        <w:tc>
          <w:tcPr>
            <w:tcW w:w="964" w:type="dxa"/>
            <w:vAlign w:val="center"/>
          </w:tcPr>
          <w:p>
            <w:pPr>
              <w:pStyle w:val="2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24"/>
            </w:pPr>
            <w:r>
              <w:t>合  计</w:t>
            </w:r>
          </w:p>
        </w:tc>
        <w:tc>
          <w:tcPr>
            <w:tcW w:w="964" w:type="dxa"/>
            <w:vAlign w:val="center"/>
          </w:tcPr>
          <w:p>
            <w:pPr>
              <w:pStyle w:val="25"/>
            </w:pPr>
          </w:p>
        </w:tc>
        <w:tc>
          <w:tcPr>
            <w:tcW w:w="1134" w:type="dxa"/>
            <w:vAlign w:val="center"/>
          </w:tcPr>
          <w:p>
            <w:pPr>
              <w:pStyle w:val="26"/>
            </w:pPr>
          </w:p>
        </w:tc>
        <w:tc>
          <w:tcPr>
            <w:tcW w:w="1134" w:type="dxa"/>
            <w:vAlign w:val="center"/>
          </w:tcPr>
          <w:p>
            <w:pPr>
              <w:pStyle w:val="26"/>
            </w:pPr>
          </w:p>
        </w:tc>
        <w:tc>
          <w:tcPr>
            <w:tcW w:w="709" w:type="dxa"/>
            <w:vAlign w:val="center"/>
          </w:tcPr>
          <w:p>
            <w:pPr>
              <w:pStyle w:val="24"/>
            </w:pPr>
          </w:p>
        </w:tc>
        <w:tc>
          <w:tcPr>
            <w:tcW w:w="850" w:type="dxa"/>
            <w:vAlign w:val="center"/>
          </w:tcPr>
          <w:p>
            <w:pPr>
              <w:pStyle w:val="25"/>
            </w:pPr>
          </w:p>
        </w:tc>
        <w:tc>
          <w:tcPr>
            <w:tcW w:w="850" w:type="dxa"/>
            <w:vAlign w:val="center"/>
          </w:tcPr>
          <w:p>
            <w:pPr>
              <w:pStyle w:val="25"/>
            </w:pPr>
          </w:p>
        </w:tc>
        <w:tc>
          <w:tcPr>
            <w:tcW w:w="964" w:type="dxa"/>
            <w:vAlign w:val="center"/>
          </w:tcPr>
          <w:p>
            <w:pPr>
              <w:pStyle w:val="25"/>
            </w:pPr>
          </w:p>
        </w:tc>
        <w:tc>
          <w:tcPr>
            <w:tcW w:w="964" w:type="dxa"/>
            <w:vAlign w:val="center"/>
          </w:tcPr>
          <w:p>
            <w:pPr>
              <w:pStyle w:val="25"/>
            </w:pPr>
          </w:p>
        </w:tc>
        <w:tc>
          <w:tcPr>
            <w:tcW w:w="964" w:type="dxa"/>
            <w:vAlign w:val="center"/>
          </w:tcPr>
          <w:p>
            <w:pPr>
              <w:pStyle w:val="25"/>
            </w:pPr>
          </w:p>
        </w:tc>
        <w:tc>
          <w:tcPr>
            <w:tcW w:w="964" w:type="dxa"/>
            <w:vAlign w:val="center"/>
          </w:tcPr>
          <w:p>
            <w:pPr>
              <w:pStyle w:val="25"/>
            </w:pPr>
          </w:p>
        </w:tc>
        <w:tc>
          <w:tcPr>
            <w:tcW w:w="964" w:type="dxa"/>
            <w:vAlign w:val="center"/>
          </w:tcPr>
          <w:p>
            <w:pPr>
              <w:pStyle w:val="25"/>
            </w:pPr>
          </w:p>
        </w:tc>
        <w:tc>
          <w:tcPr>
            <w:tcW w:w="964" w:type="dxa"/>
            <w:vAlign w:val="center"/>
          </w:tcPr>
          <w:p>
            <w:pPr>
              <w:pStyle w:val="25"/>
            </w:pPr>
          </w:p>
        </w:tc>
        <w:tc>
          <w:tcPr>
            <w:tcW w:w="964" w:type="dxa"/>
            <w:vAlign w:val="center"/>
          </w:tcPr>
          <w:p>
            <w:pPr>
              <w:pStyle w:val="25"/>
            </w:pPr>
          </w:p>
        </w:tc>
        <w:tc>
          <w:tcPr>
            <w:tcW w:w="964" w:type="dxa"/>
            <w:vAlign w:val="center"/>
          </w:tcPr>
          <w:p>
            <w:pPr>
              <w:pStyle w:val="2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24"/>
            </w:pPr>
          </w:p>
        </w:tc>
        <w:tc>
          <w:tcPr>
            <w:tcW w:w="964" w:type="dxa"/>
            <w:vAlign w:val="center"/>
          </w:tcPr>
          <w:p>
            <w:pPr>
              <w:pStyle w:val="25"/>
            </w:pPr>
          </w:p>
        </w:tc>
        <w:tc>
          <w:tcPr>
            <w:tcW w:w="1134" w:type="dxa"/>
            <w:vAlign w:val="center"/>
          </w:tcPr>
          <w:p>
            <w:pPr>
              <w:pStyle w:val="26"/>
            </w:pPr>
          </w:p>
        </w:tc>
        <w:tc>
          <w:tcPr>
            <w:tcW w:w="1134" w:type="dxa"/>
            <w:vAlign w:val="center"/>
          </w:tcPr>
          <w:p>
            <w:pPr>
              <w:pStyle w:val="26"/>
            </w:pPr>
          </w:p>
        </w:tc>
        <w:tc>
          <w:tcPr>
            <w:tcW w:w="709" w:type="dxa"/>
            <w:vAlign w:val="center"/>
          </w:tcPr>
          <w:p>
            <w:pPr>
              <w:pStyle w:val="24"/>
            </w:pPr>
          </w:p>
        </w:tc>
        <w:tc>
          <w:tcPr>
            <w:tcW w:w="850" w:type="dxa"/>
            <w:vAlign w:val="center"/>
          </w:tcPr>
          <w:p>
            <w:pPr>
              <w:pStyle w:val="25"/>
            </w:pPr>
          </w:p>
        </w:tc>
        <w:tc>
          <w:tcPr>
            <w:tcW w:w="850" w:type="dxa"/>
            <w:vAlign w:val="center"/>
          </w:tcPr>
          <w:p>
            <w:pPr>
              <w:pStyle w:val="25"/>
            </w:pPr>
          </w:p>
        </w:tc>
        <w:tc>
          <w:tcPr>
            <w:tcW w:w="964" w:type="dxa"/>
            <w:vAlign w:val="center"/>
          </w:tcPr>
          <w:p>
            <w:pPr>
              <w:pStyle w:val="25"/>
              <w:rPr>
                <w:rFonts w:hint="eastAsia"/>
                <w:lang w:eastAsia="zh-CN"/>
              </w:rPr>
            </w:pPr>
          </w:p>
        </w:tc>
        <w:tc>
          <w:tcPr>
            <w:tcW w:w="964" w:type="dxa"/>
            <w:vAlign w:val="center"/>
          </w:tcPr>
          <w:p>
            <w:pPr>
              <w:pStyle w:val="25"/>
              <w:rPr>
                <w:rFonts w:hint="eastAsia"/>
                <w:lang w:eastAsia="zh-CN"/>
              </w:rPr>
            </w:pPr>
          </w:p>
        </w:tc>
        <w:tc>
          <w:tcPr>
            <w:tcW w:w="964" w:type="dxa"/>
            <w:vAlign w:val="center"/>
          </w:tcPr>
          <w:p>
            <w:pPr>
              <w:pStyle w:val="25"/>
            </w:pPr>
          </w:p>
        </w:tc>
        <w:tc>
          <w:tcPr>
            <w:tcW w:w="964" w:type="dxa"/>
            <w:vAlign w:val="center"/>
          </w:tcPr>
          <w:p>
            <w:pPr>
              <w:pStyle w:val="25"/>
            </w:pPr>
          </w:p>
        </w:tc>
        <w:tc>
          <w:tcPr>
            <w:tcW w:w="964" w:type="dxa"/>
            <w:vAlign w:val="center"/>
          </w:tcPr>
          <w:p>
            <w:pPr>
              <w:pStyle w:val="25"/>
            </w:pPr>
          </w:p>
        </w:tc>
        <w:tc>
          <w:tcPr>
            <w:tcW w:w="964" w:type="dxa"/>
            <w:vAlign w:val="center"/>
          </w:tcPr>
          <w:p>
            <w:pPr>
              <w:pStyle w:val="25"/>
            </w:pPr>
          </w:p>
        </w:tc>
        <w:tc>
          <w:tcPr>
            <w:tcW w:w="964" w:type="dxa"/>
            <w:vAlign w:val="center"/>
          </w:tcPr>
          <w:p>
            <w:pPr>
              <w:pStyle w:val="25"/>
            </w:pPr>
          </w:p>
        </w:tc>
        <w:tc>
          <w:tcPr>
            <w:tcW w:w="964" w:type="dxa"/>
            <w:vAlign w:val="center"/>
          </w:tcPr>
          <w:p>
            <w:pPr>
              <w:pStyle w:val="25"/>
              <w:rPr>
                <w:rFonts w:hint="eastAsia"/>
                <w:lang w:eastAsia="zh-CN"/>
              </w:rPr>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2"/>
      </w:pPr>
      <w:bookmarkStart w:id="7" w:name="_Toc_3_3_0000000018"/>
      <w:r>
        <w:rPr>
          <w:rFonts w:ascii="黑体" w:hAnsi="黑体" w:eastAsia="黑体" w:cs="黑体"/>
          <w:color w:val="000000"/>
          <w:sz w:val="32"/>
        </w:rPr>
        <w:t>七、国有资产信息</w:t>
      </w:r>
      <w:bookmarkEnd w:id="7"/>
    </w:p>
    <w:p>
      <w:pPr>
        <w:spacing w:line="500" w:lineRule="exact"/>
        <w:ind w:firstLine="560"/>
      </w:pPr>
      <w:r>
        <w:rPr>
          <w:rFonts w:hint="eastAsia" w:eastAsia="方正仿宋_GBK"/>
          <w:color w:val="000000"/>
          <w:sz w:val="28"/>
          <w:lang w:val="en-US" w:eastAsia="zh-CN"/>
        </w:rPr>
        <w:t>中国人民政治协商会议唐山市丰南区委员会</w:t>
      </w:r>
      <w:r>
        <w:rPr>
          <w:rFonts w:eastAsia="方正仿宋_GBK"/>
          <w:color w:val="000000"/>
          <w:sz w:val="28"/>
        </w:rPr>
        <w:t>上年末固定资产金额为</w:t>
      </w:r>
      <w:r>
        <w:rPr>
          <w:rFonts w:hint="eastAsia" w:eastAsia="方正仿宋_GBK"/>
          <w:color w:val="000000"/>
          <w:sz w:val="28"/>
          <w:lang w:val="en-US" w:eastAsia="zh-CN"/>
        </w:rPr>
        <w:t>139.06</w:t>
      </w:r>
      <w:r>
        <w:rPr>
          <w:rFonts w:eastAsia="方正仿宋_GBK"/>
          <w:color w:val="000000"/>
          <w:sz w:val="28"/>
        </w:rPr>
        <w:t>万元（详见下表）。本年度拟购置固定资产总额为</w:t>
      </w:r>
      <w:r>
        <w:rPr>
          <w:rFonts w:hint="eastAsia" w:eastAsia="方正仿宋_GBK"/>
          <w:color w:val="000000"/>
          <w:sz w:val="28"/>
          <w:lang w:val="en-US" w:eastAsia="zh-CN"/>
        </w:rPr>
        <w:t>3</w:t>
      </w:r>
      <w:r>
        <w:rPr>
          <w:rFonts w:eastAsia="方正仿宋_GBK"/>
          <w:color w:val="000000"/>
          <w:sz w:val="28"/>
        </w:rPr>
        <w:t>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1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9"/>
              <w:rPr>
                <w:lang w:eastAsia="zh-CN"/>
              </w:rPr>
            </w:pPr>
            <w:r>
              <w:rPr>
                <w:rFonts w:hint="eastAsia"/>
                <w:lang w:val="en-US" w:eastAsia="zh-CN"/>
              </w:rPr>
              <w:t>中国人民政治协商会议唐山市丰南区委员会</w:t>
            </w:r>
          </w:p>
        </w:tc>
        <w:tc>
          <w:tcPr>
            <w:tcW w:w="5669" w:type="dxa"/>
            <w:gridSpan w:val="2"/>
            <w:tcBorders>
              <w:top w:val="single" w:color="FFFFFF" w:sz="6" w:space="0"/>
              <w:left w:val="single" w:color="FFFFFF" w:sz="6" w:space="0"/>
              <w:right w:val="single" w:color="FFFFFF" w:sz="6" w:space="0"/>
            </w:tcBorders>
            <w:vAlign w:val="center"/>
          </w:tcPr>
          <w:p>
            <w:pPr>
              <w:pStyle w:val="17"/>
            </w:pPr>
            <w:r>
              <w:t>截止时间：</w:t>
            </w:r>
            <w:r>
              <w:rPr>
                <w:rFonts w:hint="eastAsia"/>
                <w:lang w:val="en-US" w:eastAsia="zh-CN"/>
              </w:rPr>
              <w:t>2016</w:t>
            </w:r>
            <w:r>
              <w:t>-12-31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20"/>
            </w:pPr>
            <w:r>
              <w:t>项   目</w:t>
            </w:r>
          </w:p>
        </w:tc>
        <w:tc>
          <w:tcPr>
            <w:tcW w:w="2835" w:type="dxa"/>
            <w:vAlign w:val="center"/>
          </w:tcPr>
          <w:p>
            <w:pPr>
              <w:pStyle w:val="20"/>
            </w:pPr>
            <w:r>
              <w:t>数量</w:t>
            </w:r>
          </w:p>
        </w:tc>
        <w:tc>
          <w:tcPr>
            <w:tcW w:w="2835" w:type="dxa"/>
            <w:vAlign w:val="center"/>
          </w:tcPr>
          <w:p>
            <w:pPr>
              <w:pStyle w:val="2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22"/>
            </w:pPr>
            <w:r>
              <w:t>资产总额</w:t>
            </w:r>
          </w:p>
        </w:tc>
        <w:tc>
          <w:tcPr>
            <w:tcW w:w="2835" w:type="dxa"/>
            <w:vAlign w:val="center"/>
          </w:tcPr>
          <w:p>
            <w:pPr>
              <w:pStyle w:val="23"/>
            </w:pPr>
          </w:p>
        </w:tc>
        <w:tc>
          <w:tcPr>
            <w:tcW w:w="2835" w:type="dxa"/>
            <w:vAlign w:val="center"/>
          </w:tcPr>
          <w:p>
            <w:pPr>
              <w:pStyle w:val="21"/>
              <w:rPr>
                <w:rFonts w:hint="default" w:eastAsia="方正书宋_GBK"/>
                <w:lang w:val="en-US" w:eastAsia="zh-CN"/>
              </w:rPr>
            </w:pPr>
            <w:r>
              <w:rPr>
                <w:rFonts w:hint="eastAsia"/>
                <w:lang w:val="en-US" w:eastAsia="zh-CN"/>
              </w:rPr>
              <w:t>139.06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22"/>
            </w:pPr>
            <w:r>
              <w:t>1、房屋（平方米）</w:t>
            </w:r>
          </w:p>
        </w:tc>
        <w:tc>
          <w:tcPr>
            <w:tcW w:w="2835" w:type="dxa"/>
            <w:vAlign w:val="center"/>
          </w:tcPr>
          <w:p>
            <w:pPr>
              <w:pStyle w:val="23"/>
            </w:pPr>
          </w:p>
        </w:tc>
        <w:tc>
          <w:tcPr>
            <w:tcW w:w="2835"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22"/>
            </w:pPr>
            <w:r>
              <w:t>　　其中：办公用房（平方米）</w:t>
            </w:r>
          </w:p>
        </w:tc>
        <w:tc>
          <w:tcPr>
            <w:tcW w:w="2835" w:type="dxa"/>
            <w:vAlign w:val="center"/>
          </w:tcPr>
          <w:p>
            <w:pPr>
              <w:pStyle w:val="23"/>
            </w:pPr>
          </w:p>
        </w:tc>
        <w:tc>
          <w:tcPr>
            <w:tcW w:w="2835"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22"/>
            </w:pPr>
            <w:r>
              <w:t>2、车辆（台、辆）</w:t>
            </w:r>
          </w:p>
        </w:tc>
        <w:tc>
          <w:tcPr>
            <w:tcW w:w="2835" w:type="dxa"/>
            <w:vAlign w:val="center"/>
          </w:tcPr>
          <w:p>
            <w:pPr>
              <w:pStyle w:val="23"/>
              <w:rPr>
                <w:rFonts w:hint="eastAsia" w:eastAsia="方正书宋_GBK"/>
                <w:lang w:eastAsia="zh-CN"/>
              </w:rPr>
            </w:pPr>
            <w:r>
              <w:rPr>
                <w:rFonts w:hint="eastAsia"/>
                <w:lang w:val="en-US" w:eastAsia="zh-CN"/>
              </w:rPr>
              <w:t>5</w:t>
            </w:r>
          </w:p>
        </w:tc>
        <w:tc>
          <w:tcPr>
            <w:tcW w:w="2835" w:type="dxa"/>
            <w:vAlign w:val="center"/>
          </w:tcPr>
          <w:p>
            <w:pPr>
              <w:pStyle w:val="21"/>
              <w:rPr>
                <w:rFonts w:hint="default" w:eastAsia="方正书宋_GBK"/>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22"/>
            </w:pPr>
            <w:r>
              <w:t>3、单价在20万元以上的设备</w:t>
            </w:r>
          </w:p>
        </w:tc>
        <w:tc>
          <w:tcPr>
            <w:tcW w:w="2835" w:type="dxa"/>
            <w:vAlign w:val="center"/>
          </w:tcPr>
          <w:p>
            <w:pPr>
              <w:pStyle w:val="23"/>
            </w:pPr>
          </w:p>
        </w:tc>
        <w:tc>
          <w:tcPr>
            <w:tcW w:w="2835"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22"/>
            </w:pPr>
            <w:r>
              <w:t>4、其他固定资产</w:t>
            </w:r>
          </w:p>
        </w:tc>
        <w:tc>
          <w:tcPr>
            <w:tcW w:w="2835" w:type="dxa"/>
            <w:vAlign w:val="center"/>
          </w:tcPr>
          <w:p>
            <w:pPr>
              <w:pStyle w:val="23"/>
              <w:rPr>
                <w:rFonts w:hint="default" w:eastAsia="方正书宋_GBK"/>
                <w:lang w:val="en-US" w:eastAsia="zh-CN"/>
              </w:rPr>
            </w:pPr>
            <w:r>
              <w:rPr>
                <w:rFonts w:hint="eastAsia"/>
                <w:lang w:val="en-US" w:eastAsia="zh-CN"/>
              </w:rPr>
              <w:t>66</w:t>
            </w:r>
          </w:p>
        </w:tc>
        <w:tc>
          <w:tcPr>
            <w:tcW w:w="2835" w:type="dxa"/>
            <w:vAlign w:val="center"/>
          </w:tcPr>
          <w:p>
            <w:pPr>
              <w:pStyle w:val="21"/>
              <w:rPr>
                <w:rFonts w:hint="default" w:eastAsia="方正书宋_GBK"/>
                <w:lang w:val="en-US" w:eastAsia="zh-CN"/>
              </w:rPr>
            </w:pPr>
            <w:r>
              <w:rPr>
                <w:rFonts w:hint="eastAsia"/>
                <w:lang w:val="en-US" w:eastAsia="zh-CN"/>
              </w:rPr>
              <w:t>32.39</w:t>
            </w:r>
          </w:p>
        </w:tc>
      </w:tr>
    </w:tbl>
    <w:p>
      <w:pPr>
        <w:ind w:firstLine="640"/>
      </w:pPr>
      <w:r>
        <w:rPr>
          <w:rFonts w:eastAsia="方正仿宋_GBK"/>
          <w:color w:val="000000"/>
          <w:sz w:val="32"/>
        </w:rPr>
        <w:t xml:space="preserve"> </w:t>
      </w:r>
    </w:p>
    <w:p>
      <w:pPr>
        <w:spacing w:before="10" w:after="10"/>
        <w:ind w:firstLine="640"/>
        <w:outlineLvl w:val="2"/>
      </w:pPr>
      <w:bookmarkStart w:id="8" w:name="_Toc_3_3_0000000019"/>
      <w:r>
        <w:rPr>
          <w:rFonts w:ascii="黑体" w:hAnsi="黑体" w:eastAsia="黑体" w:cs="黑体"/>
          <w:color w:val="000000"/>
          <w:sz w:val="32"/>
        </w:rPr>
        <w:t>八、名词解释</w:t>
      </w:r>
      <w:bookmarkEnd w:id="8"/>
    </w:p>
    <w:p>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2"/>
      </w:pPr>
      <w:bookmarkStart w:id="9" w:name="_Toc_3_3_0000000020"/>
      <w:r>
        <w:rPr>
          <w:rFonts w:ascii="黑体" w:hAnsi="黑体" w:eastAsia="黑体" w:cs="黑体"/>
          <w:color w:val="000000"/>
          <w:sz w:val="32"/>
        </w:rPr>
        <w:t>九、其他需要说明的事项</w:t>
      </w:r>
      <w:bookmarkEnd w:id="9"/>
    </w:p>
    <w:p>
      <w:pPr>
        <w:spacing w:line="500" w:lineRule="exact"/>
        <w:ind w:firstLine="560"/>
        <w:rPr>
          <w:rFonts w:eastAsiaTheme="minorEastAsia"/>
          <w:lang w:eastAsia="zh-CN"/>
        </w:rPr>
      </w:pPr>
      <w:r>
        <w:rPr>
          <w:rFonts w:eastAsia="方正仿宋_GBK"/>
          <w:color w:val="000000"/>
          <w:sz w:val="28"/>
        </w:rPr>
        <w:t>我部门无其他需要说明的事项。</w:t>
      </w:r>
    </w:p>
    <w:sectPr>
      <w:footerReference r:id="rId3" w:type="default"/>
      <w:footerReference r:id="rId4" w:type="even"/>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方正仿宋_GBK">
    <w:altName w:val="微软雅黑"/>
    <w:panose1 w:val="03000509000000000000"/>
    <w:charset w:val="86"/>
    <w:family w:val="script"/>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方正书宋_GBK">
    <w:altName w:val="微软雅黑"/>
    <w:panose1 w:val="00000000000000000000"/>
    <w:charset w:val="86"/>
    <w:family w:val="roman"/>
    <w:pitch w:val="default"/>
    <w:sig w:usb0="00000000" w:usb1="00000000" w:usb2="00000010" w:usb3="00000000" w:csb0="00040000" w:csb1="00000000"/>
  </w:font>
  <w:font w:name="方正楷体_GBK">
    <w:altName w:val="微软雅黑"/>
    <w:panose1 w:val="00000000000000000000"/>
    <w:charset w:val="86"/>
    <w:family w:val="roman"/>
    <w:pitch w:val="default"/>
    <w:sig w:usb0="00000000" w:usb1="00000000" w:usb2="00000000" w:usb3="00000000" w:csb0="00040000" w:csb1="00000000"/>
  </w:font>
  <w:font w:name="方正仿宋简体">
    <w:altName w:val="微软雅黑"/>
    <w:panose1 w:val="02010601030101010101"/>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10</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bordersDoNotSurroundHeader w:val="0"/>
  <w:bordersDoNotSurroundFooter w:val="0"/>
  <w:doNotTrackMoves/>
  <w:documentProtection w:enforcement="0"/>
  <w:defaultTabStop w:val="720"/>
  <w:displayHorizontalDrawingGridEvery w:val="1"/>
  <w:displayVerticalDrawingGridEvery w:val="1"/>
  <w:noPunctuationKerning w:val="1"/>
  <w:characterSpacingControl w:val="doNotCompress"/>
  <w:compat>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ZlZWI4NWE4NmIxYjRiNmE5MzYyNmI0YjgyZWUzMmYifQ=="/>
    <w:docVar w:name="KSO_WPS_MARK_KEY" w:val="95849150-0e59-4b34-a127-6922d588a6ac"/>
  </w:docVars>
  <w:rsids>
    <w:rsidRoot w:val="006277C0"/>
    <w:rsid w:val="00074A21"/>
    <w:rsid w:val="00177DA3"/>
    <w:rsid w:val="001A5C8C"/>
    <w:rsid w:val="003B79D8"/>
    <w:rsid w:val="003D29B6"/>
    <w:rsid w:val="006277C0"/>
    <w:rsid w:val="006A4512"/>
    <w:rsid w:val="008B309E"/>
    <w:rsid w:val="00AE3414"/>
    <w:rsid w:val="00B479C0"/>
    <w:rsid w:val="00BC0652"/>
    <w:rsid w:val="00CD471C"/>
    <w:rsid w:val="00D25C90"/>
    <w:rsid w:val="00F76141"/>
    <w:rsid w:val="00FB57FD"/>
    <w:rsid w:val="17565B13"/>
    <w:rsid w:val="1A8674B2"/>
    <w:rsid w:val="1A893D63"/>
    <w:rsid w:val="1F3A1A74"/>
    <w:rsid w:val="20367985"/>
    <w:rsid w:val="225B780D"/>
    <w:rsid w:val="235A6E60"/>
    <w:rsid w:val="33DE37FC"/>
    <w:rsid w:val="3ADC31E0"/>
    <w:rsid w:val="3C3739C2"/>
    <w:rsid w:val="454E67C6"/>
    <w:rsid w:val="47AB5DF4"/>
    <w:rsid w:val="4DF15EB4"/>
    <w:rsid w:val="58896749"/>
    <w:rsid w:val="67074692"/>
    <w:rsid w:val="7D8E00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paragraph" w:styleId="2">
    <w:name w:val="heading 1"/>
    <w:basedOn w:val="1"/>
    <w:next w:val="1"/>
    <w:link w:val="38"/>
    <w:qFormat/>
    <w:uiPriority w:val="0"/>
    <w:pPr>
      <w:keepNext/>
      <w:keepLines/>
      <w:widowControl w:val="0"/>
      <w:spacing w:before="340" w:after="330" w:line="578" w:lineRule="auto"/>
      <w:jc w:val="both"/>
      <w:outlineLvl w:val="0"/>
    </w:pPr>
    <w:rPr>
      <w:rFonts w:eastAsia="宋体"/>
      <w:b/>
      <w:bCs/>
      <w:kern w:val="44"/>
      <w:sz w:val="44"/>
      <w:szCs w:val="20"/>
      <w:lang w:eastAsia="zh-CN"/>
    </w:rPr>
  </w:style>
  <w:style w:type="paragraph" w:styleId="3">
    <w:name w:val="heading 2"/>
    <w:basedOn w:val="1"/>
    <w:next w:val="1"/>
    <w:link w:val="39"/>
    <w:qFormat/>
    <w:uiPriority w:val="0"/>
    <w:pPr>
      <w:keepNext/>
      <w:keepLines/>
      <w:widowControl w:val="0"/>
      <w:spacing w:before="260" w:after="260" w:line="415" w:lineRule="auto"/>
      <w:jc w:val="both"/>
      <w:outlineLvl w:val="1"/>
    </w:pPr>
    <w:rPr>
      <w:rFonts w:ascii="Arial" w:hAnsi="Arial" w:eastAsia="黑体"/>
      <w:b/>
      <w:kern w:val="2"/>
      <w:sz w:val="32"/>
      <w:szCs w:val="20"/>
      <w:lang w:eastAsia="zh-CN"/>
    </w:rPr>
  </w:style>
  <w:style w:type="paragraph" w:styleId="4">
    <w:name w:val="heading 3"/>
    <w:basedOn w:val="1"/>
    <w:next w:val="1"/>
    <w:link w:val="40"/>
    <w:qFormat/>
    <w:uiPriority w:val="0"/>
    <w:pPr>
      <w:keepNext/>
      <w:keepLines/>
      <w:widowControl w:val="0"/>
      <w:spacing w:before="260" w:after="260" w:line="415" w:lineRule="auto"/>
      <w:jc w:val="both"/>
      <w:outlineLvl w:val="2"/>
    </w:pPr>
    <w:rPr>
      <w:rFonts w:eastAsia="宋体"/>
      <w:b/>
      <w:kern w:val="2"/>
      <w:sz w:val="32"/>
      <w:szCs w:val="20"/>
      <w:lang w:eastAsia="zh-CN"/>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toc 3"/>
    <w:basedOn w:val="1"/>
    <w:next w:val="1"/>
    <w:qFormat/>
    <w:uiPriority w:val="0"/>
    <w:pPr>
      <w:ind w:left="480"/>
    </w:pPr>
  </w:style>
  <w:style w:type="paragraph" w:styleId="6">
    <w:name w:val="Date"/>
    <w:basedOn w:val="1"/>
    <w:next w:val="1"/>
    <w:link w:val="43"/>
    <w:qFormat/>
    <w:uiPriority w:val="0"/>
    <w:pPr>
      <w:widowControl w:val="0"/>
      <w:ind w:left="2500" w:leftChars="2500"/>
      <w:jc w:val="both"/>
    </w:pPr>
    <w:rPr>
      <w:rFonts w:eastAsia="宋体"/>
      <w:kern w:val="2"/>
      <w:sz w:val="21"/>
      <w:szCs w:val="20"/>
      <w:lang w:eastAsia="zh-CN"/>
    </w:rPr>
  </w:style>
  <w:style w:type="paragraph" w:styleId="7">
    <w:name w:val="footer"/>
    <w:basedOn w:val="1"/>
    <w:link w:val="36"/>
    <w:unhideWhenUsed/>
    <w:qFormat/>
    <w:uiPriority w:val="0"/>
    <w:pPr>
      <w:tabs>
        <w:tab w:val="center" w:pos="4153"/>
        <w:tab w:val="right" w:pos="8306"/>
      </w:tabs>
      <w:snapToGrid w:val="0"/>
    </w:pPr>
    <w:rPr>
      <w:sz w:val="18"/>
      <w:szCs w:val="18"/>
    </w:rPr>
  </w:style>
  <w:style w:type="paragraph" w:styleId="8">
    <w:name w:val="header"/>
    <w:basedOn w:val="1"/>
    <w:link w:val="35"/>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toc 1"/>
    <w:basedOn w:val="1"/>
    <w:next w:val="1"/>
    <w:qFormat/>
    <w:uiPriority w:val="0"/>
    <w:pPr>
      <w:spacing w:before="120"/>
      <w:ind w:firstLine="560"/>
    </w:pPr>
    <w:rPr>
      <w:rFonts w:eastAsia="方正仿宋_GBK"/>
      <w:color w:val="000000"/>
      <w:sz w:val="28"/>
    </w:rPr>
  </w:style>
  <w:style w:type="paragraph" w:styleId="10">
    <w:name w:val="footnote text"/>
    <w:basedOn w:val="1"/>
    <w:link w:val="44"/>
    <w:qFormat/>
    <w:uiPriority w:val="0"/>
    <w:pPr>
      <w:widowControl w:val="0"/>
      <w:snapToGrid w:val="0"/>
    </w:pPr>
    <w:rPr>
      <w:rFonts w:eastAsia="宋体"/>
      <w:kern w:val="2"/>
      <w:sz w:val="18"/>
      <w:szCs w:val="18"/>
      <w:lang w:eastAsia="zh-CN"/>
    </w:rPr>
  </w:style>
  <w:style w:type="paragraph" w:styleId="11">
    <w:name w:val="toc 2"/>
    <w:basedOn w:val="1"/>
    <w:next w:val="1"/>
    <w:qFormat/>
    <w:uiPriority w:val="0"/>
    <w:pPr>
      <w:ind w:left="240"/>
    </w:pPr>
  </w:style>
  <w:style w:type="table" w:styleId="13">
    <w:name w:val="Table Grid"/>
    <w:basedOn w:val="12"/>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5">
    <w:name w:val="page number"/>
    <w:basedOn w:val="14"/>
    <w:qFormat/>
    <w:uiPriority w:val="0"/>
  </w:style>
  <w:style w:type="character" w:styleId="16">
    <w:name w:val="footnote reference"/>
    <w:basedOn w:val="14"/>
    <w:qFormat/>
    <w:uiPriority w:val="0"/>
    <w:rPr>
      <w:vertAlign w:val="superscript"/>
    </w:rPr>
  </w:style>
  <w:style w:type="paragraph" w:customStyle="1" w:styleId="17">
    <w:name w:val="单元格样式22"/>
    <w:basedOn w:val="1"/>
    <w:qFormat/>
    <w:uiPriority w:val="0"/>
    <w:pPr>
      <w:jc w:val="right"/>
    </w:pPr>
    <w:rPr>
      <w:rFonts w:ascii="方正小标宋_GBK" w:hAnsi="方正小标宋_GBK" w:eastAsia="方正小标宋_GBK" w:cs="方正小标宋_GBK"/>
    </w:rPr>
  </w:style>
  <w:style w:type="paragraph" w:customStyle="1" w:styleId="18">
    <w:name w:val="单元格样式21"/>
    <w:basedOn w:val="1"/>
    <w:qFormat/>
    <w:uiPriority w:val="0"/>
    <w:pPr>
      <w:jc w:val="center"/>
    </w:pPr>
    <w:rPr>
      <w:rFonts w:ascii="方正小标宋_GBK" w:hAnsi="方正小标宋_GBK" w:eastAsia="方正小标宋_GBK" w:cs="方正小标宋_GBK"/>
    </w:rPr>
  </w:style>
  <w:style w:type="paragraph" w:customStyle="1" w:styleId="19">
    <w:name w:val="单元格样式20"/>
    <w:basedOn w:val="1"/>
    <w:qFormat/>
    <w:uiPriority w:val="0"/>
    <w:rPr>
      <w:rFonts w:ascii="方正小标宋_GBK" w:hAnsi="方正小标宋_GBK" w:eastAsia="方正小标宋_GBK" w:cs="方正小标宋_GBK"/>
    </w:rPr>
  </w:style>
  <w:style w:type="paragraph" w:customStyle="1" w:styleId="20">
    <w:name w:val="单元格样式1"/>
    <w:basedOn w:val="1"/>
    <w:qFormat/>
    <w:uiPriority w:val="0"/>
    <w:pPr>
      <w:jc w:val="center"/>
    </w:pPr>
    <w:rPr>
      <w:rFonts w:ascii="方正书宋_GBK" w:hAnsi="方正书宋_GBK" w:eastAsia="方正书宋_GBK" w:cs="方正书宋_GBK"/>
      <w:b/>
      <w:sz w:val="21"/>
    </w:rPr>
  </w:style>
  <w:style w:type="paragraph" w:customStyle="1" w:styleId="21">
    <w:name w:val="单元格样式4"/>
    <w:basedOn w:val="1"/>
    <w:qFormat/>
    <w:uiPriority w:val="0"/>
    <w:pPr>
      <w:jc w:val="right"/>
    </w:pPr>
    <w:rPr>
      <w:rFonts w:ascii="方正书宋_GBK" w:hAnsi="方正书宋_GBK" w:eastAsia="方正书宋_GBK" w:cs="方正书宋_GBK"/>
      <w:sz w:val="21"/>
    </w:rPr>
  </w:style>
  <w:style w:type="paragraph" w:customStyle="1" w:styleId="22">
    <w:name w:val="单元格样式2"/>
    <w:basedOn w:val="1"/>
    <w:qFormat/>
    <w:uiPriority w:val="0"/>
    <w:rPr>
      <w:rFonts w:ascii="方正书宋_GBK" w:hAnsi="方正书宋_GBK" w:eastAsia="方正书宋_GBK" w:cs="方正书宋_GBK"/>
      <w:sz w:val="21"/>
    </w:rPr>
  </w:style>
  <w:style w:type="paragraph" w:customStyle="1" w:styleId="23">
    <w:name w:val="单元格样式3"/>
    <w:basedOn w:val="1"/>
    <w:qFormat/>
    <w:uiPriority w:val="0"/>
    <w:pPr>
      <w:jc w:val="center"/>
    </w:pPr>
    <w:rPr>
      <w:rFonts w:ascii="方正书宋_GBK" w:hAnsi="方正书宋_GBK" w:eastAsia="方正书宋_GBK" w:cs="方正书宋_GBK"/>
      <w:sz w:val="21"/>
    </w:rPr>
  </w:style>
  <w:style w:type="paragraph" w:customStyle="1" w:styleId="24">
    <w:name w:val="单元格样式6"/>
    <w:basedOn w:val="1"/>
    <w:qFormat/>
    <w:uiPriority w:val="0"/>
    <w:pPr>
      <w:jc w:val="center"/>
    </w:pPr>
    <w:rPr>
      <w:rFonts w:ascii="方正书宋_GBK" w:hAnsi="方正书宋_GBK" w:eastAsia="方正书宋_GBK" w:cs="方正书宋_GBK"/>
      <w:b/>
      <w:sz w:val="21"/>
    </w:rPr>
  </w:style>
  <w:style w:type="paragraph" w:customStyle="1" w:styleId="25">
    <w:name w:val="单元格样式7"/>
    <w:basedOn w:val="1"/>
    <w:qFormat/>
    <w:uiPriority w:val="0"/>
    <w:pPr>
      <w:jc w:val="right"/>
    </w:pPr>
    <w:rPr>
      <w:rFonts w:ascii="方正书宋_GBK" w:hAnsi="方正书宋_GBK" w:eastAsia="方正书宋_GBK" w:cs="方正书宋_GBK"/>
      <w:b/>
      <w:sz w:val="21"/>
    </w:rPr>
  </w:style>
  <w:style w:type="paragraph" w:customStyle="1" w:styleId="26">
    <w:name w:val="单元格样式5"/>
    <w:basedOn w:val="1"/>
    <w:qFormat/>
    <w:uiPriority w:val="0"/>
    <w:rPr>
      <w:rFonts w:ascii="方正书宋_GBK" w:hAnsi="方正书宋_GBK" w:eastAsia="方正书宋_GBK" w:cs="方正书宋_GBK"/>
      <w:b/>
      <w:sz w:val="21"/>
    </w:rPr>
  </w:style>
  <w:style w:type="paragraph" w:customStyle="1" w:styleId="27">
    <w:name w:val="插入文本样式-插入预算公开部门职责文件"/>
    <w:basedOn w:val="1"/>
    <w:qFormat/>
    <w:uiPriority w:val="0"/>
    <w:pPr>
      <w:spacing w:line="500" w:lineRule="exact"/>
      <w:ind w:firstLine="560"/>
    </w:pPr>
    <w:rPr>
      <w:rFonts w:eastAsia="方正仿宋_GBK"/>
      <w:sz w:val="28"/>
    </w:rPr>
  </w:style>
  <w:style w:type="paragraph" w:customStyle="1" w:styleId="28">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9">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30">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31">
    <w:name w:val="插入文本样式-插入总体目标文件"/>
    <w:basedOn w:val="1"/>
    <w:qFormat/>
    <w:uiPriority w:val="0"/>
    <w:pPr>
      <w:spacing w:line="500" w:lineRule="exact"/>
      <w:ind w:firstLine="560"/>
    </w:pPr>
    <w:rPr>
      <w:rFonts w:eastAsia="方正仿宋_GBK"/>
      <w:sz w:val="28"/>
    </w:rPr>
  </w:style>
  <w:style w:type="paragraph" w:customStyle="1" w:styleId="32">
    <w:name w:val="插入文本样式-插入职责分类绩效目标文件"/>
    <w:basedOn w:val="1"/>
    <w:qFormat/>
    <w:uiPriority w:val="0"/>
    <w:pPr>
      <w:spacing w:line="500" w:lineRule="exact"/>
      <w:ind w:firstLine="560"/>
    </w:pPr>
    <w:rPr>
      <w:rFonts w:eastAsia="方正仿宋_GBK"/>
      <w:sz w:val="28"/>
    </w:rPr>
  </w:style>
  <w:style w:type="paragraph" w:customStyle="1" w:styleId="33">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34">
    <w:name w:val="单元格样式23"/>
    <w:basedOn w:val="1"/>
    <w:qFormat/>
    <w:uiPriority w:val="0"/>
    <w:pPr>
      <w:jc w:val="right"/>
    </w:pPr>
    <w:rPr>
      <w:rFonts w:ascii="方正书宋_GBK" w:hAnsi="方正书宋_GBK" w:eastAsia="方正书宋_GBK" w:cs="方正书宋_GBK"/>
    </w:rPr>
  </w:style>
  <w:style w:type="character" w:customStyle="1" w:styleId="35">
    <w:name w:val="页眉 Char"/>
    <w:basedOn w:val="14"/>
    <w:link w:val="8"/>
    <w:qFormat/>
    <w:uiPriority w:val="99"/>
    <w:rPr>
      <w:rFonts w:eastAsia="Times New Roman"/>
      <w:sz w:val="18"/>
      <w:szCs w:val="18"/>
      <w:lang w:eastAsia="uk-UA"/>
    </w:rPr>
  </w:style>
  <w:style w:type="character" w:customStyle="1" w:styleId="36">
    <w:name w:val="页脚 Char"/>
    <w:basedOn w:val="14"/>
    <w:link w:val="7"/>
    <w:qFormat/>
    <w:uiPriority w:val="99"/>
    <w:rPr>
      <w:rFonts w:eastAsia="Times New Roman"/>
      <w:sz w:val="18"/>
      <w:szCs w:val="18"/>
      <w:lang w:eastAsia="uk-UA"/>
    </w:rPr>
  </w:style>
  <w:style w:type="paragraph" w:customStyle="1" w:styleId="37">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character" w:customStyle="1" w:styleId="38">
    <w:name w:val="标题 1 Char"/>
    <w:basedOn w:val="14"/>
    <w:link w:val="2"/>
    <w:qFormat/>
    <w:uiPriority w:val="0"/>
    <w:rPr>
      <w:rFonts w:eastAsia="宋体"/>
      <w:b/>
      <w:bCs/>
      <w:kern w:val="44"/>
      <w:sz w:val="44"/>
    </w:rPr>
  </w:style>
  <w:style w:type="character" w:customStyle="1" w:styleId="39">
    <w:name w:val="标题 2 Char"/>
    <w:basedOn w:val="14"/>
    <w:link w:val="3"/>
    <w:qFormat/>
    <w:uiPriority w:val="0"/>
    <w:rPr>
      <w:rFonts w:ascii="Arial" w:hAnsi="Arial" w:eastAsia="黑体"/>
      <w:b/>
      <w:kern w:val="2"/>
      <w:sz w:val="32"/>
    </w:rPr>
  </w:style>
  <w:style w:type="character" w:customStyle="1" w:styleId="40">
    <w:name w:val="标题 3 Char"/>
    <w:basedOn w:val="14"/>
    <w:link w:val="4"/>
    <w:qFormat/>
    <w:uiPriority w:val="0"/>
    <w:rPr>
      <w:rFonts w:eastAsia="宋体"/>
      <w:b/>
      <w:kern w:val="2"/>
      <w:sz w:val="32"/>
    </w:rPr>
  </w:style>
  <w:style w:type="character" w:customStyle="1" w:styleId="41">
    <w:name w:val="font21"/>
    <w:basedOn w:val="14"/>
    <w:qFormat/>
    <w:uiPriority w:val="0"/>
    <w:rPr>
      <w:rFonts w:ascii="宋体" w:eastAsia="宋体" w:cs="宋体"/>
      <w:color w:val="000000"/>
      <w:sz w:val="20"/>
      <w:szCs w:val="20"/>
      <w:u w:val="none"/>
      <w:lang w:bidi="ar-SA"/>
    </w:rPr>
  </w:style>
  <w:style w:type="character" w:customStyle="1" w:styleId="42">
    <w:name w:val="font31"/>
    <w:basedOn w:val="14"/>
    <w:qFormat/>
    <w:uiPriority w:val="0"/>
    <w:rPr>
      <w:rFonts w:ascii="宋体" w:eastAsia="宋体" w:cs="宋体"/>
      <w:color w:val="000000"/>
      <w:sz w:val="20"/>
      <w:szCs w:val="20"/>
      <w:u w:val="none"/>
      <w:lang w:bidi="ar-SA"/>
    </w:rPr>
  </w:style>
  <w:style w:type="character" w:customStyle="1" w:styleId="43">
    <w:name w:val="日期 Char"/>
    <w:basedOn w:val="14"/>
    <w:link w:val="6"/>
    <w:qFormat/>
    <w:uiPriority w:val="0"/>
    <w:rPr>
      <w:rFonts w:eastAsia="宋体"/>
      <w:kern w:val="2"/>
      <w:sz w:val="21"/>
    </w:rPr>
  </w:style>
  <w:style w:type="character" w:customStyle="1" w:styleId="44">
    <w:name w:val="脚注文本 Char"/>
    <w:basedOn w:val="14"/>
    <w:link w:val="10"/>
    <w:qFormat/>
    <w:uiPriority w:val="0"/>
    <w:rPr>
      <w:rFonts w:eastAsia="宋体"/>
      <w:kern w:val="2"/>
      <w:sz w:val="18"/>
      <w:szCs w:val="18"/>
    </w:rPr>
  </w:style>
  <w:style w:type="character" w:customStyle="1" w:styleId="45">
    <w:name w:val="font71"/>
    <w:basedOn w:val="14"/>
    <w:qFormat/>
    <w:uiPriority w:val="0"/>
    <w:rPr>
      <w:rFonts w:ascii="方正仿宋_GBK" w:hAnsi="方正仿宋_GBK" w:eastAsia="方正仿宋_GBK" w:cs="方正仿宋_GBK"/>
      <w:color w:val="000000"/>
      <w:sz w:val="22"/>
      <w:szCs w:val="22"/>
      <w:u w:val="none"/>
    </w:rPr>
  </w:style>
  <w:style w:type="character" w:customStyle="1" w:styleId="46">
    <w:name w:val="font61"/>
    <w:basedOn w:val="14"/>
    <w:qFormat/>
    <w:uiPriority w:val="0"/>
    <w:rPr>
      <w:rFonts w:ascii="方正书宋_GBK" w:hAnsi="方正书宋_GBK" w:eastAsia="方正书宋_GBK" w:cs="方正书宋_GBK"/>
      <w:b/>
      <w:bCs/>
      <w:color w:val="000000"/>
      <w:sz w:val="22"/>
      <w:szCs w:val="22"/>
      <w:u w:val="none"/>
    </w:rPr>
  </w:style>
  <w:style w:type="character" w:customStyle="1" w:styleId="47">
    <w:name w:val="font81"/>
    <w:basedOn w:val="14"/>
    <w:qFormat/>
    <w:uiPriority w:val="0"/>
    <w:rPr>
      <w:rFonts w:hint="default" w:ascii="方正仿宋_GBK" w:hAnsi="方正仿宋_GBK" w:eastAsia="方正仿宋_GBK" w:cs="方正仿宋_GBK"/>
      <w:color w:val="000000"/>
      <w:sz w:val="22"/>
      <w:szCs w:val="22"/>
      <w:u w:val="none"/>
    </w:rPr>
  </w:style>
  <w:style w:type="character" w:customStyle="1" w:styleId="48">
    <w:name w:val="font91"/>
    <w:basedOn w:val="14"/>
    <w:qFormat/>
    <w:uiPriority w:val="0"/>
    <w:rPr>
      <w:rFonts w:hint="default" w:ascii="方正仿宋_GBK" w:hAnsi="方正仿宋_GBK" w:eastAsia="方正仿宋_GBK" w:cs="方正仿宋_GBK"/>
      <w:b/>
      <w:bCs/>
      <w:color w:val="000000"/>
      <w:sz w:val="22"/>
      <w:szCs w:val="22"/>
      <w:u w:val="none"/>
    </w:rPr>
  </w:style>
  <w:style w:type="character" w:customStyle="1" w:styleId="49">
    <w:name w:val="font121"/>
    <w:basedOn w:val="14"/>
    <w:qFormat/>
    <w:uiPriority w:val="0"/>
    <w:rPr>
      <w:rFonts w:ascii="方正仿宋_GBK" w:hAnsi="方正仿宋_GBK" w:eastAsia="方正仿宋_GBK" w:cs="方正仿宋_GBK"/>
      <w:color w:val="000000"/>
      <w:sz w:val="22"/>
      <w:szCs w:val="22"/>
      <w:u w:val="none"/>
    </w:rPr>
  </w:style>
  <w:style w:type="character" w:customStyle="1" w:styleId="50">
    <w:name w:val="font131"/>
    <w:basedOn w:val="14"/>
    <w:qFormat/>
    <w:uiPriority w:val="0"/>
    <w:rPr>
      <w:rFonts w:hint="default" w:ascii="方正仿宋_GBK" w:hAnsi="方正仿宋_GBK" w:eastAsia="方正仿宋_GBK" w:cs="方正仿宋_GBK"/>
      <w:color w:val="000000"/>
      <w:sz w:val="22"/>
      <w:szCs w:val="22"/>
      <w:u w:val="none"/>
    </w:rPr>
  </w:style>
  <w:style w:type="character" w:customStyle="1" w:styleId="51">
    <w:name w:val="font141"/>
    <w:basedOn w:val="14"/>
    <w:qFormat/>
    <w:uiPriority w:val="0"/>
    <w:rPr>
      <w:rFonts w:hint="default" w:ascii="方正仿宋_GBK" w:hAnsi="方正仿宋_GBK" w:eastAsia="方正仿宋_GBK" w:cs="方正仿宋_GBK"/>
      <w:b/>
      <w:bCs/>
      <w:color w:val="000000"/>
      <w:sz w:val="22"/>
      <w:szCs w:val="22"/>
      <w:u w:val="none"/>
    </w:rPr>
  </w:style>
  <w:style w:type="character" w:customStyle="1" w:styleId="52">
    <w:name w:val="font101"/>
    <w:basedOn w:val="14"/>
    <w:qFormat/>
    <w:uiPriority w:val="0"/>
    <w:rPr>
      <w:rFonts w:hint="eastAsia" w:ascii="宋体" w:hAnsi="宋体" w:eastAsia="宋体" w:cs="宋体"/>
      <w:color w:val="000000"/>
      <w:sz w:val="20"/>
      <w:szCs w:val="20"/>
      <w:u w:val="none"/>
    </w:rPr>
  </w:style>
  <w:style w:type="character" w:customStyle="1" w:styleId="53">
    <w:name w:val="font111"/>
    <w:basedOn w:val="14"/>
    <w:qFormat/>
    <w:uiPriority w:val="0"/>
    <w:rPr>
      <w:rFonts w:hint="default" w:ascii="Times New Roman" w:hAnsi="Times New Roman" w:cs="Times New Roman"/>
      <w:color w:val="000000"/>
      <w:sz w:val="20"/>
      <w:szCs w:val="20"/>
      <w:u w:val="none"/>
    </w:rPr>
  </w:style>
  <w:style w:type="character" w:customStyle="1" w:styleId="54">
    <w:name w:val="font122"/>
    <w:basedOn w:val="14"/>
    <w:qFormat/>
    <w:uiPriority w:val="0"/>
    <w:rPr>
      <w:rFonts w:ascii="方正仿宋_GBK" w:hAnsi="方正仿宋_GBK" w:eastAsia="方正仿宋_GBK" w:cs="方正仿宋_GBK"/>
      <w:color w:val="000000"/>
      <w:sz w:val="22"/>
      <w:szCs w:val="22"/>
      <w:u w:val="none"/>
    </w:rPr>
  </w:style>
  <w:style w:type="character" w:customStyle="1" w:styleId="55">
    <w:name w:val="font112"/>
    <w:basedOn w:val="14"/>
    <w:qFormat/>
    <w:uiPriority w:val="0"/>
    <w:rPr>
      <w:rFonts w:hint="default" w:ascii="Times New Roman" w:hAnsi="Times New Roman" w:cs="Times New Roman"/>
      <w:color w:val="000000"/>
      <w:sz w:val="20"/>
      <w:szCs w:val="20"/>
      <w:u w:val="none"/>
    </w:rPr>
  </w:style>
  <w:style w:type="character" w:customStyle="1" w:styleId="56">
    <w:name w:val="font151"/>
    <w:basedOn w:val="14"/>
    <w:qFormat/>
    <w:uiPriority w:val="0"/>
    <w:rPr>
      <w:rFonts w:hint="default" w:ascii="方正仿宋_GBK" w:hAnsi="方正仿宋_GBK" w:eastAsia="方正仿宋_GBK" w:cs="方正仿宋_GBK"/>
      <w:color w:val="000000"/>
      <w:sz w:val="22"/>
      <w:szCs w:val="22"/>
      <w:u w:val="none"/>
    </w:rPr>
  </w:style>
  <w:style w:type="character" w:customStyle="1" w:styleId="57">
    <w:name w:val="font41"/>
    <w:basedOn w:val="14"/>
    <w:qFormat/>
    <w:uiPriority w:val="0"/>
    <w:rPr>
      <w:rFonts w:hint="default" w:ascii="Times New Roman" w:hAnsi="Times New Roman" w:cs="Times New Roman"/>
      <w:b/>
      <w:bCs/>
      <w:color w:val="000000"/>
      <w:sz w:val="22"/>
      <w:szCs w:val="22"/>
      <w:u w:val="none"/>
    </w:rPr>
  </w:style>
  <w:style w:type="character" w:customStyle="1" w:styleId="58">
    <w:name w:val="font161"/>
    <w:basedOn w:val="14"/>
    <w:qFormat/>
    <w:uiPriority w:val="0"/>
    <w:rPr>
      <w:rFonts w:hint="default" w:ascii="方正仿宋_GBK" w:hAnsi="方正仿宋_GBK" w:eastAsia="方正仿宋_GBK" w:cs="方正仿宋_GBK"/>
      <w:color w:val="000000"/>
      <w:sz w:val="22"/>
      <w:szCs w:val="22"/>
      <w:u w:val="none"/>
    </w:rPr>
  </w:style>
  <w:style w:type="character" w:customStyle="1" w:styleId="59">
    <w:name w:val="font51"/>
    <w:basedOn w:val="14"/>
    <w:qFormat/>
    <w:uiPriority w:val="0"/>
    <w:rPr>
      <w:rFonts w:hint="default" w:ascii="Times New Roman" w:hAnsi="Times New Roman" w:cs="Times New Roman"/>
      <w:b/>
      <w:bCs/>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8" Type="http://schemas.openxmlformats.org/officeDocument/2006/relationships/fontTable" Target="fontTable.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2024-02-19T16:18:53Z</dcterms:created>
  <dcterms:modified xsi:type="dcterms:W3CDTF">2024-02-19T08:18:53Z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2024-02-19T16:18:53Z</dcterms:created>
  <dcterms:modified xsi:type="dcterms:W3CDTF">2024-02-19T08:18:53Z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2024-02-19T16:18:52Z</dcterms:created>
  <dcterms:modified xsi:type="dcterms:W3CDTF">2024-02-19T08:18:52Z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2024-02-19T16:18:52Z</dcterms:created>
  <dcterms:modified xsi:type="dcterms:W3CDTF">2024-02-19T08:18:52Z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2024-02-19T16:18:54Z</dcterms:created>
  <dcterms:modified xsi:type="dcterms:W3CDTF">2024-02-19T08:18:54Z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2024-02-19T16:18:52Z</dcterms:created>
  <dcterms:modified xsi:type="dcterms:W3CDTF">2024-02-19T08:18:52Z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2024-02-19T16:18:49Z</dcterms:created>
  <dcterms:modified xsi:type="dcterms:W3CDTF">2024-02-19T08:18:49Z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2024-02-19T16:18:53Z</dcterms:created>
  <dcterms:modified xsi:type="dcterms:W3CDTF">2024-02-19T08:18:53Z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2024-02-19T16:18:54Z</dcterms:created>
  <dcterms:modified xsi:type="dcterms:W3CDTF">2024-02-19T08:18:54Z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2024-02-19T16:18:53Z</dcterms:created>
  <dcterms:modified xsi:type="dcterms:W3CDTF">2024-02-19T08:18:53Z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2024-02-19T16:18:52Z</dcterms:created>
  <dcterms:modified xsi:type="dcterms:W3CDTF">2024-02-19T08:18:52Z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D4774865-B743-4B10-8A81-6376B3C056D5}">
  <ds:schemaRefs/>
</ds:datastoreItem>
</file>

<file path=customXml/itemProps10.xml><?xml version="1.0" encoding="utf-8"?>
<ds:datastoreItem xmlns:ds="http://schemas.openxmlformats.org/officeDocument/2006/customXml" ds:itemID="{F10AFA5F-8285-4C84-8AD7-40EEEDDA18D4}">
  <ds:schemaRefs/>
</ds:datastoreItem>
</file>

<file path=customXml/itemProps11.xml><?xml version="1.0" encoding="utf-8"?>
<ds:datastoreItem xmlns:ds="http://schemas.openxmlformats.org/officeDocument/2006/customXml" ds:itemID="{9BA4627D-51E2-414D-BAD3-6FA7A394E770}">
  <ds:schemaRefs/>
</ds:datastoreItem>
</file>

<file path=customXml/itemProps12.xml><?xml version="1.0" encoding="utf-8"?>
<ds:datastoreItem xmlns:ds="http://schemas.openxmlformats.org/officeDocument/2006/customXml" ds:itemID="{590DCAF1-D4C8-4C79-9E84-3D6D21FCA2DF}">
  <ds:schemaRefs/>
</ds:datastoreItem>
</file>

<file path=customXml/itemProps13.xml><?xml version="1.0" encoding="utf-8"?>
<ds:datastoreItem xmlns:ds="http://schemas.openxmlformats.org/officeDocument/2006/customXml" ds:itemID="{71BA1E49-5683-4584-B508-59F594FA0C8F}">
  <ds:schemaRefs/>
</ds:datastoreItem>
</file>

<file path=customXml/itemProps14.xml><?xml version="1.0" encoding="utf-8"?>
<ds:datastoreItem xmlns:ds="http://schemas.openxmlformats.org/officeDocument/2006/customXml" ds:itemID="{7DFE330B-1A60-4E85-8AB8-8E4F9E0355E8}">
  <ds:schemaRefs/>
</ds:datastoreItem>
</file>

<file path=customXml/itemProps15.xml><?xml version="1.0" encoding="utf-8"?>
<ds:datastoreItem xmlns:ds="http://schemas.openxmlformats.org/officeDocument/2006/customXml" ds:itemID="{78E5979C-97E7-47D5-AEA1-CDD50C40EA94}">
  <ds:schemaRefs/>
</ds:datastoreItem>
</file>

<file path=customXml/itemProps16.xml><?xml version="1.0" encoding="utf-8"?>
<ds:datastoreItem xmlns:ds="http://schemas.openxmlformats.org/officeDocument/2006/customXml" ds:itemID="{7F00D4D5-0020-496D-B59A-407FFB73482C}">
  <ds:schemaRefs/>
</ds:datastoreItem>
</file>

<file path=customXml/itemProps17.xml><?xml version="1.0" encoding="utf-8"?>
<ds:datastoreItem xmlns:ds="http://schemas.openxmlformats.org/officeDocument/2006/customXml" ds:itemID="{1D749E7D-BFD6-40F9-9DEC-CECC0DB51434}">
  <ds:schemaRefs/>
</ds:datastoreItem>
</file>

<file path=customXml/itemProps18.xml><?xml version="1.0" encoding="utf-8"?>
<ds:datastoreItem xmlns:ds="http://schemas.openxmlformats.org/officeDocument/2006/customXml" ds:itemID="{81DA4214-09F5-421A-A4A5-59DE7E3A667B}">
  <ds:schemaRefs/>
</ds:datastoreItem>
</file>

<file path=customXml/itemProps19.xml><?xml version="1.0" encoding="utf-8"?>
<ds:datastoreItem xmlns:ds="http://schemas.openxmlformats.org/officeDocument/2006/customXml" ds:itemID="{A7A8A8C2-3ADD-439A-A4A3-9D4D936376F6}">
  <ds:schemaRefs/>
</ds:datastoreItem>
</file>

<file path=customXml/itemProps2.xml><?xml version="1.0" encoding="utf-8"?>
<ds:datastoreItem xmlns:ds="http://schemas.openxmlformats.org/officeDocument/2006/customXml" ds:itemID="{572390BA-D9ED-4209-B823-78702ED00FD9}">
  <ds:schemaRefs/>
</ds:datastoreItem>
</file>

<file path=customXml/itemProps20.xml><?xml version="1.0" encoding="utf-8"?>
<ds:datastoreItem xmlns:ds="http://schemas.openxmlformats.org/officeDocument/2006/customXml" ds:itemID="{F9FF386D-A4B0-47CD-B297-404825FA2112}">
  <ds:schemaRefs/>
</ds:datastoreItem>
</file>

<file path=customXml/itemProps21.xml><?xml version="1.0" encoding="utf-8"?>
<ds:datastoreItem xmlns:ds="http://schemas.openxmlformats.org/officeDocument/2006/customXml" ds:itemID="{A71FD7F5-5F4B-4135-9681-FF39299F7340}">
  <ds:schemaRefs/>
</ds:datastoreItem>
</file>

<file path=customXml/itemProps22.xml><?xml version="1.0" encoding="utf-8"?>
<ds:datastoreItem xmlns:ds="http://schemas.openxmlformats.org/officeDocument/2006/customXml" ds:itemID="{61205465-A135-41B9-9E3B-2CB107CB49D0}">
  <ds:schemaRefs/>
</ds:datastoreItem>
</file>

<file path=customXml/itemProps3.xml><?xml version="1.0" encoding="utf-8"?>
<ds:datastoreItem xmlns:ds="http://schemas.openxmlformats.org/officeDocument/2006/customXml" ds:itemID="{404EA866-08CA-4D86-B2E5-CCA192ED2CDC}">
  <ds:schemaRefs/>
</ds:datastoreItem>
</file>

<file path=customXml/itemProps4.xml><?xml version="1.0" encoding="utf-8"?>
<ds:datastoreItem xmlns:ds="http://schemas.openxmlformats.org/officeDocument/2006/customXml" ds:itemID="{8576DE6E-C1A6-442A-A85F-68C8D0DB18A9}">
  <ds:schemaRefs/>
</ds:datastoreItem>
</file>

<file path=customXml/itemProps5.xml><?xml version="1.0" encoding="utf-8"?>
<ds:datastoreItem xmlns:ds="http://schemas.openxmlformats.org/officeDocument/2006/customXml" ds:itemID="{BBE63375-195F-4526-8474-764936AD7129}">
  <ds:schemaRefs/>
</ds:datastoreItem>
</file>

<file path=customXml/itemProps6.xml><?xml version="1.0" encoding="utf-8"?>
<ds:datastoreItem xmlns:ds="http://schemas.openxmlformats.org/officeDocument/2006/customXml" ds:itemID="{21089136-BA2F-4D54-89E4-0D9D0064AE77}">
  <ds:schemaRefs/>
</ds:datastoreItem>
</file>

<file path=customXml/itemProps7.xml><?xml version="1.0" encoding="utf-8"?>
<ds:datastoreItem xmlns:ds="http://schemas.openxmlformats.org/officeDocument/2006/customXml" ds:itemID="{20FE05CD-3C79-4E7A-9AD2-5F5B52562D10}">
  <ds:schemaRefs/>
</ds:datastoreItem>
</file>

<file path=customXml/itemProps8.xml><?xml version="1.0" encoding="utf-8"?>
<ds:datastoreItem xmlns:ds="http://schemas.openxmlformats.org/officeDocument/2006/customXml" ds:itemID="{C6EC87E6-5E97-42CF-B7A6-6227396A9F22}">
  <ds:schemaRefs/>
</ds:datastoreItem>
</file>

<file path=customXml/itemProps9.xml><?xml version="1.0" encoding="utf-8"?>
<ds:datastoreItem xmlns:ds="http://schemas.openxmlformats.org/officeDocument/2006/customXml" ds:itemID="{6AAC531E-5310-43E4-8F09-A6BF4FDB056F}">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28</Pages>
  <Words>9732</Words>
  <Characters>10930</Characters>
  <Lines>41</Lines>
  <Paragraphs>11</Paragraphs>
  <TotalTime>0</TotalTime>
  <ScaleCrop>false</ScaleCrop>
  <LinksUpToDate>false</LinksUpToDate>
  <CharactersWithSpaces>11216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2024-02-19T16:18:00Z</dcterms:created>
  <dc:creator>Lenovo</dc:creator>
  <cp:lastModifiedBy>Administrator</cp:lastModifiedBy>
  <dcterms:modified xsi:type="dcterms:W3CDTF">2024-11-20T01:15:32Z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304FF04DC384457FBBB1C0BCE213938F_13</vt:lpwstr>
  </property>
</Properties>
</file>