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2021</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r>
        <w:fldChar w:fldCharType="end"/>
      </w:r>
    </w:p>
    <w:p/>
    <w:p/>
    <w:p/>
    <w:p/>
    <w:p/>
    <w:p/>
    <w:p/>
    <w:p/>
    <w:p/>
    <w:p/>
    <w:p/>
    <w:p/>
    <w:p/>
    <w:tbl>
      <w:tblPr>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14"/>
        <w:gridCol w:w="4632"/>
        <w:gridCol w:w="2422"/>
        <w:gridCol w:w="449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5" w:hRule="atLeast"/>
        </w:trPr>
        <w:tc>
          <w:tcPr>
            <w:tcW w:w="1476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1" w:hRule="atLeast"/>
        </w:trPr>
        <w:tc>
          <w:tcPr>
            <w:tcW w:w="806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预算单位编码及名称：[302]中国人民政治协商会议唐山市丰南区委员会办公室</w:t>
            </w:r>
          </w:p>
        </w:tc>
        <w:tc>
          <w:tcPr>
            <w:tcW w:w="4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10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70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669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4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1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4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r>
    </w:tbl>
    <w:p/>
    <w:p/>
    <w:p/>
    <w:p/>
    <w:p/>
    <w:p/>
    <w:p/>
    <w:p/>
    <w:p/>
    <w:tbl>
      <w:tblPr>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1"/>
        <w:gridCol w:w="912"/>
        <w:gridCol w:w="3096"/>
        <w:gridCol w:w="952"/>
        <w:gridCol w:w="1061"/>
        <w:gridCol w:w="1138"/>
        <w:gridCol w:w="961"/>
        <w:gridCol w:w="961"/>
        <w:gridCol w:w="964"/>
        <w:gridCol w:w="961"/>
        <w:gridCol w:w="961"/>
        <w:gridCol w:w="959"/>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4640" w:type="dxa"/>
            <w:gridSpan w:val="13"/>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073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预算单位编码及名称：[302]中国人民政治协商会议唐山市丰南区委员会办公室</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8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w:t>
            </w:r>
          </w:p>
        </w:tc>
        <w:tc>
          <w:tcPr>
            <w:tcW w:w="9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807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w:t>
            </w:r>
          </w:p>
        </w:tc>
        <w:tc>
          <w:tcPr>
            <w:tcW w:w="9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2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9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财政专户收入</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c>
          <w:tcPr>
            <w:tcW w:w="9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
    <w:tbl>
      <w:tblPr>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5"/>
        <w:gridCol w:w="2024"/>
        <w:gridCol w:w="3431"/>
        <w:gridCol w:w="1654"/>
        <w:gridCol w:w="1578"/>
        <w:gridCol w:w="1561"/>
        <w:gridCol w:w="1141"/>
        <w:gridCol w:w="1140"/>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3" w:hRule="atLeast"/>
        </w:trPr>
        <w:tc>
          <w:tcPr>
            <w:tcW w:w="14560"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957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预算单位编码及名称：[302]中国人民政治协商会议唐山市丰南区委员会办公室</w:t>
            </w:r>
          </w:p>
        </w:tc>
        <w:tc>
          <w:tcPr>
            <w:tcW w:w="27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2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54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6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5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5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1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114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6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
    <w:tbl>
      <w:tblPr>
        <w:tblW w:w="14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03"/>
        <w:gridCol w:w="3351"/>
        <w:gridCol w:w="1203"/>
        <w:gridCol w:w="3449"/>
        <w:gridCol w:w="1203"/>
        <w:gridCol w:w="1340"/>
        <w:gridCol w:w="1393"/>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3" w:hRule="atLeast"/>
        </w:trPr>
        <w:tc>
          <w:tcPr>
            <w:tcW w:w="1466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92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预算单位编码及名称：[302]中国人民政治协商会议唐山市丰南区委员会办公室</w:t>
            </w:r>
          </w:p>
        </w:tc>
        <w:tc>
          <w:tcPr>
            <w:tcW w:w="25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9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12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5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890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8" w:hRule="atLeast"/>
        </w:trPr>
        <w:tc>
          <w:tcPr>
            <w:tcW w:w="12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c>
          <w:tcPr>
            <w:tcW w:w="34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政府性基金预算财政拨款</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3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
    <w:p/>
    <w:p/>
    <w:p/>
    <w:p/>
    <w:p/>
    <w:tbl>
      <w:tblPr>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33"/>
        <w:gridCol w:w="1486"/>
        <w:gridCol w:w="3815"/>
        <w:gridCol w:w="1527"/>
        <w:gridCol w:w="1936"/>
        <w:gridCol w:w="1793"/>
        <w:gridCol w:w="1233"/>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1468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2" w:hRule="atLeast"/>
        </w:trPr>
        <w:tc>
          <w:tcPr>
            <w:tcW w:w="999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预算单位编码及名称：[302]中国人民政治协商会议唐山市丰南区委员会办公室</w:t>
            </w:r>
          </w:p>
        </w:tc>
        <w:tc>
          <w:tcPr>
            <w:tcW w:w="302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12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53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496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12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7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c>
          <w:tcPr>
            <w:tcW w:w="16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4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7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6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
    <w:tbl>
      <w:tblPr>
        <w:tblW w:w="14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72"/>
        <w:gridCol w:w="2374"/>
        <w:gridCol w:w="4167"/>
        <w:gridCol w:w="1958"/>
        <w:gridCol w:w="2357"/>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3" w:hRule="atLeast"/>
        </w:trPr>
        <w:tc>
          <w:tcPr>
            <w:tcW w:w="1462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997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预算单位编码及名称：[302]中国人民政治协商会议唐山市丰南区委员会办公室</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5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支出部门经济分类科目</w:t>
            </w:r>
          </w:p>
        </w:tc>
        <w:tc>
          <w:tcPr>
            <w:tcW w:w="66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4"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4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14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306.33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306.33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
    <w:p/>
    <w:p/>
    <w:p/>
    <w:p/>
    <w:p/>
    <w:p/>
    <w:p/>
    <w:p/>
    <w:p/>
    <w:p/>
    <w:p/>
    <w:p/>
    <w:p/>
    <w:p/>
    <w:p>
      <w:pPr>
        <w:spacing w:line="300" w:lineRule="exact"/>
        <w:jc w:val="left"/>
        <w:outlineLvl w:val="0"/>
      </w:pPr>
    </w:p>
    <w:p>
      <w:pPr>
        <w:spacing w:line="300" w:lineRule="exact"/>
        <w:jc w:val="left"/>
        <w:outlineLvl w:val="0"/>
      </w:pP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tbl>
      <w:tblPr>
        <w:tblStyle w:val="12"/>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3458"/>
        <w:gridCol w:w="3157"/>
        <w:gridCol w:w="3155"/>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454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77" w:type="dxa"/>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7"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3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无政府基金预算财政拨款预算，空表列示。</w:t>
            </w:r>
          </w:p>
        </w:tc>
      </w:tr>
    </w:tbl>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bookmarkStart w:id="10" w:name="_GoBack"/>
      <w:bookmarkEnd w:id="10"/>
    </w:p>
    <w:p>
      <w:pPr>
        <w:bidi w:val="0"/>
        <w:rPr>
          <w:lang w:val="en-US" w:eastAsia="uk-UA"/>
        </w:rPr>
      </w:pPr>
    </w:p>
    <w:p>
      <w:pPr>
        <w:bidi w:val="0"/>
        <w:rPr>
          <w:lang w:val="en-US" w:eastAsia="uk-UA"/>
        </w:rPr>
      </w:pPr>
    </w:p>
    <w:p>
      <w:pPr>
        <w:bidi w:val="0"/>
        <w:rPr>
          <w:lang w:val="en-US" w:eastAsia="uk-UA"/>
        </w:rPr>
      </w:pPr>
    </w:p>
    <w:p>
      <w:pPr>
        <w:bidi w:val="0"/>
        <w:jc w:val="left"/>
        <w:rPr>
          <w:lang w:val="en-US" w:eastAsia="uk-UA"/>
        </w:rPr>
        <w:sectPr>
          <w:pgSz w:w="16839" w:h="11907" w:orient="landscape"/>
          <w:pgMar w:top="794" w:right="1020" w:bottom="794" w:left="1020" w:header="851" w:footer="992" w:gutter="0"/>
          <w:cols w:space="425" w:num="1"/>
          <w:docGrid w:type="lines" w:linePitch="312" w:charSpace="0"/>
        </w:sectPr>
      </w:pPr>
    </w:p>
    <w:p/>
    <w:tbl>
      <w:tblPr>
        <w:tblStyle w:val="12"/>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3562"/>
        <w:gridCol w:w="3150"/>
        <w:gridCol w:w="2971"/>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45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0"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无国有资本经营预算财政拨款预算，空表列示。</w:t>
            </w:r>
          </w:p>
        </w:tc>
      </w:tr>
    </w:tbl>
    <w:p/>
    <w:p/>
    <w:p/>
    <w:p/>
    <w:p/>
    <w:p/>
    <w:p/>
    <w:p/>
    <w:p/>
    <w:p/>
    <w:p/>
    <w:p/>
    <w:p/>
    <w:p/>
    <w:p/>
    <w:p/>
    <w:p/>
    <w:p/>
    <w:p/>
    <w:tbl>
      <w:tblPr>
        <w:tblStyle w:val="12"/>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2"/>
        <w:gridCol w:w="2668"/>
        <w:gridCol w:w="1092"/>
        <w:gridCol w:w="2146"/>
        <w:gridCol w:w="2061"/>
        <w:gridCol w:w="2655"/>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7" w:hRule="atLeast"/>
        </w:trPr>
        <w:tc>
          <w:tcPr>
            <w:tcW w:w="143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319"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部门编码及名称：[302]中国人民政治协商会议唐山市丰南区委员会办公室</w:t>
            </w:r>
          </w:p>
        </w:tc>
        <w:tc>
          <w:tcPr>
            <w:tcW w:w="265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4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0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
      <w:pPr>
        <w:sectPr>
          <w:pgSz w:w="16840" w:h="11900" w:orient="landscape"/>
          <w:pgMar w:top="1587" w:right="1134" w:bottom="1361" w:left="1134" w:header="720" w:footer="720" w:gutter="0"/>
          <w:pgNumType w:start="1"/>
          <w:cols w:space="720" w:num="1"/>
        </w:sectPr>
      </w:pPr>
    </w:p>
    <w:p>
      <w:pPr>
        <w:jc w:val="center"/>
        <w:rPr>
          <w:rFonts w:hint="default"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中国人民政治协商会议唐山市丰南区委员会办公室</w:t>
      </w:r>
    </w:p>
    <w:p>
      <w:pPr>
        <w:jc w:val="center"/>
      </w:pPr>
      <w:r>
        <w:rPr>
          <w:rFonts w:hint="eastAsia" w:ascii="方正小标宋_GBK" w:hAnsi="方正小标宋_GBK" w:eastAsia="方正小标宋_GBK" w:cs="方正小标宋_GBK"/>
          <w:color w:val="000000"/>
          <w:sz w:val="44"/>
          <w:lang w:val="en-US" w:eastAsia="zh-CN"/>
        </w:rPr>
        <w:t>2021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中国人民政治协商会议唐山市丰南区委员会办2021</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pStyle w:val="29"/>
        <w:rPr>
          <w:rFonts w:hint="eastAsia"/>
          <w:lang w:val="en-US" w:eastAsia="zh-CN"/>
        </w:rPr>
      </w:pPr>
      <w:r>
        <w:rPr>
          <w:rFonts w:hint="eastAsia"/>
          <w:lang w:val="en-US" w:eastAsia="zh-CN"/>
        </w:rPr>
        <w:t>(一)政协唐山市丰南区委员会的主要职能是政治协商、民主监督、参政议政。</w:t>
      </w:r>
    </w:p>
    <w:p>
      <w:pPr>
        <w:pStyle w:val="29"/>
        <w:rPr>
          <w:rFonts w:hint="eastAsia"/>
          <w:lang w:val="en-US" w:eastAsia="zh-CN"/>
        </w:rPr>
      </w:pPr>
      <w:r>
        <w:rPr>
          <w:rFonts w:hint="eastAsia"/>
          <w:lang w:val="en-US" w:eastAsia="zh-CN"/>
        </w:rPr>
        <w:t>(二)负责区政协全体会议、常务委员会会议、主席会议、党组会议、专门委员会会议、委员专题座谈会以及其他重要会议、活动的文稿起草、组织和服务工作。</w:t>
      </w:r>
    </w:p>
    <w:p>
      <w:pPr>
        <w:pStyle w:val="29"/>
        <w:rPr>
          <w:rFonts w:hint="eastAsia"/>
          <w:lang w:val="en-US" w:eastAsia="zh-CN"/>
        </w:rPr>
      </w:pPr>
      <w:r>
        <w:rPr>
          <w:rFonts w:hint="eastAsia"/>
          <w:lang w:val="en-US" w:eastAsia="zh-CN"/>
        </w:rPr>
        <w:t>(三)负责区政协全体会议、常务委员会会议、主席会议决议和决定事项的组织实施工作。</w:t>
      </w:r>
    </w:p>
    <w:p>
      <w:pPr>
        <w:pStyle w:val="29"/>
        <w:rPr>
          <w:rFonts w:hint="eastAsia"/>
          <w:lang w:val="en-US" w:eastAsia="zh-CN"/>
        </w:rPr>
      </w:pPr>
      <w:r>
        <w:rPr>
          <w:rFonts w:hint="eastAsia"/>
          <w:lang w:val="en-US" w:eastAsia="zh-CN"/>
        </w:rPr>
        <w:t>(四)负责区政协年度重点课题调研和相关专委会的调研，并做好调研成果的转化跟踪工作；收集整理、综合、分析和报送反馈社情民意的信息及各界人士的意见、建议。</w:t>
      </w:r>
    </w:p>
    <w:p>
      <w:pPr>
        <w:pStyle w:val="29"/>
        <w:rPr>
          <w:rFonts w:hint="eastAsia"/>
          <w:lang w:val="en-US" w:eastAsia="zh-CN"/>
        </w:rPr>
      </w:pPr>
      <w:r>
        <w:rPr>
          <w:rFonts w:hint="eastAsia"/>
          <w:lang w:val="en-US" w:eastAsia="zh-CN"/>
        </w:rPr>
        <w:t>(五)负责研究统一战线和人民政协的理论、政策。承担区政协对内对外宣传的策划、协调、联络和新闻报道工作。加强同委员的联系，大力宣传委员的先进事迹，扩大政协委员的影响。</w:t>
      </w:r>
    </w:p>
    <w:p>
      <w:pPr>
        <w:pStyle w:val="29"/>
        <w:rPr>
          <w:rFonts w:hint="eastAsia"/>
          <w:lang w:val="en-US" w:eastAsia="zh-CN"/>
        </w:rPr>
      </w:pPr>
      <w:r>
        <w:rPr>
          <w:rFonts w:hint="eastAsia"/>
          <w:lang w:val="en-US" w:eastAsia="zh-CN"/>
        </w:rPr>
        <w:t>(六)报送政协组织和委员履行职能形成的调研报告、视察报告、大会发言、建议案；处理政协委员和人民群众的来信、来访。</w:t>
      </w:r>
    </w:p>
    <w:p>
      <w:pPr>
        <w:pStyle w:val="29"/>
        <w:rPr>
          <w:rFonts w:hint="eastAsia"/>
          <w:lang w:val="en-US" w:eastAsia="zh-CN"/>
        </w:rPr>
      </w:pPr>
      <w:r>
        <w:rPr>
          <w:rFonts w:hint="eastAsia"/>
          <w:lang w:val="en-US" w:eastAsia="zh-CN"/>
        </w:rPr>
        <w:t>(七)负责区政协委员管理和省、市政协委员服务。组织委员学习政治理论和政协业务知识，提高委员参政议政能力。</w:t>
      </w:r>
    </w:p>
    <w:p>
      <w:pPr>
        <w:pStyle w:val="29"/>
        <w:rPr>
          <w:rFonts w:hint="eastAsia"/>
          <w:lang w:val="en-US" w:eastAsia="zh-CN"/>
        </w:rPr>
      </w:pPr>
      <w:r>
        <w:rPr>
          <w:rFonts w:hint="eastAsia"/>
          <w:lang w:val="en-US" w:eastAsia="zh-CN"/>
        </w:rPr>
        <w:t>(八)负责区政协委员视察、调研、学习等活动的联络和组织服务工作，听取并整理他们对我区经济社会发展等方面的意见和建议，为区委、区政府决策提供参考。</w:t>
      </w:r>
    </w:p>
    <w:p>
      <w:pPr>
        <w:pStyle w:val="29"/>
        <w:rPr>
          <w:rFonts w:hint="eastAsia"/>
          <w:lang w:val="en-US" w:eastAsia="zh-CN"/>
        </w:rPr>
      </w:pPr>
      <w:r>
        <w:rPr>
          <w:rFonts w:hint="eastAsia"/>
          <w:lang w:val="en-US" w:eastAsia="zh-CN"/>
        </w:rPr>
        <w:t>(九)负责政协提案的征集、初审、交办和办理工作。</w:t>
      </w:r>
    </w:p>
    <w:p>
      <w:pPr>
        <w:pStyle w:val="29"/>
        <w:rPr>
          <w:rFonts w:hint="eastAsia"/>
          <w:lang w:val="en-US" w:eastAsia="zh-CN"/>
        </w:rPr>
      </w:pPr>
      <w:r>
        <w:rPr>
          <w:rFonts w:hint="eastAsia"/>
          <w:lang w:val="en-US" w:eastAsia="zh-CN"/>
        </w:rPr>
        <w:t>(十)负责文史资料的征集、整理、研究、出版工作。</w:t>
      </w:r>
    </w:p>
    <w:p>
      <w:pPr>
        <w:pStyle w:val="29"/>
        <w:rPr>
          <w:rFonts w:hint="eastAsia"/>
          <w:lang w:val="en-US" w:eastAsia="zh-CN"/>
        </w:rPr>
      </w:pPr>
      <w:r>
        <w:rPr>
          <w:rFonts w:hint="eastAsia"/>
          <w:lang w:val="en-US" w:eastAsia="zh-CN"/>
        </w:rPr>
        <w:t>（十一）与有关部门配合，开展祖国统一联谊活动和民族宗教工作。</w:t>
      </w:r>
    </w:p>
    <w:p>
      <w:pPr>
        <w:pStyle w:val="29"/>
        <w:rPr>
          <w:rFonts w:hint="eastAsia"/>
          <w:lang w:val="en-US" w:eastAsia="zh-CN"/>
        </w:rPr>
      </w:pPr>
      <w:r>
        <w:rPr>
          <w:rFonts w:hint="eastAsia"/>
          <w:lang w:val="en-US" w:eastAsia="zh-CN"/>
        </w:rPr>
        <w:t>（十二）负责完区委、区政府部署的阶段性、临时性任务。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rPr>
                <w:rFonts w:hint="default" w:eastAsia="方正书宋_GBK"/>
                <w:lang w:val="en-US" w:eastAsia="zh-CN"/>
              </w:rPr>
            </w:pPr>
            <w:r>
              <w:rPr>
                <w:rFonts w:hint="eastAsia"/>
                <w:lang w:val="en-US" w:eastAsia="zh-CN"/>
              </w:rPr>
              <w:t>中国人民政治协商会议唐山市丰南区委员会办公室</w:t>
            </w:r>
          </w:p>
        </w:tc>
        <w:tc>
          <w:tcPr>
            <w:tcW w:w="1843" w:type="dxa"/>
            <w:vAlign w:val="center"/>
          </w:tcPr>
          <w:p>
            <w:pPr>
              <w:pStyle w:val="23"/>
            </w:pPr>
            <w:r>
              <w:t>行政</w:t>
            </w:r>
          </w:p>
        </w:tc>
        <w:tc>
          <w:tcPr>
            <w:tcW w:w="2126" w:type="dxa"/>
            <w:vAlign w:val="center"/>
          </w:tcPr>
          <w:p>
            <w:pPr>
              <w:pStyle w:val="23"/>
              <w:rPr>
                <w:rFonts w:hint="eastAsia" w:eastAsia="方正书宋_GBK"/>
                <w:lang w:eastAsia="zh-CN"/>
              </w:rPr>
            </w:pPr>
            <w:r>
              <w:rPr>
                <w:rFonts w:hint="eastAsia"/>
                <w:lang w:val="en-US" w:eastAsia="zh-CN"/>
              </w:rPr>
              <w:t>县处级</w:t>
            </w:r>
          </w:p>
        </w:tc>
        <w:tc>
          <w:tcPr>
            <w:tcW w:w="3827" w:type="dxa"/>
            <w:vAlign w:val="center"/>
          </w:tcPr>
          <w:p>
            <w:pPr>
              <w:pStyle w:val="23"/>
            </w:pPr>
            <w:r>
              <w:t>财政拨款</w:t>
            </w:r>
          </w:p>
        </w:tc>
      </w:tr>
    </w:tbl>
    <w:p>
      <w:pPr>
        <w:spacing w:before="10" w:after="10" w:line="360" w:lineRule="auto"/>
        <w:ind w:firstLine="640" w:firstLineChars="200"/>
        <w:outlineLvl w:val="2"/>
      </w:pPr>
      <w:bookmarkStart w:id="1" w:name="_Toc_3_3_0000000011"/>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w:t>
      </w:r>
      <w:r>
        <w:rPr>
          <w:rFonts w:hint="eastAsia"/>
          <w:lang w:val="en-US" w:eastAsia="zh-CN"/>
        </w:rPr>
        <w:t>中国人民政治协商会议唐山市丰南区委员会办公室</w:t>
      </w:r>
      <w:r>
        <w:t>机关及所属事业单位的收支包含在部门预算中。</w:t>
      </w:r>
    </w:p>
    <w:p>
      <w:pPr>
        <w:pStyle w:val="28"/>
      </w:pPr>
    </w:p>
    <w:p>
      <w:pPr>
        <w:pStyle w:val="28"/>
      </w:pPr>
    </w:p>
    <w:p>
      <w:pPr>
        <w:pStyle w:val="28"/>
      </w:pPr>
      <w:r>
        <w:t>1、收入说明</w:t>
      </w:r>
    </w:p>
    <w:p>
      <w:pPr>
        <w:pStyle w:val="28"/>
      </w:pPr>
      <w:r>
        <w:t>反映本部门当年全部收入。</w:t>
      </w:r>
      <w:r>
        <w:rPr>
          <w:rFonts w:hint="eastAsia"/>
          <w:lang w:val="en-US" w:eastAsia="zh-CN"/>
        </w:rPr>
        <w:t>2021</w:t>
      </w:r>
      <w:r>
        <w:t>年预算收入</w:t>
      </w:r>
      <w:r>
        <w:rPr>
          <w:rFonts w:hint="eastAsia"/>
          <w:lang w:val="en-US" w:eastAsia="zh-CN"/>
        </w:rPr>
        <w:t>536.41</w:t>
      </w:r>
      <w:r>
        <w:t>万元，其中：一般公共预算收入</w:t>
      </w:r>
      <w:r>
        <w:rPr>
          <w:rFonts w:hint="eastAsia"/>
          <w:lang w:val="en-US" w:eastAsia="zh-CN"/>
        </w:rPr>
        <w:t>536.41</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val="en-US" w:eastAsia="zh-CN"/>
        </w:rPr>
        <w:t>中国人民政治协商会议唐山市丰南区委员会办公室</w:t>
      </w:r>
      <w:r>
        <w:t>年度部门预算中支出预算的总体情况。</w:t>
      </w:r>
      <w:r>
        <w:rPr>
          <w:rFonts w:hint="eastAsia"/>
          <w:lang w:val="en-US" w:eastAsia="zh-CN"/>
        </w:rPr>
        <w:t>2021</w:t>
      </w:r>
      <w:r>
        <w:t>年支出预算</w:t>
      </w:r>
      <w:r>
        <w:rPr>
          <w:rFonts w:hint="eastAsia"/>
          <w:lang w:val="en-US" w:eastAsia="zh-CN"/>
        </w:rPr>
        <w:t>536.41</w:t>
      </w:r>
      <w:r>
        <w:t>万元，其中基本支出</w:t>
      </w:r>
      <w:r>
        <w:rPr>
          <w:rFonts w:hint="eastAsia"/>
          <w:lang w:val="en-US" w:eastAsia="zh-CN"/>
        </w:rPr>
        <w:t>410.16</w:t>
      </w:r>
      <w:r>
        <w:t>万元，包括人员经费</w:t>
      </w:r>
      <w:r>
        <w:rPr>
          <w:rFonts w:hint="eastAsia"/>
          <w:lang w:val="en-US" w:eastAsia="zh-CN"/>
        </w:rPr>
        <w:t>340.84</w:t>
      </w:r>
      <w:r>
        <w:t>万元和日常公用经费</w:t>
      </w:r>
      <w:r>
        <w:rPr>
          <w:rFonts w:hint="eastAsia"/>
          <w:lang w:val="en-US" w:eastAsia="zh-CN"/>
        </w:rPr>
        <w:t>69.32</w:t>
      </w:r>
      <w:r>
        <w:t>万元；项目支出</w:t>
      </w:r>
      <w:r>
        <w:rPr>
          <w:rFonts w:hint="eastAsia"/>
          <w:lang w:val="en-US" w:eastAsia="zh-CN"/>
        </w:rPr>
        <w:t>126.25</w:t>
      </w:r>
      <w:r>
        <w:t>万元，主要为</w:t>
      </w:r>
      <w:r>
        <w:rPr>
          <w:rFonts w:hint="eastAsia"/>
          <w:lang w:val="en-US" w:eastAsia="zh-CN"/>
        </w:rPr>
        <w:t>公务用车购置费、政协会议费、差旅费、培训费等支出</w:t>
      </w:r>
      <w:r>
        <w:t>。</w:t>
      </w:r>
    </w:p>
    <w:p>
      <w:pPr>
        <w:pStyle w:val="28"/>
      </w:pPr>
      <w:r>
        <w:t>3、比上年增减情况</w:t>
      </w:r>
    </w:p>
    <w:p>
      <w:pPr>
        <w:pStyle w:val="28"/>
        <w:rPr>
          <w:rFonts w:hint="default" w:ascii="黑体" w:hAnsi="黑体" w:eastAsia="黑体" w:cs="黑体"/>
          <w:color w:val="000000"/>
          <w:sz w:val="32"/>
          <w:lang w:val="en-US"/>
        </w:rPr>
      </w:pPr>
      <w:r>
        <w:rPr>
          <w:rFonts w:hint="eastAsia"/>
          <w:lang w:val="en-US" w:eastAsia="zh-CN"/>
        </w:rPr>
        <w:t>2021</w:t>
      </w:r>
      <w:r>
        <w:t>年预算收支安排</w:t>
      </w:r>
      <w:r>
        <w:rPr>
          <w:rFonts w:hint="eastAsia"/>
          <w:lang w:val="en-US" w:eastAsia="zh-CN"/>
        </w:rPr>
        <w:t>536.41</w:t>
      </w:r>
      <w:r>
        <w:t>万元，较</w:t>
      </w:r>
      <w:r>
        <w:rPr>
          <w:rFonts w:hint="eastAsia"/>
          <w:lang w:val="en-US" w:eastAsia="zh-CN"/>
        </w:rPr>
        <w:t>2020</w:t>
      </w:r>
      <w:r>
        <w:t>年预算</w:t>
      </w:r>
      <w:r>
        <w:rPr>
          <w:rFonts w:hint="eastAsia"/>
          <w:lang w:val="en-US" w:eastAsia="zh-CN"/>
        </w:rPr>
        <w:t>增加38.17</w:t>
      </w:r>
      <w:r>
        <w:t>万元，其中：基本支出</w:t>
      </w:r>
      <w:r>
        <w:rPr>
          <w:rFonts w:hint="eastAsia"/>
          <w:lang w:val="en-US" w:eastAsia="zh-CN"/>
        </w:rPr>
        <w:t>增加38.17</w:t>
      </w:r>
      <w:r>
        <w:t>万元，主要为</w:t>
      </w:r>
      <w:r>
        <w:rPr>
          <w:rFonts w:hint="eastAsia"/>
        </w:rPr>
        <w:t>主要由</w:t>
      </w:r>
      <w:r>
        <w:rPr>
          <w:rFonts w:hint="eastAsia"/>
          <w:lang w:eastAsia="zh-CN"/>
        </w:rPr>
        <w:t>于人员增加、工资调整、医疗公积金等保险调整</w:t>
      </w:r>
      <w:r>
        <w:rPr>
          <w:rFonts w:hint="eastAsia"/>
          <w:lang w:val="en-US" w:eastAsia="zh-CN"/>
        </w:rPr>
        <w:t>，相应人员经费和日常公用经费增加</w:t>
      </w:r>
      <w:r>
        <w:t>。项目支出</w:t>
      </w:r>
      <w:r>
        <w:rPr>
          <w:rFonts w:hint="eastAsia"/>
          <w:lang w:val="en-US" w:eastAsia="zh-CN"/>
        </w:rPr>
        <w:t>增加0万元</w:t>
      </w:r>
      <w:bookmarkStart w:id="2" w:name="_Toc_3_3_0000000012"/>
      <w:r>
        <w:rPr>
          <w:rFonts w:hint="eastAsia"/>
          <w:lang w:val="en-US" w:eastAsia="zh-CN"/>
        </w:rPr>
        <w:t>。</w:t>
      </w:r>
    </w:p>
    <w:p>
      <w:pPr>
        <w:spacing w:before="10" w:after="10" w:line="360" w:lineRule="auto"/>
        <w:ind w:firstLine="640"/>
        <w:outlineLvl w:val="2"/>
      </w:pPr>
      <w:r>
        <w:rPr>
          <w:rFonts w:ascii="黑体" w:hAnsi="黑体" w:eastAsia="黑体" w:cs="黑体"/>
          <w:color w:val="000000"/>
          <w:sz w:val="32"/>
        </w:rPr>
        <w:t>三、机关运行经费安排情况</w:t>
      </w:r>
      <w:bookmarkEnd w:id="2"/>
    </w:p>
    <w:p>
      <w:pPr>
        <w:pStyle w:val="29"/>
      </w:pPr>
      <w:r>
        <w:rPr>
          <w:rFonts w:hint="eastAsia"/>
          <w:lang w:val="en-US" w:eastAsia="zh-CN"/>
        </w:rPr>
        <w:t>2021</w:t>
      </w:r>
      <w:r>
        <w:t>年，我部门机关运行经费共计安排</w:t>
      </w:r>
      <w:r>
        <w:rPr>
          <w:rFonts w:hint="eastAsia"/>
          <w:lang w:val="en-US" w:eastAsia="zh-CN"/>
        </w:rPr>
        <w:t>69.32</w:t>
      </w:r>
      <w:r>
        <w:t>万元，主要用于</w:t>
      </w:r>
      <w:r>
        <w:rPr>
          <w:rFonts w:hint="eastAsia"/>
        </w:rPr>
        <w:t>办公及印刷费、邮电费、</w:t>
      </w:r>
      <w:r>
        <w:rPr>
          <w:rFonts w:hint="eastAsia"/>
          <w:lang w:val="en-US" w:eastAsia="zh-CN"/>
        </w:rPr>
        <w:t>公务接待费、</w:t>
      </w:r>
      <w:r>
        <w:rPr>
          <w:rFonts w:hint="eastAsia"/>
        </w:rPr>
        <w:t>公务用车运行维护费、工会费、</w:t>
      </w:r>
      <w:r>
        <w:rPr>
          <w:rFonts w:hint="eastAsia"/>
          <w:lang w:eastAsia="zh-CN"/>
        </w:rPr>
        <w:t>在职职工</w:t>
      </w:r>
      <w:r>
        <w:rPr>
          <w:rFonts w:hint="eastAsia"/>
        </w:rPr>
        <w:t>福利费、</w:t>
      </w:r>
      <w:r>
        <w:rPr>
          <w:rFonts w:hint="eastAsia"/>
          <w:lang w:eastAsia="zh-CN"/>
        </w:rPr>
        <w:t>离退休福利费</w:t>
      </w:r>
      <w:r>
        <w:rPr>
          <w:rFonts w:hint="eastAsia"/>
          <w:lang w:val="en-US" w:eastAsia="zh-CN"/>
        </w:rPr>
        <w:t>、</w:t>
      </w:r>
      <w:r>
        <w:rPr>
          <w:rFonts w:hint="eastAsia"/>
        </w:rPr>
        <w:t>移动通讯补贴、交通补贴、</w:t>
      </w:r>
      <w:r>
        <w:rPr>
          <w:rFonts w:hint="eastAsia"/>
          <w:lang w:eastAsia="zh-CN"/>
        </w:rPr>
        <w:t>离退休干部报刊费</w:t>
      </w:r>
      <w:r>
        <w:t>等日常运行支出。</w:t>
      </w:r>
    </w:p>
    <w:p>
      <w:pPr>
        <w:spacing w:before="10" w:after="10" w:line="360" w:lineRule="auto"/>
        <w:ind w:firstLine="640"/>
        <w:outlineLvl w:val="2"/>
        <w:rPr>
          <w:rFonts w:ascii="黑体" w:hAnsi="黑体" w:eastAsia="黑体" w:cs="黑体"/>
          <w:color w:val="000000"/>
          <w:sz w:val="32"/>
        </w:rPr>
      </w:pPr>
      <w:bookmarkStart w:id="3"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3"/>
    </w:p>
    <w:p>
      <w:pPr>
        <w:pStyle w:val="29"/>
        <w:rPr>
          <w:rFonts w:hint="eastAsia" w:ascii="黑体" w:hAnsi="黑体" w:eastAsia="黑体"/>
          <w:sz w:val="32"/>
          <w:szCs w:val="32"/>
        </w:rPr>
      </w:pPr>
      <w:bookmarkStart w:id="4" w:name="_Toc_3_3_0000000014"/>
      <w:r>
        <w:rPr>
          <w:rFonts w:hint="eastAsia"/>
          <w:lang w:val="en-US" w:eastAsia="zh-CN"/>
        </w:rPr>
        <w:t>2021年，我单位财政拨款“三公”经费预算安排50万元，其中因公出国（境）费0万元；公务用车购置及运维费40万元（其中：公务用车购置费为20万元，公务用车运维费20万元)；公务接待费10万元。</w:t>
      </w:r>
      <w:bookmarkEnd w:id="4"/>
      <w:r>
        <w:rPr>
          <w:rFonts w:hint="eastAsia"/>
          <w:lang w:val="en-US" w:eastAsia="zh-CN"/>
        </w:rPr>
        <w:t>与2020年持平。</w:t>
      </w:r>
    </w:p>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rPr>
          <w:rFonts w:eastAsia="方正仿宋_GBK"/>
          <w:color w:val="000000"/>
          <w:sz w:val="28"/>
        </w:rPr>
      </w:pPr>
      <w:r>
        <w:rPr>
          <w:rFonts w:eastAsia="方正仿宋_GBK"/>
          <w:color w:val="000000"/>
          <w:sz w:val="28"/>
        </w:rPr>
        <w:t>（一）总体绩效目标</w:t>
      </w:r>
    </w:p>
    <w:p>
      <w:pPr>
        <w:ind w:firstLine="560" w:firstLineChars="200"/>
        <w:outlineLvl w:val="0"/>
        <w:rPr>
          <w:rFonts w:hint="eastAsia" w:ascii="方正仿宋简体" w:hAnsi="仿宋" w:eastAsia="方正仿宋简体" w:cs="仿宋"/>
          <w:bCs/>
          <w:color w:val="000000"/>
          <w:sz w:val="28"/>
          <w:szCs w:val="28"/>
          <w:lang w:eastAsia="zh-CN"/>
        </w:rPr>
      </w:pPr>
      <w:bookmarkStart w:id="5" w:name="_Toc_3_3_0000000017"/>
      <w:r>
        <w:rPr>
          <w:rFonts w:hint="eastAsia" w:ascii="方正仿宋简体" w:hAnsi="仿宋" w:eastAsia="方正仿宋简体" w:cs="仿宋"/>
          <w:bCs/>
          <w:color w:val="000000"/>
          <w:sz w:val="28"/>
          <w:szCs w:val="28"/>
          <w:lang w:eastAsia="zh-CN"/>
        </w:rPr>
        <w:t>2021年，坚持以习近平新时代中国特色社会主义思想为指导，认真贯彻落实党的十九届五中全会和中央政协工作会议精神，把加强思想政治引领、广泛凝聚共识作为中心环节，坚持建言资政和凝聚共识双向发力，把区委决策部署落实下去,把社会各界智慧和力量凝聚起来，为实现重返全省县（市）区前列目标作出积极贡献。</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发挥人民政协专门协商机构作用。坚持把协商的事情确定准，围绕区委中心工作选题、请党政领导交题、向党派界别征题，精选协商题目；坚持把确定准的事情协商好，把问题协商透，把解决的方法研究实；坚持把协商好的事情办到位，努力推动协商成果落实，转化为全社会共识和促进相关工作的具体举措。坚持提案“提质提量”导向，打造精品提案，增强提案办理实效，发挥委员智力优势，为我区经济社会发展提出具有前瞻性、操作性的建议。</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加强思想政治引领、广泛凝聚共识。巩固党对各项工作领导的重要阵地，严格执行重大事项向区委请示报告制度。加强政协党建工作，发挥党员委员的先锋模范作用，把各界人士团结在党的周围。搭建团结教育引导各界的重要平台，落实好党组成员联系党员委员、党员委员联系党外委员“两联制度”，进一步夯实共同的思想政治基础。拓宽化解矛盾和凝聚共识的重要渠道，深入落实联系界别群众的“三联制度”，宣传区委、区政府决策部署，反映群众的意见建议。挖掘史志资料，编纂成书，传承精神、激励后人。</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强化委员责任担当。在讲政治、顾大局上体现责任担当，组织委员开展各项教育活动，不断提高政治思想素质和理论水平，站稳政治立场、坚持政治原则。在会协商、善议政上体现责任担当，通过委员专题学习培训、完善履职档案、细化考核方式、委员述职等措施，推进委员履职能力提升，全面增强履职本领。在守纪律、重品行上体现责任担当，教育委员悉晓纪律规矩、敬畏纪律规矩、恪守纪律规矩。监督委员遵守宪法法律和政协章程，锤炼道德品行，以模范行动展现新时代政协委员的风采。</w:t>
      </w:r>
    </w:p>
    <w:p>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rPr>
          <w:rFonts w:ascii="方正仿宋_GBK" w:eastAsia="方正仿宋_GBK"/>
          <w:sz w:val="28"/>
        </w:rPr>
      </w:pPr>
      <w:r>
        <w:rPr>
          <w:rFonts w:ascii="方正仿宋_GBK" w:eastAsia="方正仿宋_GBK"/>
          <w:sz w:val="28"/>
        </w:rPr>
        <w:t>一是明确任务，实行目标管理。对20</w:t>
      </w:r>
      <w:r>
        <w:rPr>
          <w:rFonts w:hint="eastAsia" w:ascii="方正仿宋_GBK" w:eastAsia="方正仿宋_GBK"/>
          <w:sz w:val="28"/>
          <w:lang w:val="en-US" w:eastAsia="zh-CN"/>
        </w:rPr>
        <w:t>21</w:t>
      </w:r>
      <w:r>
        <w:rPr>
          <w:rFonts w:ascii="方正仿宋_GBK" w:eastAsia="方正仿宋_GBK"/>
          <w:sz w:val="28"/>
        </w:rPr>
        <w:t>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ind w:firstLine="560"/>
        <w:rPr>
          <w:rFonts w:ascii="方正仿宋_GBK" w:eastAsia="方正仿宋_GBK"/>
          <w:sz w:val="28"/>
        </w:rPr>
      </w:pPr>
      <w:r>
        <w:rPr>
          <w:rFonts w:ascii="方正仿宋_GBK" w:eastAsia="方正仿宋_GBK"/>
          <w:sz w:val="28"/>
        </w:rPr>
        <w:t>二是统筹安排，强化工作落实。整合科室力量，统筹安排工作，实行每月调度，对重要工作实行随时调度，听取项目任务进展汇报，根据需要及时调配力量，确保目标任务顺利完成。</w:t>
      </w:r>
    </w:p>
    <w:p>
      <w:pPr>
        <w:ind w:firstLine="560"/>
        <w:rPr>
          <w:rFonts w:ascii="方正仿宋_GBK" w:eastAsia="方正仿宋_GBK"/>
          <w:sz w:val="28"/>
        </w:rPr>
      </w:pPr>
      <w:r>
        <w:rPr>
          <w:rFonts w:ascii="方正仿宋_GBK" w:eastAsia="方正仿宋_GBK"/>
          <w:sz w:val="28"/>
        </w:rPr>
        <w:t>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pPr>
        <w:ind w:firstLine="560"/>
        <w:rPr>
          <w:rFonts w:ascii="方正仿宋_GBK" w:eastAsia="方正仿宋_GBK"/>
          <w:sz w:val="28"/>
        </w:rPr>
      </w:pPr>
      <w:r>
        <w:rPr>
          <w:rFonts w:ascii="方正仿宋_GBK" w:eastAsia="方正仿宋_GBK"/>
          <w:sz w:val="28"/>
        </w:rP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jc w:val="left"/>
        <w:rPr>
          <w:rFonts w:hint="eastAsia"/>
        </w:rPr>
        <w:sectPr>
          <w:pgSz w:w="16839" w:h="11907" w:orient="landscape"/>
          <w:pgMar w:top="1134" w:right="1531" w:bottom="1134" w:left="1474" w:header="851" w:footer="992" w:gutter="0"/>
          <w:cols w:space="425" w:num="1"/>
          <w:docGrid w:type="lines" w:linePitch="312" w:charSpace="0"/>
        </w:sectPr>
      </w:pP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p>
      <w:pPr>
        <w:spacing w:line="300" w:lineRule="exact"/>
        <w:outlineLvl w:val="0"/>
        <w:rPr>
          <w:rFonts w:hint="eastAsia" w:eastAsia="宋体"/>
          <w:lang w:eastAsia="zh-CN"/>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color w:val="auto"/>
                <w:sz w:val="24"/>
                <w:highlight w:val="none"/>
              </w:rPr>
            </w:pPr>
            <w:r>
              <w:rPr>
                <w:rFonts w:ascii="方正小标宋_GBK" w:eastAsia="方正小标宋_GBK"/>
                <w:color w:val="auto"/>
                <w:sz w:val="24"/>
                <w:highlight w:val="none"/>
              </w:rPr>
              <w:t>302</w:t>
            </w:r>
            <w:r>
              <w:rPr>
                <w:rFonts w:hint="eastAsia" w:ascii="方正小标宋_GBK" w:eastAsia="方正小标宋_GBK"/>
                <w:color w:val="auto"/>
                <w:sz w:val="24"/>
                <w:highlight w:val="none"/>
              </w:rPr>
              <w:t>中国人民政治协商会议唐山市丰南区委员会办公室</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color w:val="auto"/>
                <w:sz w:val="24"/>
                <w:highlight w:val="none"/>
              </w:rPr>
            </w:pPr>
            <w:r>
              <w:rPr>
                <w:rFonts w:hint="eastAsia" w:ascii="方正书宋_GBK" w:eastAsia="方正书宋_GBK"/>
                <w:color w:val="auto"/>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职责活动</w:t>
            </w:r>
          </w:p>
        </w:tc>
        <w:tc>
          <w:tcPr>
            <w:tcW w:w="12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年度预算数</w:t>
            </w:r>
          </w:p>
        </w:tc>
        <w:tc>
          <w:tcPr>
            <w:tcW w:w="29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内容描述</w:t>
            </w:r>
          </w:p>
        </w:tc>
        <w:tc>
          <w:tcPr>
            <w:tcW w:w="29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1417"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w:t>
            </w:r>
          </w:p>
        </w:tc>
        <w:tc>
          <w:tcPr>
            <w:tcW w:w="2948" w:type="dxa"/>
            <w:gridSpan w:val="4"/>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color w:val="auto"/>
                <w:highlight w:val="none"/>
              </w:rPr>
            </w:pPr>
          </w:p>
        </w:tc>
        <w:tc>
          <w:tcPr>
            <w:tcW w:w="1276" w:type="dxa"/>
            <w:vMerge w:val="continue"/>
            <w:noWrap w:val="0"/>
            <w:vAlign w:val="center"/>
          </w:tcPr>
          <w:p>
            <w:pPr>
              <w:spacing w:line="300" w:lineRule="exact"/>
              <w:jc w:val="left"/>
              <w:outlineLvl w:val="0"/>
              <w:rPr>
                <w:color w:val="auto"/>
                <w:highlight w:val="none"/>
              </w:rPr>
            </w:pPr>
          </w:p>
        </w:tc>
        <w:tc>
          <w:tcPr>
            <w:tcW w:w="2976" w:type="dxa"/>
            <w:vMerge w:val="continue"/>
            <w:noWrap w:val="0"/>
            <w:vAlign w:val="center"/>
          </w:tcPr>
          <w:p>
            <w:pPr>
              <w:spacing w:line="300" w:lineRule="exact"/>
              <w:jc w:val="left"/>
              <w:outlineLvl w:val="0"/>
              <w:rPr>
                <w:color w:val="auto"/>
                <w:highlight w:val="none"/>
              </w:rPr>
            </w:pPr>
          </w:p>
        </w:tc>
        <w:tc>
          <w:tcPr>
            <w:tcW w:w="2976" w:type="dxa"/>
            <w:vMerge w:val="continue"/>
            <w:noWrap w:val="0"/>
            <w:vAlign w:val="center"/>
          </w:tcPr>
          <w:p>
            <w:pPr>
              <w:spacing w:line="300" w:lineRule="exact"/>
              <w:jc w:val="left"/>
              <w:outlineLvl w:val="0"/>
              <w:rPr>
                <w:color w:val="auto"/>
                <w:highlight w:val="none"/>
              </w:rPr>
            </w:pPr>
          </w:p>
        </w:tc>
        <w:tc>
          <w:tcPr>
            <w:tcW w:w="1417" w:type="dxa"/>
            <w:vMerge w:val="continue"/>
            <w:noWrap w:val="0"/>
            <w:vAlign w:val="center"/>
          </w:tcPr>
          <w:p>
            <w:pPr>
              <w:spacing w:line="300" w:lineRule="exact"/>
              <w:jc w:val="left"/>
              <w:outlineLvl w:val="0"/>
              <w:rPr>
                <w:color w:val="auto"/>
                <w:highlight w:val="none"/>
              </w:rPr>
            </w:pP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优</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良</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中</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color w:val="auto"/>
                <w:highlight w:val="none"/>
              </w:rPr>
            </w:pPr>
            <w:r>
              <w:rPr>
                <w:rFonts w:hint="eastAsia" w:ascii="方正书宋_GBK" w:eastAsia="方正书宋_GBK"/>
                <w:b/>
                <w:color w:val="auto"/>
                <w:highlight w:val="none"/>
              </w:rPr>
              <w:t>一、政治协商</w:t>
            </w:r>
          </w:p>
        </w:tc>
        <w:tc>
          <w:tcPr>
            <w:tcW w:w="1276" w:type="dxa"/>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14.40</w:t>
            </w:r>
          </w:p>
        </w:tc>
        <w:tc>
          <w:tcPr>
            <w:tcW w:w="2976"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就大政方针及重要问题在决策之前和决策执行过程中进行协商。</w:t>
            </w:r>
          </w:p>
        </w:tc>
        <w:tc>
          <w:tcPr>
            <w:tcW w:w="2976"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、政协会议</w:t>
            </w:r>
          </w:p>
        </w:tc>
        <w:tc>
          <w:tcPr>
            <w:tcW w:w="1276" w:type="dxa"/>
            <w:vMerge w:val="restart"/>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14.40</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各类会议是政协履行职能的主要形式，是开展工作的主体，是委员履行自身职责的主要途径。</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会议活动经济社会效益</w:t>
            </w:r>
          </w:p>
        </w:tc>
        <w:tc>
          <w:tcPr>
            <w:tcW w:w="737" w:type="dxa"/>
            <w:noWrap w:val="0"/>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每次会议活动人员参会率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会议活动组织率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、民主协商</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根据形势、任务，围绕全区工作大局，安排协商活动，召开专题座谈会等。</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增强开展政治协商的自觉性和主动性，规范协商内容，丰富协商形式和层次，把政治协商纳入决策程序。</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专题协商活动组织率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专题协商活动成果</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专题座谈会组织率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二、民主监督</w:t>
            </w:r>
          </w:p>
        </w:tc>
        <w:tc>
          <w:tcPr>
            <w:tcW w:w="1276" w:type="dxa"/>
            <w:noWrap w:val="0"/>
            <w:vAlign w:val="center"/>
          </w:tcPr>
          <w:p>
            <w:pPr>
              <w:spacing w:line="300" w:lineRule="exact"/>
              <w:jc w:val="left"/>
              <w:rPr>
                <w:rFonts w:ascii="方正书宋_GBK" w:eastAsia="方正书宋_GBK"/>
                <w:color w:val="auto"/>
                <w:highlight w:val="none"/>
              </w:rPr>
            </w:pP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有效履行民主监督职责。对国家法律法规的实施、重大方针政策的贯彻执行、区委、政府的工作进行政治监督。</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完善民主监督机制，畅通民主监督渠道，建立健全知情、沟通制度，将民主监督寓于委员提案、进行视察、参与工作检查等活动中，提高民主监督质量和成效。</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、监督事务</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组织、鼓励和引导委员深入实际，通过提案等形式进行监督。通过参加党委政府组织的调查和检查活动实施监督。</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完善民主监督机制，畅通民主监督渠道，建立健全知情、沟通制度，加强工作协调配合，提高民主监督的质量和成效。</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民主监督活动组织率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委员参与率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委员知情率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、提案工作</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征集提案，对政协委员和政协各参加单位的提案进行审查立案，立案后交承办单位办理，适时督办。</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完善提案审查、办理和反馈机制，做到提案程序更加规范，制度更加完善，提案质量和办理质量不断提高，政协履职作用更加突出。</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委员满意率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提案立案率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提案办结率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三、参政议政</w:t>
            </w:r>
          </w:p>
        </w:tc>
        <w:tc>
          <w:tcPr>
            <w:tcW w:w="1276" w:type="dxa"/>
            <w:noWrap w:val="0"/>
            <w:vAlign w:val="center"/>
          </w:tcPr>
          <w:p>
            <w:pPr>
              <w:spacing w:line="300" w:lineRule="exact"/>
              <w:jc w:val="left"/>
              <w:rPr>
                <w:rFonts w:ascii="方正书宋_GBK" w:eastAsia="方正书宋_GBK"/>
                <w:color w:val="auto"/>
                <w:highlight w:val="none"/>
              </w:rPr>
            </w:pP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通过对重大问题以及人民群众普遍关心的问题，开展调查研究，向区委、区政府提出意见和建议。</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发挥政协作为扩大社会各界有序参与的重要渠道作用，探索开展活动的新方法新途径，充分调动委员参政议政积极性，向区委、区政府提出高质量的建议案。</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、专题调研</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关注重点，围绕难点，针对热点，选择经济社会发展中具有综合性、全局性、前瞻性的课题，组织开展视察、考察，座谈调研，专家论证等专题调研活动。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努力汇聚才智，为经济社会发展，建睿智之言，献务实之策，不断提高建言立论的质量和水平，全力打造</w:t>
            </w:r>
            <w:r>
              <w:rPr>
                <w:rFonts w:hint="cs" w:ascii="方正书宋_GBK" w:eastAsia="方正书宋_GBK"/>
                <w:color w:val="auto"/>
                <w:highlight w:val="none"/>
                <w:cs/>
              </w:rPr>
              <w:t>“</w:t>
            </w:r>
            <w:r>
              <w:rPr>
                <w:rFonts w:hint="eastAsia" w:ascii="方正书宋_GBK" w:eastAsia="方正书宋_GBK"/>
                <w:color w:val="auto"/>
                <w:highlight w:val="none"/>
              </w:rPr>
              <w:t>精品</w:t>
            </w:r>
            <w:r>
              <w:rPr>
                <w:rFonts w:hint="cs" w:ascii="方正书宋_GBK" w:eastAsia="方正书宋_GBK"/>
                <w:color w:val="auto"/>
                <w:highlight w:val="none"/>
                <w:cs/>
              </w:rPr>
              <w:t>”</w:t>
            </w:r>
            <w:r>
              <w:rPr>
                <w:rFonts w:hint="eastAsia" w:ascii="方正书宋_GBK" w:eastAsia="方正书宋_GBK"/>
                <w:color w:val="auto"/>
                <w:highlight w:val="none"/>
              </w:rPr>
              <w:t>，在参政中增加权重，在议政中体现价值。</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重点课题和专项调研完成率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委员参与率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视察活动组织率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、社情民意</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了解社会不同阶层、群体的愿望和要求，反映给决策部门。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密切联系群众，反映社情民意，努力做到协调关系、化解矛盾、理顺情绪，增进社会各阶层不同利益群体的和谐和稳定。</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委员社情民意反映率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委员满意率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社情民意办结率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四、政协事务管理</w:t>
            </w:r>
          </w:p>
        </w:tc>
        <w:tc>
          <w:tcPr>
            <w:tcW w:w="1276" w:type="dxa"/>
            <w:noWrap w:val="0"/>
            <w:vAlign w:val="center"/>
          </w:tcPr>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111.85</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自身建设、宣传工作，与有关单位联系协调；机关外事工作，离退休人员服务，以及领导交办的其他事项</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机关自身建设、服务保障能力进一步提升。</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、综合业务管理</w:t>
            </w:r>
          </w:p>
        </w:tc>
        <w:tc>
          <w:tcPr>
            <w:tcW w:w="1276" w:type="dxa"/>
            <w:vMerge w:val="restart"/>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lang w:val="en-US" w:eastAsia="zh-CN"/>
              </w:rPr>
              <w:t>4</w:t>
            </w:r>
            <w:r>
              <w:rPr>
                <w:rFonts w:ascii="方正书宋_GBK" w:eastAsia="方正书宋_GBK"/>
                <w:color w:val="auto"/>
                <w:highlight w:val="none"/>
              </w:rPr>
              <w:t>8.00</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加强区政协机关自身建设和宣传工作，编辑出版《委员园地》等宣传资料，加强政协与区委、区人大、区政府，各民主党派、工商联、人民团体、区直有关部门的联系、协调工作。搜集、撰写、整理文史资料，搞好文史资料的发行。组织委员开展参观学习培训活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政协自身建设更加扎实，工作科学化水平进一步提升。文史资料的社会功能增强，理论研究成果服务履职作用明显。</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文史资料编辑率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委员履职能力提升度</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委员学习培训率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、综合事务管理</w:t>
            </w:r>
          </w:p>
        </w:tc>
        <w:tc>
          <w:tcPr>
            <w:tcW w:w="1276" w:type="dxa"/>
            <w:vMerge w:val="restart"/>
            <w:noWrap w:val="0"/>
            <w:vAlign w:val="center"/>
          </w:tcPr>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63.85</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机关外事工作，处理群众来信来访，机构编制、人事任免、后勤保障、车辆管理等机关事务工作，机关接待、离退休人员服务，承办区政协主席、副主席、秘书长交办的其他事项。</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机关基本设施设备正常运转、信息化保障、老干部服务保障能力进一步提高。</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综合事务保障率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领导交办其他工作完成率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机关工作人员培训率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bl>
    <w:p>
      <w:pPr>
        <w:spacing w:line="300" w:lineRule="exact"/>
        <w:outlineLvl w:val="0"/>
        <w:rPr>
          <w:rFonts w:hint="eastAsia" w:eastAsia="宋体"/>
          <w:lang w:eastAsia="zh-CN"/>
        </w:rPr>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rPr>
                <w:rFonts w:hint="default"/>
                <w:lang w:val="en-US"/>
              </w:rPr>
            </w:pPr>
            <w:r>
              <w:rPr>
                <w:rFonts w:hint="eastAsia"/>
                <w:lang w:val="en-US" w:eastAsia="zh-CN"/>
              </w:rPr>
              <w:t>中国人民政治协商会议唐山市丰南区委员会</w:t>
            </w:r>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eastAsia="zh-CN"/>
              </w:rPr>
              <w:t>XXXX</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rPr>
                <w:rFonts w:hint="eastAsia"/>
                <w:lang w:eastAsia="zh-CN"/>
              </w:rPr>
            </w:pPr>
          </w:p>
        </w:tc>
        <w:tc>
          <w:tcPr>
            <w:tcW w:w="964" w:type="dxa"/>
            <w:vAlign w:val="center"/>
          </w:tcPr>
          <w:p>
            <w:pPr>
              <w:pStyle w:val="25"/>
              <w:rPr>
                <w:rFonts w:hint="eastAsia"/>
                <w:lang w:eastAsia="zh-CN"/>
              </w:rPr>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rPr>
                <w:rFonts w:hint="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pPr>
      <w:r>
        <w:rPr>
          <w:rFonts w:hint="eastAsia" w:eastAsia="方正仿宋_GBK"/>
          <w:color w:val="000000"/>
          <w:sz w:val="28"/>
          <w:lang w:val="en-US" w:eastAsia="zh-CN"/>
        </w:rPr>
        <w:t>中国人民政治协商会议唐山市丰南区委员会</w:t>
      </w:r>
      <w:r>
        <w:rPr>
          <w:rFonts w:eastAsia="方正仿宋_GBK"/>
          <w:color w:val="000000"/>
          <w:sz w:val="28"/>
        </w:rPr>
        <w:t>上年末固定资产金额为</w:t>
      </w:r>
      <w:r>
        <w:rPr>
          <w:rFonts w:hint="eastAsia" w:eastAsia="方正仿宋_GBK"/>
          <w:color w:val="000000"/>
          <w:sz w:val="28"/>
          <w:lang w:val="en-US" w:eastAsia="zh-CN"/>
        </w:rPr>
        <w:t>99.46</w:t>
      </w:r>
      <w:r>
        <w:rPr>
          <w:rFonts w:eastAsia="方正仿宋_GBK"/>
          <w:color w:val="000000"/>
          <w:sz w:val="28"/>
        </w:rPr>
        <w:t>万元（详见下表）。本年度拟购置固定资产总额为</w:t>
      </w:r>
      <w:r>
        <w:rPr>
          <w:rFonts w:hint="eastAsia" w:eastAsia="方正仿宋_GBK"/>
          <w:color w:val="000000"/>
          <w:sz w:val="28"/>
          <w:lang w:val="en-US" w:eastAsia="zh-CN"/>
        </w:rPr>
        <w:t>24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lang w:eastAsia="zh-CN"/>
              </w:rPr>
            </w:pPr>
            <w:r>
              <w:rPr>
                <w:rFonts w:hint="eastAsia"/>
                <w:lang w:val="en-US" w:eastAsia="zh-CN"/>
              </w:rPr>
              <w:t>中国人民政治协商会议唐山市丰南区委员会</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2020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99.46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eastAsia="zh-CN"/>
              </w:rPr>
            </w:pPr>
            <w:r>
              <w:rPr>
                <w:rFonts w:hint="eastAsia"/>
                <w:lang w:val="en-US" w:eastAsia="zh-CN"/>
              </w:rPr>
              <w:t>3</w:t>
            </w:r>
          </w:p>
        </w:tc>
        <w:tc>
          <w:tcPr>
            <w:tcW w:w="2835" w:type="dxa"/>
            <w:vAlign w:val="center"/>
          </w:tcPr>
          <w:p>
            <w:pPr>
              <w:pStyle w:val="21"/>
              <w:rPr>
                <w:rFonts w:hint="default" w:eastAsia="方正书宋_GBK"/>
                <w:lang w:val="en-US" w:eastAsia="zh-CN"/>
              </w:rPr>
            </w:pPr>
            <w:r>
              <w:rPr>
                <w:rFonts w:hint="eastAsia"/>
                <w:lang w:val="en-US" w:eastAsia="zh-CN"/>
              </w:rPr>
              <w:t>61.39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rPr>
                <w:rFonts w:hint="default" w:eastAsia="方正书宋_GBK"/>
                <w:lang w:val="en-US" w:eastAsia="zh-CN"/>
              </w:rPr>
            </w:pPr>
          </w:p>
        </w:tc>
        <w:tc>
          <w:tcPr>
            <w:tcW w:w="2835" w:type="dxa"/>
            <w:vAlign w:val="center"/>
          </w:tcPr>
          <w:p>
            <w:pPr>
              <w:pStyle w:val="21"/>
              <w:rPr>
                <w:rFonts w:hint="default" w:eastAsia="方正书宋_GBK"/>
                <w:lang w:val="en-US" w:eastAsia="zh-CN"/>
              </w:rPr>
            </w:pPr>
            <w:r>
              <w:rPr>
                <w:rFonts w:hint="eastAsia"/>
                <w:lang w:val="en-US" w:eastAsia="zh-CN"/>
              </w:rPr>
              <w:t>38.07</w:t>
            </w:r>
          </w:p>
        </w:tc>
      </w:tr>
    </w:tbl>
    <w:p>
      <w:pPr>
        <w:ind w:firstLine="640"/>
      </w:pPr>
      <w:r>
        <w:rPr>
          <w:rFonts w:eastAsia="方正仿宋_GBK"/>
          <w:color w:val="000000"/>
          <w:sz w:val="32"/>
        </w:rPr>
        <w:t xml:space="preserve"> </w:t>
      </w:r>
    </w:p>
    <w:p>
      <w:pPr>
        <w:spacing w:before="10" w:after="10"/>
        <w:ind w:firstLine="640"/>
        <w:outlineLvl w:val="2"/>
      </w:pPr>
      <w:bookmarkStart w:id="8" w:name="_Toc_3_3_0000000019"/>
      <w:r>
        <w:rPr>
          <w:rFonts w:ascii="黑体" w:hAnsi="黑体" w:eastAsia="黑体" w:cs="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Batang">
    <w:altName w:val="Times New Roman"/>
    <w:panose1 w:val="02030600000101010101"/>
    <w:charset w:val="81"/>
    <w:family w:val="auto"/>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WI4NWE4NmIxYjRiNmE5MzYyNmI0YjgyZWUzMmYifQ=="/>
    <w:docVar w:name="KSO_WPS_MARK_KEY" w:val="95849150-0e59-4b34-a127-6922d588a6ac"/>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8542A60"/>
    <w:rsid w:val="1A8674B2"/>
    <w:rsid w:val="1A893D63"/>
    <w:rsid w:val="1F3A1A74"/>
    <w:rsid w:val="1FD93C03"/>
    <w:rsid w:val="225B780D"/>
    <w:rsid w:val="235A6E60"/>
    <w:rsid w:val="28B2037A"/>
    <w:rsid w:val="2CD81CF1"/>
    <w:rsid w:val="33DE37FC"/>
    <w:rsid w:val="3ADC31E0"/>
    <w:rsid w:val="3B9C250C"/>
    <w:rsid w:val="3C3739C2"/>
    <w:rsid w:val="401F0E59"/>
    <w:rsid w:val="454E67C6"/>
    <w:rsid w:val="47AB5DF4"/>
    <w:rsid w:val="4DF15EB4"/>
    <w:rsid w:val="50B718AF"/>
    <w:rsid w:val="517B1A29"/>
    <w:rsid w:val="536C1D18"/>
    <w:rsid w:val="58896749"/>
    <w:rsid w:val="5CA606DA"/>
    <w:rsid w:val="67074692"/>
    <w:rsid w:val="74D909A9"/>
    <w:rsid w:val="75FE54D5"/>
    <w:rsid w:val="76D1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character" w:customStyle="1" w:styleId="45">
    <w:name w:val="font71"/>
    <w:basedOn w:val="14"/>
    <w:qFormat/>
    <w:uiPriority w:val="0"/>
    <w:rPr>
      <w:rFonts w:ascii="方正仿宋_GBK" w:hAnsi="方正仿宋_GBK" w:eastAsia="方正仿宋_GBK" w:cs="方正仿宋_GBK"/>
      <w:color w:val="000000"/>
      <w:sz w:val="22"/>
      <w:szCs w:val="22"/>
      <w:u w:val="none"/>
    </w:rPr>
  </w:style>
  <w:style w:type="character" w:customStyle="1" w:styleId="46">
    <w:name w:val="font61"/>
    <w:basedOn w:val="14"/>
    <w:qFormat/>
    <w:uiPriority w:val="0"/>
    <w:rPr>
      <w:rFonts w:ascii="方正书宋_GBK" w:hAnsi="方正书宋_GBK" w:eastAsia="方正书宋_GBK" w:cs="方正书宋_GBK"/>
      <w:b/>
      <w:bCs/>
      <w:color w:val="000000"/>
      <w:sz w:val="22"/>
      <w:szCs w:val="22"/>
      <w:u w:val="none"/>
    </w:rPr>
  </w:style>
  <w:style w:type="character" w:customStyle="1" w:styleId="47">
    <w:name w:val="font81"/>
    <w:basedOn w:val="14"/>
    <w:qFormat/>
    <w:uiPriority w:val="0"/>
    <w:rPr>
      <w:rFonts w:hint="default" w:ascii="方正仿宋_GBK" w:hAnsi="方正仿宋_GBK" w:eastAsia="方正仿宋_GBK" w:cs="方正仿宋_GBK"/>
      <w:color w:val="000000"/>
      <w:sz w:val="22"/>
      <w:szCs w:val="22"/>
      <w:u w:val="none"/>
    </w:rPr>
  </w:style>
  <w:style w:type="character" w:customStyle="1" w:styleId="48">
    <w:name w:val="font9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49">
    <w:name w:val="font121"/>
    <w:basedOn w:val="14"/>
    <w:qFormat/>
    <w:uiPriority w:val="0"/>
    <w:rPr>
      <w:rFonts w:ascii="方正仿宋_GBK" w:hAnsi="方正仿宋_GBK" w:eastAsia="方正仿宋_GBK" w:cs="方正仿宋_GBK"/>
      <w:color w:val="000000"/>
      <w:sz w:val="22"/>
      <w:szCs w:val="22"/>
      <w:u w:val="none"/>
    </w:rPr>
  </w:style>
  <w:style w:type="character" w:customStyle="1" w:styleId="50">
    <w:name w:val="font131"/>
    <w:basedOn w:val="14"/>
    <w:qFormat/>
    <w:uiPriority w:val="0"/>
    <w:rPr>
      <w:rFonts w:hint="default" w:ascii="方正仿宋_GBK" w:hAnsi="方正仿宋_GBK" w:eastAsia="方正仿宋_GBK" w:cs="方正仿宋_GBK"/>
      <w:color w:val="000000"/>
      <w:sz w:val="22"/>
      <w:szCs w:val="22"/>
      <w:u w:val="none"/>
    </w:rPr>
  </w:style>
  <w:style w:type="character" w:customStyle="1" w:styleId="51">
    <w:name w:val="font14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52">
    <w:name w:val="font101"/>
    <w:basedOn w:val="14"/>
    <w:qFormat/>
    <w:uiPriority w:val="0"/>
    <w:rPr>
      <w:rFonts w:hint="eastAsia" w:ascii="宋体" w:hAnsi="宋体" w:eastAsia="宋体" w:cs="宋体"/>
      <w:color w:val="000000"/>
      <w:sz w:val="20"/>
      <w:szCs w:val="20"/>
      <w:u w:val="none"/>
    </w:rPr>
  </w:style>
  <w:style w:type="character" w:customStyle="1" w:styleId="53">
    <w:name w:val="font111"/>
    <w:basedOn w:val="14"/>
    <w:qFormat/>
    <w:uiPriority w:val="0"/>
    <w:rPr>
      <w:rFonts w:hint="default" w:ascii="Times New Roman" w:hAnsi="Times New Roman" w:cs="Times New Roman"/>
      <w:color w:val="000000"/>
      <w:sz w:val="20"/>
      <w:szCs w:val="20"/>
      <w:u w:val="none"/>
    </w:rPr>
  </w:style>
  <w:style w:type="character" w:customStyle="1" w:styleId="54">
    <w:name w:val="font122"/>
    <w:basedOn w:val="14"/>
    <w:qFormat/>
    <w:uiPriority w:val="0"/>
    <w:rPr>
      <w:rFonts w:ascii="方正仿宋_GBK" w:hAnsi="方正仿宋_GBK" w:eastAsia="方正仿宋_GBK" w:cs="方正仿宋_GBK"/>
      <w:color w:val="000000"/>
      <w:sz w:val="22"/>
      <w:szCs w:val="22"/>
      <w:u w:val="none"/>
    </w:rPr>
  </w:style>
  <w:style w:type="character" w:customStyle="1" w:styleId="55">
    <w:name w:val="font112"/>
    <w:basedOn w:val="14"/>
    <w:qFormat/>
    <w:uiPriority w:val="0"/>
    <w:rPr>
      <w:rFonts w:hint="default" w:ascii="Times New Roman" w:hAnsi="Times New Roman" w:cs="Times New Roman"/>
      <w:color w:val="000000"/>
      <w:sz w:val="20"/>
      <w:szCs w:val="20"/>
      <w:u w:val="none"/>
    </w:rPr>
  </w:style>
  <w:style w:type="character" w:customStyle="1" w:styleId="56">
    <w:name w:val="font151"/>
    <w:basedOn w:val="14"/>
    <w:qFormat/>
    <w:uiPriority w:val="0"/>
    <w:rPr>
      <w:rFonts w:hint="default" w:ascii="方正仿宋_GBK" w:hAnsi="方正仿宋_GBK" w:eastAsia="方正仿宋_GBK" w:cs="方正仿宋_GBK"/>
      <w:color w:val="000000"/>
      <w:sz w:val="22"/>
      <w:szCs w:val="22"/>
      <w:u w:val="none"/>
    </w:rPr>
  </w:style>
  <w:style w:type="character" w:customStyle="1" w:styleId="57">
    <w:name w:val="font41"/>
    <w:basedOn w:val="14"/>
    <w:qFormat/>
    <w:uiPriority w:val="0"/>
    <w:rPr>
      <w:rFonts w:hint="default" w:ascii="Times New Roman" w:hAnsi="Times New Roman" w:cs="Times New Roman"/>
      <w:b/>
      <w:bCs/>
      <w:color w:val="000000"/>
      <w:sz w:val="22"/>
      <w:szCs w:val="22"/>
      <w:u w:val="none"/>
    </w:rPr>
  </w:style>
  <w:style w:type="character" w:customStyle="1" w:styleId="58">
    <w:name w:val="font161"/>
    <w:basedOn w:val="14"/>
    <w:qFormat/>
    <w:uiPriority w:val="0"/>
    <w:rPr>
      <w:rFonts w:hint="default" w:ascii="方正仿宋_GBK" w:hAnsi="方正仿宋_GBK" w:eastAsia="方正仿宋_GBK" w:cs="方正仿宋_GBK"/>
      <w:color w:val="000000"/>
      <w:sz w:val="22"/>
      <w:szCs w:val="22"/>
      <w:u w:val="none"/>
    </w:rPr>
  </w:style>
  <w:style w:type="character" w:customStyle="1" w:styleId="59">
    <w:name w:val="font51"/>
    <w:basedOn w:val="14"/>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9063</Words>
  <Characters>12148</Characters>
  <Lines>41</Lines>
  <Paragraphs>11</Paragraphs>
  <TotalTime>1</TotalTime>
  <ScaleCrop>false</ScaleCrop>
  <LinksUpToDate>false</LinksUpToDate>
  <CharactersWithSpaces>12346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2024-11-20T02:14:26Z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475A62A7734B4601941244C22BDFDC3D_13</vt:lpwstr>
  </property>
</Properties>
</file>