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rPr>
          <w:rFonts w:hint="eastAsia" w:ascii="仿宋_GB2312" w:hAnsi="宋体" w:eastAsia="仿宋_GB2312"/>
          <w:color w:val="auto"/>
          <w:sz w:val="32"/>
          <w:szCs w:val="32"/>
        </w:rPr>
      </w:pPr>
      <w:r>
        <w:rPr>
          <w:rFonts w:hint="eastAsia" w:ascii="仿宋_GB2312" w:hAnsi="宋体" w:eastAsia="仿宋_GB2312"/>
          <w:color w:val="auto"/>
          <w:sz w:val="32"/>
          <w:szCs w:val="32"/>
        </w:rPr>
        <w:t>附件2：</w:t>
      </w:r>
    </w:p>
    <w:p>
      <w:pPr>
        <w:jc w:val="center"/>
        <w:rPr>
          <w:rFonts w:hint="eastAsia" w:ascii="仿宋_GB2312" w:eastAsia="仿宋_GB2312"/>
          <w:b/>
          <w:color w:val="auto"/>
          <w:sz w:val="44"/>
          <w:szCs w:val="44"/>
        </w:rPr>
      </w:pPr>
      <w:r>
        <w:rPr>
          <w:rFonts w:hint="eastAsia" w:ascii="仿宋_GB2312" w:eastAsia="仿宋_GB2312"/>
          <w:b/>
          <w:color w:val="auto"/>
          <w:sz w:val="44"/>
          <w:szCs w:val="44"/>
          <w:lang w:eastAsia="zh-CN"/>
        </w:rPr>
        <w:t>2020</w:t>
      </w:r>
      <w:r>
        <w:rPr>
          <w:rFonts w:hint="eastAsia" w:ascii="仿宋_GB2312" w:eastAsia="仿宋_GB2312"/>
          <w:b/>
          <w:color w:val="auto"/>
          <w:sz w:val="44"/>
          <w:szCs w:val="44"/>
        </w:rPr>
        <w:t>年</w:t>
      </w:r>
      <w:r>
        <w:rPr>
          <w:rFonts w:hint="eastAsia" w:ascii="仿宋_GB2312" w:eastAsia="仿宋_GB2312"/>
          <w:b/>
          <w:color w:val="auto"/>
          <w:sz w:val="44"/>
          <w:szCs w:val="44"/>
          <w:lang w:eastAsia="zh-CN"/>
        </w:rPr>
        <w:t>单位</w:t>
      </w:r>
      <w:r>
        <w:rPr>
          <w:rFonts w:hint="eastAsia" w:ascii="仿宋_GB2312" w:eastAsia="仿宋_GB2312"/>
          <w:b/>
          <w:color w:val="auto"/>
          <w:sz w:val="44"/>
          <w:szCs w:val="44"/>
        </w:rPr>
        <w:t>预算公开目录</w:t>
      </w:r>
    </w:p>
    <w:p>
      <w:pPr>
        <w:jc w:val="center"/>
        <w:rPr>
          <w:rFonts w:hint="eastAsia" w:ascii="仿宋_GB2312" w:hAnsi="仿宋" w:eastAsia="仿宋_GB2312"/>
          <w:b/>
          <w:color w:val="auto"/>
          <w:sz w:val="32"/>
          <w:szCs w:val="32"/>
        </w:rPr>
      </w:pPr>
    </w:p>
    <w:p>
      <w:pPr>
        <w:ind w:firstLine="643" w:firstLineChars="200"/>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 xml:space="preserve">第一部分 </w:t>
      </w:r>
      <w:r>
        <w:rPr>
          <w:rFonts w:hint="eastAsia" w:ascii="仿宋_GB2312" w:hAnsi="仿宋" w:eastAsia="仿宋_GB2312"/>
          <w:b/>
          <w:color w:val="auto"/>
          <w:sz w:val="32"/>
          <w:szCs w:val="32"/>
          <w:lang w:eastAsia="zh-CN"/>
        </w:rPr>
        <w:t>202</w:t>
      </w:r>
      <w:r>
        <w:rPr>
          <w:rFonts w:hint="eastAsia" w:ascii="仿宋_GB2312" w:hAnsi="仿宋" w:eastAsia="仿宋_GB2312"/>
          <w:b/>
          <w:color w:val="auto"/>
          <w:sz w:val="32"/>
          <w:szCs w:val="32"/>
          <w:lang w:val="en-US" w:eastAsia="zh-CN"/>
        </w:rPr>
        <w:t>1</w:t>
      </w:r>
      <w:r>
        <w:rPr>
          <w:rFonts w:hint="eastAsia" w:ascii="仿宋_GB2312" w:hAnsi="仿宋" w:eastAsia="仿宋_GB2312"/>
          <w:b/>
          <w:color w:val="auto"/>
          <w:sz w:val="32"/>
          <w:szCs w:val="32"/>
        </w:rPr>
        <w:t>年</w:t>
      </w:r>
      <w:r>
        <w:rPr>
          <w:rFonts w:hint="eastAsia" w:ascii="仿宋_GB2312" w:hAnsi="仿宋" w:eastAsia="仿宋_GB2312"/>
          <w:b/>
          <w:color w:val="auto"/>
          <w:sz w:val="32"/>
          <w:szCs w:val="32"/>
          <w:lang w:eastAsia="zh-CN"/>
        </w:rPr>
        <w:t>单位</w:t>
      </w:r>
      <w:r>
        <w:rPr>
          <w:rFonts w:hint="eastAsia" w:ascii="仿宋_GB2312" w:hAnsi="仿宋" w:eastAsia="仿宋_GB2312"/>
          <w:b/>
          <w:color w:val="auto"/>
          <w:sz w:val="32"/>
          <w:szCs w:val="32"/>
        </w:rPr>
        <w:t>预算公开有关事项的说明</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职责及机构设置情况</w:t>
      </w:r>
    </w:p>
    <w:p>
      <w:pPr>
        <w:tabs>
          <w:tab w:val="left" w:pos="4820"/>
        </w:tabs>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预算安排的总体情况</w:t>
      </w:r>
    </w:p>
    <w:p>
      <w:pPr>
        <w:autoSpaceDE w:val="0"/>
        <w:autoSpaceDN w:val="0"/>
        <w:adjustRightInd w:val="0"/>
        <w:ind w:firstLine="640" w:firstLineChars="200"/>
        <w:jc w:val="left"/>
        <w:rPr>
          <w:rFonts w:hint="eastAsia" w:ascii="仿宋_GB2312" w:hAnsi="黑体" w:eastAsia="仿宋_GB2312"/>
          <w:color w:val="auto"/>
          <w:sz w:val="32"/>
          <w:szCs w:val="32"/>
        </w:rPr>
      </w:pPr>
      <w:r>
        <w:rPr>
          <w:rFonts w:hint="eastAsia" w:ascii="仿宋_GB2312" w:hAnsi="仿宋" w:eastAsia="仿宋_GB2312"/>
          <w:color w:val="auto"/>
          <w:sz w:val="32"/>
          <w:szCs w:val="32"/>
        </w:rPr>
        <w:t>三、机关</w:t>
      </w:r>
      <w:r>
        <w:rPr>
          <w:rFonts w:hint="eastAsia" w:ascii="仿宋_GB2312" w:hAnsi="黑体" w:eastAsia="仿宋_GB2312"/>
          <w:color w:val="auto"/>
          <w:sz w:val="32"/>
          <w:szCs w:val="32"/>
        </w:rPr>
        <w:t>运行经费安排情况</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四、</w:t>
      </w:r>
      <w:r>
        <w:rPr>
          <w:rFonts w:hint="eastAsia" w:ascii="仿宋_GB2312" w:hAnsi="黑体" w:eastAsia="仿宋_GB2312"/>
          <w:color w:val="auto"/>
          <w:sz w:val="32"/>
          <w:szCs w:val="32"/>
        </w:rPr>
        <w:t>财政拨款“三公”经费预算情况及增减变化原因</w:t>
      </w:r>
    </w:p>
    <w:p>
      <w:pPr>
        <w:autoSpaceDE w:val="0"/>
        <w:autoSpaceDN w:val="0"/>
        <w:adjustRightInd w:val="0"/>
        <w:ind w:firstLine="627" w:firstLineChars="196"/>
        <w:jc w:val="left"/>
        <w:rPr>
          <w:rFonts w:hint="eastAsia" w:ascii="仿宋_GB2312" w:hAnsi="黑体" w:eastAsia="仿宋_GB2312"/>
          <w:color w:val="auto"/>
          <w:sz w:val="32"/>
          <w:szCs w:val="32"/>
        </w:rPr>
      </w:pPr>
      <w:r>
        <w:rPr>
          <w:rFonts w:hint="eastAsia" w:ascii="仿宋_GB2312" w:hAnsi="仿宋" w:eastAsia="仿宋_GB2312"/>
          <w:color w:val="auto"/>
          <w:sz w:val="32"/>
          <w:szCs w:val="32"/>
        </w:rPr>
        <w:t>五、</w:t>
      </w:r>
      <w:r>
        <w:rPr>
          <w:rFonts w:hint="eastAsia" w:ascii="仿宋_GB2312" w:hAnsi="黑体" w:eastAsia="仿宋_GB2312"/>
          <w:color w:val="auto"/>
          <w:sz w:val="32"/>
          <w:szCs w:val="32"/>
        </w:rPr>
        <w:t>绩效预算信息</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六、政府采购预算信息</w:t>
      </w:r>
    </w:p>
    <w:p>
      <w:pPr>
        <w:ind w:firstLine="640" w:firstLineChars="200"/>
        <w:jc w:val="left"/>
        <w:rPr>
          <w:rFonts w:hint="eastAsia" w:ascii="仿宋_GB2312" w:hAnsi="仿宋" w:eastAsia="仿宋_GB2312"/>
          <w:color w:val="auto"/>
          <w:sz w:val="32"/>
          <w:szCs w:val="32"/>
        </w:rPr>
      </w:pPr>
      <w:r>
        <w:rPr>
          <w:rFonts w:hint="eastAsia" w:ascii="仿宋_GB2312" w:hAnsi="黑体" w:eastAsia="仿宋_GB2312"/>
          <w:color w:val="auto"/>
          <w:sz w:val="32"/>
          <w:szCs w:val="32"/>
        </w:rPr>
        <w:t>七、</w:t>
      </w:r>
      <w:r>
        <w:rPr>
          <w:rFonts w:hint="eastAsia" w:ascii="仿宋_GB2312" w:hAnsi="仿宋" w:eastAsia="仿宋_GB2312"/>
          <w:color w:val="auto"/>
          <w:sz w:val="32"/>
          <w:szCs w:val="32"/>
        </w:rPr>
        <w:t>国有资产信息</w:t>
      </w:r>
    </w:p>
    <w:p>
      <w:pPr>
        <w:autoSpaceDE w:val="0"/>
        <w:autoSpaceDN w:val="0"/>
        <w:adjustRightInd w:val="0"/>
        <w:ind w:firstLine="627" w:firstLineChars="196"/>
        <w:jc w:val="left"/>
        <w:rPr>
          <w:rFonts w:hint="eastAsia" w:ascii="仿宋_GB2312" w:hAnsi="黑体" w:eastAsia="仿宋_GB2312"/>
          <w:color w:val="auto"/>
          <w:sz w:val="32"/>
          <w:szCs w:val="32"/>
        </w:rPr>
      </w:pPr>
      <w:r>
        <w:rPr>
          <w:rFonts w:hint="eastAsia" w:ascii="仿宋_GB2312" w:hAnsi="仿宋" w:eastAsia="仿宋_GB2312"/>
          <w:color w:val="auto"/>
          <w:sz w:val="32"/>
          <w:szCs w:val="32"/>
        </w:rPr>
        <w:t>八</w:t>
      </w:r>
      <w:r>
        <w:rPr>
          <w:rFonts w:hint="eastAsia" w:ascii="仿宋_GB2312" w:hAnsi="黑体" w:eastAsia="仿宋_GB2312"/>
          <w:color w:val="auto"/>
          <w:sz w:val="32"/>
          <w:szCs w:val="32"/>
        </w:rPr>
        <w:t>、</w:t>
      </w:r>
      <w:r>
        <w:rPr>
          <w:rFonts w:hint="eastAsia" w:ascii="仿宋_GB2312" w:hAnsi="仿宋" w:eastAsia="仿宋_GB2312"/>
          <w:color w:val="auto"/>
          <w:sz w:val="32"/>
          <w:szCs w:val="32"/>
        </w:rPr>
        <w:t>名词解释</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九</w:t>
      </w:r>
      <w:r>
        <w:rPr>
          <w:rFonts w:hint="eastAsia" w:ascii="仿宋_GB2312" w:hAnsi="黑体" w:eastAsia="仿宋_GB2312"/>
          <w:color w:val="auto"/>
          <w:sz w:val="32"/>
          <w:szCs w:val="32"/>
        </w:rPr>
        <w:t>、</w:t>
      </w:r>
      <w:r>
        <w:rPr>
          <w:rFonts w:hint="eastAsia" w:ascii="仿宋_GB2312" w:hAnsi="仿宋" w:eastAsia="仿宋_GB2312"/>
          <w:color w:val="auto"/>
          <w:sz w:val="32"/>
          <w:szCs w:val="32"/>
        </w:rPr>
        <w:t>其他需要说明的事项</w:t>
      </w:r>
    </w:p>
    <w:p>
      <w:pPr>
        <w:ind w:firstLine="643" w:firstLineChars="200"/>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 xml:space="preserve">第二部分 </w:t>
      </w:r>
      <w:r>
        <w:rPr>
          <w:rFonts w:hint="eastAsia" w:ascii="仿宋_GB2312" w:hAnsi="仿宋" w:eastAsia="仿宋_GB2312"/>
          <w:b/>
          <w:color w:val="auto"/>
          <w:sz w:val="32"/>
          <w:szCs w:val="32"/>
          <w:lang w:eastAsia="zh-CN"/>
        </w:rPr>
        <w:t>2020</w:t>
      </w:r>
      <w:r>
        <w:rPr>
          <w:rFonts w:hint="eastAsia" w:ascii="仿宋_GB2312" w:hAnsi="仿宋" w:eastAsia="仿宋_GB2312"/>
          <w:b/>
          <w:color w:val="auto"/>
          <w:sz w:val="32"/>
          <w:szCs w:val="32"/>
        </w:rPr>
        <w:t>年</w:t>
      </w:r>
      <w:r>
        <w:rPr>
          <w:rFonts w:hint="eastAsia" w:ascii="仿宋_GB2312" w:hAnsi="仿宋" w:eastAsia="仿宋_GB2312"/>
          <w:b/>
          <w:color w:val="auto"/>
          <w:sz w:val="32"/>
          <w:szCs w:val="32"/>
          <w:lang w:eastAsia="zh-CN"/>
        </w:rPr>
        <w:t>单位</w:t>
      </w:r>
      <w:r>
        <w:rPr>
          <w:rFonts w:hint="eastAsia" w:ascii="仿宋_GB2312" w:hAnsi="仿宋" w:eastAsia="仿宋_GB2312"/>
          <w:b/>
          <w:color w:val="auto"/>
          <w:sz w:val="32"/>
          <w:szCs w:val="32"/>
        </w:rPr>
        <w:t>预算公开报表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预算收支总表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预算收入总表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预算支出总表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四、</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预算财政拨款收支总表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五、</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预算一般公共预算财政拨款支出表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六、</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预算一般公共预算财政拨款基本支出表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七、</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预算政府基金预算财政拨款支出表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八、</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预算国有资本经营预算财政拨款支出表</w:t>
      </w:r>
    </w:p>
    <w:p>
      <w:pPr>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rPr>
        <w:t>九、</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预算财政拨款“三公”经费支出表</w:t>
      </w:r>
    </w:p>
    <w:p>
      <w:pPr>
        <w:rPr>
          <w:rFonts w:hint="eastAsia" w:ascii="仿宋_GB2312"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spacing w:line="560" w:lineRule="exact"/>
        <w:ind w:left="178" w:leftChars="85" w:firstLine="640" w:firstLineChars="200"/>
        <w:rPr>
          <w:rFonts w:hint="eastAsia" w:ascii="仿宋_GB2312" w:hAnsi="宋体" w:eastAsia="仿宋_GB2312"/>
          <w:color w:val="auto"/>
          <w:sz w:val="32"/>
          <w:szCs w:val="32"/>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hAnsi="仿宋" w:eastAsia="仿宋_GB2312"/>
          <w:b/>
          <w:sz w:val="32"/>
          <w:szCs w:val="32"/>
        </w:rPr>
      </w:pPr>
      <w:r>
        <w:rPr>
          <w:rFonts w:hint="eastAsia" w:ascii="仿宋_GB2312" w:hAnsi="仿宋" w:eastAsia="仿宋_GB2312"/>
          <w:b/>
          <w:sz w:val="32"/>
          <w:szCs w:val="32"/>
        </w:rPr>
        <w:t>第一部分 2021年部门预算公开有关事项的说明</w:t>
      </w:r>
    </w:p>
    <w:p>
      <w:pPr>
        <w:widowControl/>
        <w:numPr>
          <w:ilvl w:val="0"/>
          <w:numId w:val="1"/>
        </w:numPr>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单位职责及机构设置情况</w:t>
      </w:r>
    </w:p>
    <w:p>
      <w:pPr>
        <w:widowControl/>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1、单位职责：</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依法行使市容环境卫生管理方面法律、法规、规章规定的行政监督、检查处罚；依据有关法律法规的规定，对未经规划部门行政许可、行政审批的建筑物、构筑物和其他设施的行政监督、检查处罚；依据有关法律法规的规定，对户外广告、霓虹灯和门店牌匾设置的行政监督、检查处罚。</w:t>
      </w:r>
    </w:p>
    <w:p>
      <w:pPr>
        <w:adjustRightInd w:val="0"/>
        <w:snapToGrid w:val="0"/>
        <w:spacing w:line="560" w:lineRule="exact"/>
        <w:ind w:firstLine="643" w:firstLineChars="200"/>
        <w:rPr>
          <w:rFonts w:ascii="仿宋_GB2312" w:eastAsia="仿宋_GB2312"/>
          <w:sz w:val="32"/>
          <w:szCs w:val="32"/>
        </w:rPr>
      </w:pPr>
      <w:r>
        <w:rPr>
          <w:rFonts w:hint="eastAsia" w:ascii="仿宋_GB2312" w:hAnsi="宋体" w:eastAsia="仿宋_GB2312" w:cs="宋体"/>
          <w:b/>
          <w:sz w:val="32"/>
          <w:szCs w:val="32"/>
        </w:rPr>
        <w:t>2、</w:t>
      </w:r>
      <w:r>
        <w:rPr>
          <w:rFonts w:hint="eastAsia" w:ascii="仿宋_GB2312" w:eastAsia="仿宋_GB2312"/>
          <w:b/>
          <w:sz w:val="32"/>
          <w:szCs w:val="32"/>
        </w:rPr>
        <w:t>机构设置：</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丰南区城市管理综合执法大队</w:t>
      </w:r>
      <w:r>
        <w:rPr>
          <w:rFonts w:hint="eastAsia" w:ascii="仿宋_GB2312" w:hAnsi="宋体" w:eastAsia="仿宋_GB2312"/>
          <w:sz w:val="32"/>
          <w:szCs w:val="32"/>
        </w:rPr>
        <w:t>，机构规格相当于副科级，经费形式为财政性资金基本保证。</w:t>
      </w:r>
    </w:p>
    <w:p>
      <w:pPr>
        <w:spacing w:line="500" w:lineRule="exact"/>
        <w:jc w:val="center"/>
        <w:rPr>
          <w:rFonts w:ascii="仿宋_GB2312" w:eastAsia="仿宋_GB2312"/>
          <w:b/>
          <w:sz w:val="32"/>
          <w:szCs w:val="32"/>
        </w:rPr>
      </w:pPr>
      <w:r>
        <w:rPr>
          <w:rFonts w:hint="eastAsia" w:ascii="仿宋_GB2312" w:eastAsia="仿宋_GB2312"/>
          <w:b/>
          <w:sz w:val="32"/>
          <w:szCs w:val="32"/>
        </w:rPr>
        <w:t>单位机构设置情况</w:t>
      </w:r>
    </w:p>
    <w:tbl>
      <w:tblPr>
        <w:tblStyle w:val="4"/>
        <w:tblpPr w:leftFromText="180" w:rightFromText="180" w:vertAnchor="text" w:horzAnchor="margin" w:tblpXSpec="center" w:tblpY="510"/>
        <w:tblOverlap w:val="never"/>
        <w:tblW w:w="93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2"/>
        <w:gridCol w:w="2274"/>
        <w:gridCol w:w="1463"/>
        <w:gridCol w:w="2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5" w:hRule="atLeast"/>
          <w:tblHeader/>
        </w:trPr>
        <w:tc>
          <w:tcPr>
            <w:tcW w:w="2962" w:type="dxa"/>
            <w:vAlign w:val="center"/>
          </w:tcPr>
          <w:p>
            <w:pPr>
              <w:snapToGrid w:val="0"/>
              <w:spacing w:line="520" w:lineRule="exact"/>
              <w:jc w:val="center"/>
              <w:rPr>
                <w:rFonts w:ascii="仿宋_GB2312" w:hAnsi="宋体" w:eastAsia="仿宋_GB2312"/>
                <w:b/>
                <w:szCs w:val="21"/>
              </w:rPr>
            </w:pPr>
            <w:r>
              <w:rPr>
                <w:rFonts w:hint="eastAsia" w:ascii="仿宋_GB2312" w:hAnsi="宋体" w:eastAsia="仿宋_GB2312"/>
                <w:b/>
                <w:szCs w:val="21"/>
              </w:rPr>
              <w:t>单位名称</w:t>
            </w:r>
          </w:p>
        </w:tc>
        <w:tc>
          <w:tcPr>
            <w:tcW w:w="2274" w:type="dxa"/>
            <w:vAlign w:val="center"/>
          </w:tcPr>
          <w:p>
            <w:pPr>
              <w:snapToGrid w:val="0"/>
              <w:spacing w:line="520" w:lineRule="exact"/>
              <w:jc w:val="center"/>
              <w:rPr>
                <w:rFonts w:ascii="仿宋_GB2312" w:hAnsi="宋体" w:eastAsia="仿宋_GB2312"/>
                <w:b/>
                <w:szCs w:val="21"/>
              </w:rPr>
            </w:pPr>
            <w:r>
              <w:rPr>
                <w:rFonts w:hint="eastAsia" w:ascii="仿宋_GB2312" w:hAnsi="宋体" w:eastAsia="仿宋_GB2312"/>
                <w:b/>
                <w:szCs w:val="21"/>
              </w:rPr>
              <w:t>单位性质</w:t>
            </w:r>
          </w:p>
        </w:tc>
        <w:tc>
          <w:tcPr>
            <w:tcW w:w="1463" w:type="dxa"/>
          </w:tcPr>
          <w:p>
            <w:pPr>
              <w:snapToGrid w:val="0"/>
              <w:spacing w:line="520" w:lineRule="exact"/>
              <w:jc w:val="center"/>
              <w:rPr>
                <w:rFonts w:ascii="仿宋_GB2312" w:hAnsi="宋体" w:eastAsia="仿宋_GB2312"/>
                <w:b/>
                <w:szCs w:val="21"/>
              </w:rPr>
            </w:pPr>
            <w:r>
              <w:rPr>
                <w:rFonts w:hint="eastAsia" w:ascii="仿宋_GB2312" w:hAnsi="宋体" w:eastAsia="仿宋_GB2312"/>
                <w:b/>
                <w:szCs w:val="21"/>
              </w:rPr>
              <w:t>单位规格</w:t>
            </w:r>
          </w:p>
        </w:tc>
        <w:tc>
          <w:tcPr>
            <w:tcW w:w="2692" w:type="dxa"/>
            <w:vAlign w:val="center"/>
          </w:tcPr>
          <w:p>
            <w:pPr>
              <w:snapToGrid w:val="0"/>
              <w:spacing w:line="520" w:lineRule="exact"/>
              <w:jc w:val="center"/>
              <w:rPr>
                <w:rFonts w:ascii="仿宋_GB2312" w:hAnsi="宋体" w:eastAsia="仿宋_GB2312"/>
                <w:b/>
                <w:szCs w:val="21"/>
              </w:rPr>
            </w:pPr>
            <w:r>
              <w:rPr>
                <w:rFonts w:hint="eastAsia" w:ascii="仿宋_GB2312" w:hAnsi="宋体" w:eastAsia="仿宋_GB2312"/>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rPr>
        <w:tc>
          <w:tcPr>
            <w:tcW w:w="2962" w:type="dxa"/>
            <w:tcBorders>
              <w:bottom w:val="single" w:color="auto" w:sz="4" w:space="0"/>
            </w:tcBorders>
            <w:vAlign w:val="center"/>
          </w:tcPr>
          <w:p>
            <w:pPr>
              <w:snapToGrid w:val="0"/>
              <w:spacing w:line="520" w:lineRule="exact"/>
              <w:jc w:val="center"/>
              <w:rPr>
                <w:rFonts w:ascii="仿宋_GB2312" w:hAnsi="宋体" w:eastAsia="仿宋_GB2312"/>
                <w:szCs w:val="21"/>
              </w:rPr>
            </w:pPr>
            <w:r>
              <w:rPr>
                <w:rFonts w:hint="eastAsia" w:ascii="仿宋_GB2312" w:hAnsi="宋体" w:eastAsia="仿宋_GB2312"/>
                <w:szCs w:val="21"/>
              </w:rPr>
              <w:t>唐山市丰南区城市管理综合执法大队</w:t>
            </w:r>
          </w:p>
        </w:tc>
        <w:tc>
          <w:tcPr>
            <w:tcW w:w="2274" w:type="dxa"/>
            <w:vAlign w:val="center"/>
          </w:tcPr>
          <w:p>
            <w:pPr>
              <w:snapToGrid w:val="0"/>
              <w:spacing w:line="520" w:lineRule="exact"/>
              <w:jc w:val="center"/>
              <w:rPr>
                <w:rFonts w:ascii="仿宋_GB2312" w:hAnsi="宋体" w:eastAsia="仿宋_GB2312"/>
                <w:szCs w:val="21"/>
              </w:rPr>
            </w:pPr>
            <w:r>
              <w:rPr>
                <w:rFonts w:hint="eastAsia" w:ascii="仿宋_GB2312" w:hAnsi="宋体" w:eastAsia="仿宋_GB2312"/>
                <w:szCs w:val="21"/>
              </w:rPr>
              <w:t>全额事业（参照公务员法管理）</w:t>
            </w:r>
          </w:p>
        </w:tc>
        <w:tc>
          <w:tcPr>
            <w:tcW w:w="1463" w:type="dxa"/>
            <w:vAlign w:val="center"/>
          </w:tcPr>
          <w:p>
            <w:pPr>
              <w:snapToGrid w:val="0"/>
              <w:spacing w:line="520" w:lineRule="exact"/>
              <w:jc w:val="center"/>
              <w:rPr>
                <w:rFonts w:ascii="仿宋_GB2312" w:hAnsi="宋体" w:eastAsia="仿宋_GB2312"/>
                <w:szCs w:val="21"/>
              </w:rPr>
            </w:pPr>
            <w:r>
              <w:rPr>
                <w:rFonts w:hint="eastAsia" w:ascii="仿宋_GB2312" w:hAnsi="宋体" w:eastAsia="仿宋_GB2312"/>
                <w:szCs w:val="21"/>
              </w:rPr>
              <w:t>副科级</w:t>
            </w:r>
          </w:p>
        </w:tc>
        <w:tc>
          <w:tcPr>
            <w:tcW w:w="2692" w:type="dxa"/>
            <w:vAlign w:val="center"/>
          </w:tcPr>
          <w:p>
            <w:pPr>
              <w:snapToGrid w:val="0"/>
              <w:spacing w:line="520" w:lineRule="exact"/>
              <w:jc w:val="center"/>
              <w:rPr>
                <w:rFonts w:ascii="仿宋_GB2312" w:hAnsi="宋体" w:eastAsia="仿宋_GB2312"/>
                <w:szCs w:val="21"/>
              </w:rPr>
            </w:pPr>
            <w:r>
              <w:rPr>
                <w:rFonts w:hint="eastAsia" w:ascii="仿宋_GB2312" w:hAnsi="宋体" w:eastAsia="仿宋_GB2312"/>
                <w:szCs w:val="21"/>
              </w:rPr>
              <w:t>财政拨款</w:t>
            </w:r>
          </w:p>
        </w:tc>
      </w:tr>
    </w:tbl>
    <w:p>
      <w:pPr>
        <w:autoSpaceDE w:val="0"/>
        <w:autoSpaceDN w:val="0"/>
        <w:adjustRightInd w:val="0"/>
        <w:spacing w:line="500" w:lineRule="exact"/>
        <w:rPr>
          <w:rFonts w:ascii="仿宋" w:hAnsi="仿宋" w:eastAsia="仿宋" w:cs="黑体"/>
          <w:kern w:val="0"/>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cs="仿宋_GB2312"/>
          <w:sz w:val="32"/>
          <w:szCs w:val="32"/>
        </w:rPr>
        <w:t>设13个执法中队，具体包括：</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第一执法中队。负责本中队管理区域内市容环境卫生相关行政执法工作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第二执法中队。负责本中队管理区域内市容环境卫生相关行政执法工作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第三执法中队。负责本中队管理区域内市容环境卫生相关行政执法工作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第四执法中队。负责本中队管理区域内市容环境卫生相关行政执法工作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第五执法中队。负责本中队管理区域内市容环境卫生相关行政执法工作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第六执法中队。负责本中队管理区域内市容环境卫生相关行政执法工作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第七执法中队。负责机动配合区域执法中队完成相关执法工作</w:t>
      </w:r>
      <w:r>
        <w:rPr>
          <w:rFonts w:ascii="仿宋_GB2312" w:eastAsia="仿宋_GB2312"/>
          <w:sz w:val="32"/>
          <w:szCs w:val="32"/>
        </w:rPr>
        <w:t>;</w:t>
      </w:r>
      <w:r>
        <w:rPr>
          <w:rFonts w:hint="eastAsia" w:ascii="仿宋_GB2312" w:eastAsia="仿宋_GB2312"/>
          <w:sz w:val="32"/>
          <w:szCs w:val="32"/>
        </w:rPr>
        <w:t>负责重大案件的查办工作。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第八执法中队。负责机动配合区域执法中队完成相关执法工作</w:t>
      </w:r>
      <w:r>
        <w:rPr>
          <w:rFonts w:ascii="仿宋_GB2312" w:eastAsia="仿宋_GB2312"/>
          <w:sz w:val="32"/>
          <w:szCs w:val="32"/>
        </w:rPr>
        <w:t>;</w:t>
      </w:r>
      <w:r>
        <w:rPr>
          <w:rFonts w:hint="eastAsia" w:ascii="仿宋_GB2312" w:eastAsia="仿宋_GB2312"/>
          <w:sz w:val="32"/>
          <w:szCs w:val="32"/>
        </w:rPr>
        <w:t>负责重大案件的查办工作。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第九执法中队。负责本中队管理区域内市容环境卫生相关行政执法工作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第十执法中队。负责本中队管理区域内市容环境卫生相关行政执法工作</w:t>
      </w:r>
      <w:r>
        <w:rPr>
          <w:rFonts w:ascii="仿宋_GB2312" w:eastAsia="仿宋_GB2312"/>
          <w:sz w:val="32"/>
          <w:szCs w:val="32"/>
        </w:rPr>
        <w:t>;</w:t>
      </w:r>
      <w:r>
        <w:rPr>
          <w:rFonts w:hint="eastAsia" w:ascii="仿宋_GB2312" w:eastAsia="仿宋_GB2312"/>
          <w:sz w:val="32"/>
          <w:szCs w:val="32"/>
        </w:rPr>
        <w:t>市场监督管理方面的城区户外公共场所无照经营、违规设置户外广告</w:t>
      </w:r>
      <w:r>
        <w:rPr>
          <w:rFonts w:ascii="仿宋_GB2312" w:eastAsia="仿宋_GB2312"/>
          <w:sz w:val="32"/>
          <w:szCs w:val="32"/>
        </w:rPr>
        <w:t>,</w:t>
      </w:r>
      <w:r>
        <w:rPr>
          <w:rFonts w:hint="eastAsia" w:ascii="仿宋_GB2312" w:eastAsia="仿宋_GB2312"/>
          <w:sz w:val="32"/>
          <w:szCs w:val="32"/>
        </w:rPr>
        <w:t>城区户外公共场所食品销售和餐饮摊点无证经营、违法回收贩卖药品等相关行政执法工作</w:t>
      </w:r>
      <w:r>
        <w:rPr>
          <w:rFonts w:ascii="仿宋_GB2312" w:eastAsia="仿宋_GB2312"/>
          <w:sz w:val="32"/>
          <w:szCs w:val="32"/>
        </w:rPr>
        <w:t>;</w:t>
      </w:r>
      <w:r>
        <w:rPr>
          <w:rFonts w:hint="eastAsia" w:ascii="仿宋_GB2312" w:eastAsia="仿宋_GB2312"/>
          <w:sz w:val="32"/>
          <w:szCs w:val="32"/>
        </w:rPr>
        <w:t>城市公交等方面相关行政执法工作。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住房和城乡建设执法中队。负责城区内住房和城乡建设领域行政执法工作。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环境保护执法中队。负责城区内环境保护方面社会生活噪声污染、建筑施工噪声污染、建设施工扬尘污染、餐饮服务业油烟污染、露天烧烤污染、焚烧沥青塑料垃圾等烟尘和恶臭污染、露天焚烧秸秆落叶等烟尘污染、燃放烟花爆竹污染等方面行政执法工作。</w:t>
      </w:r>
    </w:p>
    <w:p>
      <w:pPr>
        <w:autoSpaceDE w:val="0"/>
        <w:autoSpaceDN w:val="0"/>
        <w:adjustRightInd w:val="0"/>
        <w:spacing w:line="5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水务和交通管理执法中队。负责城区内水务方面向城市河道倾倒废弃物和垃圾及违规取土、城市河道违法建筑物拆除等的行政执法工作</w:t>
      </w:r>
      <w:r>
        <w:rPr>
          <w:rFonts w:ascii="仿宋_GB2312" w:eastAsia="仿宋_GB2312"/>
          <w:sz w:val="32"/>
          <w:szCs w:val="32"/>
        </w:rPr>
        <w:t>;</w:t>
      </w:r>
      <w:r>
        <w:rPr>
          <w:rFonts w:hint="eastAsia" w:ascii="仿宋_GB2312" w:eastAsia="仿宋_GB2312"/>
          <w:sz w:val="32"/>
          <w:szCs w:val="32"/>
        </w:rPr>
        <w:t>负责交通管理方面侵占城市道路、违法停放车辆等的行政执法工作。</w:t>
      </w:r>
    </w:p>
    <w:p>
      <w:pPr>
        <w:autoSpaceDE w:val="0"/>
        <w:autoSpaceDN w:val="0"/>
        <w:adjustRightInd w:val="0"/>
        <w:spacing w:line="500" w:lineRule="exact"/>
        <w:ind w:firstLine="640" w:firstLineChars="200"/>
        <w:rPr>
          <w:rFonts w:ascii="仿宋_GB2312" w:eastAsia="仿宋_GB2312"/>
          <w:sz w:val="32"/>
          <w:szCs w:val="32"/>
        </w:rPr>
      </w:pPr>
    </w:p>
    <w:p>
      <w:pPr>
        <w:adjustRightInd w:val="0"/>
        <w:snapToGrid w:val="0"/>
        <w:spacing w:line="560" w:lineRule="exact"/>
        <w:ind w:left="178" w:leftChars="85" w:firstLine="540"/>
        <w:rPr>
          <w:rFonts w:ascii="仿宋_GB2312" w:hAnsi="仿宋" w:eastAsia="仿宋_GB2312"/>
          <w:b/>
          <w:bCs/>
          <w:sz w:val="32"/>
          <w:szCs w:val="32"/>
        </w:rPr>
      </w:pPr>
      <w:r>
        <w:rPr>
          <w:rFonts w:hint="eastAsia" w:ascii="仿宋_GB2312" w:hAnsi="仿宋" w:eastAsia="仿宋_GB2312"/>
          <w:b/>
          <w:bCs/>
          <w:sz w:val="32"/>
          <w:szCs w:val="32"/>
        </w:rPr>
        <w:t>3、人员构成</w:t>
      </w:r>
    </w:p>
    <w:p>
      <w:pPr>
        <w:adjustRightInd w:val="0"/>
        <w:snapToGrid w:val="0"/>
        <w:spacing w:line="560" w:lineRule="exact"/>
        <w:ind w:left="178" w:leftChars="85" w:firstLine="540"/>
        <w:rPr>
          <w:rFonts w:ascii="仿宋_GB2312" w:hAnsi="仿宋" w:eastAsia="仿宋_GB2312"/>
          <w:sz w:val="32"/>
          <w:szCs w:val="32"/>
        </w:rPr>
      </w:pPr>
      <w:r>
        <w:rPr>
          <w:rFonts w:hint="eastAsia" w:ascii="仿宋_GB2312" w:hAnsi="仿宋" w:eastAsia="仿宋_GB2312"/>
          <w:sz w:val="32"/>
          <w:szCs w:val="32"/>
        </w:rPr>
        <w:t>我单位财政供养实有在职83人，其中参照公务员管理编制74人、事业编制4人、人事代理5人。离退休人员3人。劳务派遣人员63人，其他临时人员2人。</w:t>
      </w:r>
    </w:p>
    <w:p>
      <w:pPr>
        <w:adjustRightInd w:val="0"/>
        <w:snapToGrid w:val="0"/>
        <w:spacing w:line="560" w:lineRule="exact"/>
        <w:ind w:left="178" w:leftChars="85" w:firstLine="540"/>
        <w:rPr>
          <w:rFonts w:ascii="仿宋_GB2312" w:hAnsi="仿宋" w:eastAsia="仿宋_GB2312"/>
          <w:sz w:val="32"/>
          <w:szCs w:val="32"/>
        </w:rPr>
      </w:pPr>
    </w:p>
    <w:p>
      <w:pPr>
        <w:ind w:firstLine="64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二、单位预算安排的总体情况</w:t>
      </w:r>
    </w:p>
    <w:p>
      <w:pPr>
        <w:widowControl/>
        <w:adjustRightInd w:val="0"/>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1、收入预算说明</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2021年单位收入预算1717.22万元，其中：一般公共预算拨款1717.22万元，政府性基金预算拨款0万元，国有资本经营预算拨款0万元，财政专户核拨0万元，其它来源收入0万元。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 xml:space="preserve">2、支出预算说明 </w:t>
      </w:r>
    </w:p>
    <w:p>
      <w:pPr>
        <w:widowControl/>
        <w:adjustRightInd w:val="0"/>
        <w:snapToGrid w:val="0"/>
        <w:spacing w:line="560" w:lineRule="exact"/>
        <w:rPr>
          <w:rFonts w:ascii="仿宋_GB2312" w:hAnsi="仿宋" w:eastAsia="仿宋_GB2312"/>
          <w:sz w:val="32"/>
          <w:szCs w:val="32"/>
        </w:rPr>
      </w:pPr>
      <w:r>
        <w:rPr>
          <w:rFonts w:hint="eastAsia" w:ascii="仿宋_GB2312" w:hAnsi="黑体" w:eastAsia="仿宋_GB2312"/>
          <w:sz w:val="32"/>
          <w:szCs w:val="32"/>
        </w:rPr>
        <w:t xml:space="preserve">  </w:t>
      </w:r>
      <w:r>
        <w:rPr>
          <w:rFonts w:hint="eastAsia" w:ascii="仿宋_GB2312" w:hAnsi="仿宋" w:eastAsia="仿宋_GB2312"/>
          <w:sz w:val="32"/>
          <w:szCs w:val="32"/>
        </w:rPr>
        <w:t xml:space="preserve">  2021年支出预算1717.22万元，其中：人员经费支出969.89万元，日常公用经费支出145.03万元；项目支出602.3万元，主要用于城区建筑废墟和垃圾清理费、城区小广告清理经费、公共部位亮化设施维修经费、公共部位围挡维修维护经费、煤河及公共部位亮化电费、市容环境卫生管理人员经费（劳务费）、退役军人公益性岗位安置费用、自行车架、隔离柱维修维护经费。</w:t>
      </w:r>
    </w:p>
    <w:p>
      <w:pPr>
        <w:autoSpaceDE w:val="0"/>
        <w:autoSpaceDN w:val="0"/>
        <w:adjustRightInd w:val="0"/>
        <w:snapToGrid w:val="0"/>
        <w:spacing w:line="56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3、单位预算较上年增减情况</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2021年收入预算较2020年增长74.58万元，主要是由于人员经费支出减少和项目支出增加。</w:t>
      </w:r>
    </w:p>
    <w:p>
      <w:pPr>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2021年支出预算较2020年增长74.58万元，其中：基本支出增长48.07万元，主要是人员工资级数调整，人员经费支出增加；项目支出增长26.51万元，主要是市容环境卫生管理人员经费（劳务费）增加，退役军人公益性岗位安置费用增加，增加自行车架、隔离柱维修项目。</w:t>
      </w:r>
    </w:p>
    <w:p>
      <w:pPr>
        <w:autoSpaceDE w:val="0"/>
        <w:autoSpaceDN w:val="0"/>
        <w:adjustRightInd w:val="0"/>
        <w:snapToGrid w:val="0"/>
        <w:spacing w:line="56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三、机关运行经费安排情况</w:t>
      </w:r>
    </w:p>
    <w:p>
      <w:pPr>
        <w:widowControl/>
        <w:adjustRightInd w:val="0"/>
        <w:snapToGrid w:val="0"/>
        <w:spacing w:line="560" w:lineRule="exact"/>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2021年机关运行经费145.03万元，包括办公费17.36万元、印刷费1万元、邮电费1万元、差旅费1万元、办公用房取暖费5.83万元、公务用车运行维护费24.5万元、工会费10.92万元、福利费7.71万元、移动通讯补贴32.82万元、交通补贴37.56万元、劳务费2万元、办公设备购置费2万元、公务接待费1.21万元、离退休干部报刊费0.12万元。</w:t>
      </w:r>
    </w:p>
    <w:p>
      <w:pPr>
        <w:autoSpaceDE w:val="0"/>
        <w:autoSpaceDN w:val="0"/>
        <w:adjustRightInd w:val="0"/>
        <w:snapToGrid w:val="0"/>
        <w:spacing w:line="560" w:lineRule="exact"/>
        <w:ind w:firstLine="723" w:firstLineChars="225"/>
        <w:jc w:val="left"/>
        <w:rPr>
          <w:rFonts w:ascii="仿宋_GB2312" w:hAnsi="黑体" w:eastAsia="仿宋_GB2312"/>
          <w:b/>
          <w:sz w:val="32"/>
          <w:szCs w:val="32"/>
        </w:rPr>
      </w:pPr>
      <w:r>
        <w:rPr>
          <w:rFonts w:hint="eastAsia" w:ascii="仿宋_GB2312" w:hAnsi="黑体" w:eastAsia="仿宋_GB2312"/>
          <w:b/>
          <w:sz w:val="32"/>
          <w:szCs w:val="32"/>
        </w:rPr>
        <w:t>四、财政拨款“三公”经费预算情况及增减变化原因</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2021年，财政拨款“三公”经费预算安排25.71万元，比2020年减少7万元。其中：</w:t>
      </w:r>
      <w:r>
        <w:rPr>
          <w:rFonts w:hint="eastAsia" w:ascii="仿宋_GB2312" w:hAnsi="Arial Unicode MS" w:eastAsia="仿宋_GB2312" w:cs="Arial Unicode MS"/>
          <w:sz w:val="32"/>
          <w:szCs w:val="32"/>
        </w:rPr>
        <w:t>①</w:t>
      </w:r>
      <w:r>
        <w:rPr>
          <w:rFonts w:hint="eastAsia" w:ascii="仿宋_GB2312" w:hAnsi="仿宋" w:eastAsia="仿宋_GB2312"/>
          <w:sz w:val="32"/>
          <w:szCs w:val="32"/>
        </w:rPr>
        <w:t>因公出国（境）费0万元，与2020年比较无增减变化；</w:t>
      </w:r>
      <w:r>
        <w:rPr>
          <w:rFonts w:hint="eastAsia" w:ascii="仿宋_GB2312" w:hAnsi="Arial Unicode MS" w:eastAsia="仿宋_GB2312" w:cs="Arial Unicode MS"/>
          <w:sz w:val="32"/>
          <w:szCs w:val="32"/>
        </w:rPr>
        <w:t>②</w:t>
      </w:r>
      <w:r>
        <w:rPr>
          <w:rFonts w:hint="eastAsia" w:ascii="仿宋_GB2312" w:hAnsi="仿宋" w:eastAsia="仿宋_GB2312"/>
          <w:sz w:val="32"/>
          <w:szCs w:val="32"/>
        </w:rPr>
        <w:t>公务用车购置及运行费24.5万元，其中：公务用车购置费为0万元，与2020年比较无增减变化；公务用车运行费24.5万元，比2020年减少7万元，原因是向政府</w:t>
      </w:r>
      <w:bookmarkStart w:id="8" w:name="_GoBack"/>
      <w:bookmarkEnd w:id="8"/>
      <w:r>
        <w:rPr>
          <w:rFonts w:hint="eastAsia" w:ascii="仿宋_GB2312" w:hAnsi="仿宋" w:eastAsia="仿宋_GB2312"/>
          <w:sz w:val="32"/>
          <w:szCs w:val="32"/>
        </w:rPr>
        <w:t>借用车辆2辆，其运行维护费未纳入预算支出；</w:t>
      </w:r>
      <w:r>
        <w:rPr>
          <w:rFonts w:hint="eastAsia" w:ascii="仿宋_GB2312" w:hAnsi="Arial Unicode MS" w:eastAsia="仿宋_GB2312" w:cs="Arial Unicode MS"/>
          <w:sz w:val="32"/>
          <w:szCs w:val="32"/>
        </w:rPr>
        <w:t>③</w:t>
      </w:r>
      <w:r>
        <w:rPr>
          <w:rFonts w:hint="eastAsia" w:ascii="仿宋_GB2312" w:hAnsi="仿宋" w:eastAsia="仿宋_GB2312"/>
          <w:sz w:val="32"/>
          <w:szCs w:val="32"/>
        </w:rPr>
        <w:t>公务接待费1.21万元，与2020年相比无增减变化。</w:t>
      </w:r>
    </w:p>
    <w:p>
      <w:pPr>
        <w:autoSpaceDE w:val="0"/>
        <w:autoSpaceDN w:val="0"/>
        <w:adjustRightInd w:val="0"/>
        <w:snapToGrid w:val="0"/>
        <w:spacing w:line="560" w:lineRule="exact"/>
        <w:ind w:left="198" w:firstLine="643" w:firstLineChars="200"/>
        <w:jc w:val="left"/>
        <w:rPr>
          <w:rFonts w:ascii="仿宋_GB2312" w:hAnsi="黑体" w:eastAsia="仿宋_GB2312"/>
          <w:b/>
          <w:sz w:val="32"/>
          <w:szCs w:val="32"/>
        </w:rPr>
      </w:pPr>
      <w:r>
        <w:rPr>
          <w:rFonts w:hint="eastAsia" w:ascii="仿宋_GB2312" w:hAnsi="黑体" w:eastAsia="仿宋_GB2312"/>
          <w:b/>
          <w:sz w:val="32"/>
          <w:szCs w:val="32"/>
        </w:rPr>
        <w:t>五、绩效预算信息</w:t>
      </w:r>
    </w:p>
    <w:p>
      <w:pPr>
        <w:adjustRightInd w:val="0"/>
        <w:snapToGrid w:val="0"/>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第一部分 单位整体绩效目标</w:t>
      </w:r>
    </w:p>
    <w:p>
      <w:pPr>
        <w:pStyle w:val="7"/>
        <w:numPr>
          <w:ilvl w:val="0"/>
          <w:numId w:val="2"/>
        </w:numPr>
        <w:spacing w:line="500" w:lineRule="exact"/>
        <w:ind w:firstLineChars="0"/>
        <w:jc w:val="left"/>
        <w:rPr>
          <w:rFonts w:eastAsia="方正仿宋_GBK"/>
          <w:sz w:val="28"/>
        </w:rPr>
      </w:pPr>
      <w:r>
        <w:rPr>
          <w:rFonts w:hint="eastAsia" w:ascii="仿宋_GB2312" w:eastAsia="仿宋_GB2312"/>
          <w:sz w:val="32"/>
          <w:szCs w:val="32"/>
        </w:rPr>
        <w:t>总体绩效目标</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加强城区执法，有效解决流动摊贩欺街占道经营、渣土运输车辆飘洒、违规设置广告牌匾、露天烧烤焚烧等问题，不断提升城市管理执法水平。建设城市综合管理服务平台，完善建设视频智能分析系统、智慧环卫综合管理平台、智慧综合执法系统、智慧市政综合监管系统、智慧渣土监管系统及智慧城管公共服务平台等。提高城市管理水平，规范综合行政执法。强化队伍，提高执法水平。持续开展法律、法规培训，理论知识培训，进一步完善文明礼仪、规范执法、车辆使用等各类规章制度，加强纪律作风建设，不断提升内部管理水平。</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分项绩效目标：</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 xml:space="preserve">依法行使市容环境卫生管理方面法律、法规、规章规定的行政监督、检查处罚；依据有关法律法规的规定，对未经规划部门行政许可、行政审批的建筑物、构筑物和其他设施的行政监督、检查处罚；依据有关法律法规的规定，对户外广告、霓虹灯和门店牌匾设置的行政监督、检查处罚。  </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年度绩效目标：确保各项业务工作谋划到位、顺利开展，保障机关工作的正常高效运转；加强城市市容环境卫生管理，提高城市管理水平和宜居度；加强对城市规划区施工工地的监管，做到违法建筑“发现一起，查处一起”；加强对城市规划区内户外广告、霓虹灯和门店牌匾设置的管理；对城市规划区内建筑工地围挡设置的管理；对城区内政府投资的公共部位的亮化设施进行维护、维修；抓好建筑垃圾处置审批、处置工作，严厉查处建筑垃圾违规处置行为；抓好渣土运输管理，完善渣土运输企业日常监管制度，加强GPS平台监管；抓好露天烧烤、露天焚烧整治，加大宣传力度和日常检查力度，提前入手、苗头管控、勤巡严治。</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中长期目标：加强马路市场整治，对易发生占道经营路段严加管控；加强小广告整治，积极开展违规非法小广告整治行动，提升我区城市面貌；加大对城区公共部位亮化设施的日常巡查和维护管理，保证亮化效果；做好城区范围内广告牌匾的整治提升工作；积极稳妥推进“智慧城管”，推进智慧城管平台建设工作。</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工作保障措施：</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1、加强领导，全面落实责任。为推动年度目标任务工作顺利实施，</w:t>
      </w:r>
      <w:r>
        <w:rPr>
          <w:rFonts w:hint="eastAsia" w:ascii="仿宋_GB2312" w:hAnsi="仿宋" w:eastAsia="仿宋_GB2312"/>
          <w:sz w:val="32"/>
          <w:szCs w:val="32"/>
        </w:rPr>
        <w:t>各级领导干部</w:t>
      </w:r>
      <w:r>
        <w:rPr>
          <w:rFonts w:ascii="仿宋_GB2312" w:hAnsi="仿宋" w:eastAsia="仿宋_GB2312"/>
          <w:sz w:val="32"/>
          <w:szCs w:val="32"/>
        </w:rPr>
        <w:t>明确职责任务，谁主管谁负责，层层分解，落实到</w:t>
      </w:r>
      <w:r>
        <w:rPr>
          <w:rFonts w:hint="eastAsia" w:ascii="仿宋_GB2312" w:hAnsi="仿宋" w:eastAsia="仿宋_GB2312"/>
          <w:sz w:val="32"/>
          <w:szCs w:val="32"/>
        </w:rPr>
        <w:t>责任科室</w:t>
      </w:r>
      <w:r>
        <w:rPr>
          <w:rFonts w:ascii="仿宋_GB2312" w:hAnsi="仿宋" w:eastAsia="仿宋_GB2312"/>
          <w:sz w:val="32"/>
          <w:szCs w:val="32"/>
        </w:rPr>
        <w:t>，各责任科室将各项任务层层分解、细化、量化，形成一级抓一级、层层抓落实的责任体系，确保实现目标。</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2、提前谋划，力争抓快抓实。按照年初既定计划，各科室提前谋划，做好前期手续、部门协调等准备工作，力争各项工作尽快落到实处。同时，严格程序，依法管理，抓好项目</w:t>
      </w:r>
      <w:r>
        <w:rPr>
          <w:rFonts w:hint="eastAsia" w:ascii="仿宋_GB2312" w:hAnsi="仿宋" w:eastAsia="仿宋_GB2312"/>
          <w:sz w:val="32"/>
          <w:szCs w:val="32"/>
        </w:rPr>
        <w:t>实施的</w:t>
      </w:r>
      <w:r>
        <w:rPr>
          <w:rFonts w:ascii="仿宋_GB2312" w:hAnsi="仿宋" w:eastAsia="仿宋_GB2312"/>
          <w:sz w:val="32"/>
          <w:szCs w:val="32"/>
        </w:rPr>
        <w:t>各个环节，彻底杜绝“三边”和“豆腐渣”工程。</w:t>
      </w:r>
    </w:p>
    <w:p>
      <w:pPr>
        <w:adjustRightInd w:val="0"/>
        <w:snapToGrid w:val="0"/>
        <w:spacing w:line="560" w:lineRule="exact"/>
        <w:ind w:firstLine="720" w:firstLineChars="225"/>
        <w:rPr>
          <w:rFonts w:ascii="仿宋_GB2312" w:hAnsi="仿宋" w:eastAsia="仿宋_GB2312"/>
          <w:sz w:val="32"/>
          <w:szCs w:val="32"/>
        </w:rPr>
      </w:pPr>
      <w:r>
        <w:rPr>
          <w:rFonts w:ascii="仿宋_GB2312" w:hAnsi="仿宋" w:eastAsia="仿宋_GB2312"/>
          <w:sz w:val="32"/>
          <w:szCs w:val="32"/>
        </w:rPr>
        <w:t>3、严格督导，严格落实奖惩。对各科室</w:t>
      </w:r>
      <w:r>
        <w:rPr>
          <w:rFonts w:hint="eastAsia" w:ascii="仿宋_GB2312" w:hAnsi="仿宋" w:eastAsia="仿宋_GB2312"/>
          <w:sz w:val="32"/>
          <w:szCs w:val="32"/>
        </w:rPr>
        <w:t>的</w:t>
      </w:r>
      <w:r>
        <w:rPr>
          <w:rFonts w:ascii="仿宋_GB2312" w:hAnsi="仿宋" w:eastAsia="仿宋_GB2312"/>
          <w:sz w:val="32"/>
          <w:szCs w:val="32"/>
        </w:rPr>
        <w:t>工作开展情况进行定期督导并建立工作台账，及时下达整改意见并跟踪督导整改结果。严格落实奖惩措施，对在工作中涌现出来的先进单位和个人给予通报表彰和奖励，对工作不力的，追究相关责任人的责任。</w:t>
      </w:r>
    </w:p>
    <w:p>
      <w:pPr>
        <w:adjustRightInd w:val="0"/>
        <w:snapToGrid w:val="0"/>
        <w:spacing w:line="560" w:lineRule="exact"/>
        <w:ind w:firstLine="720" w:firstLineChars="225"/>
        <w:rPr>
          <w:rFonts w:ascii="仿宋_GB2312" w:hAnsi="仿宋" w:eastAsia="仿宋_GB2312"/>
          <w:sz w:val="32"/>
          <w:szCs w:val="32"/>
        </w:rPr>
      </w:pP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第二部分 专项资金绩效目标</w:t>
      </w:r>
    </w:p>
    <w:p>
      <w:pPr>
        <w:adjustRightInd w:val="0"/>
        <w:snapToGrid w:val="0"/>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2021年此项目无数据。</w:t>
      </w:r>
    </w:p>
    <w:p>
      <w:pPr>
        <w:widowControl/>
        <w:jc w:val="left"/>
        <w:rPr>
          <w:rFonts w:ascii="仿宋_GB2312" w:eastAsia="仿宋_GB2312"/>
          <w:sz w:val="32"/>
          <w:szCs w:val="32"/>
        </w:rPr>
      </w:pPr>
      <w:r>
        <w:rPr>
          <w:rFonts w:ascii="仿宋_GB2312" w:eastAsia="仿宋_GB2312"/>
          <w:sz w:val="32"/>
          <w:szCs w:val="32"/>
        </w:rPr>
        <w:br w:type="page"/>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第三部分 预算项目绩效目标</w:t>
      </w:r>
    </w:p>
    <w:p>
      <w:pPr>
        <w:ind w:firstLine="562" w:firstLineChars="200"/>
        <w:jc w:val="left"/>
        <w:outlineLvl w:val="3"/>
        <w:rPr>
          <w:rFonts w:hAnsi="宋体"/>
          <w:b/>
          <w:sz w:val="28"/>
        </w:rPr>
      </w:pPr>
      <w:bookmarkStart w:id="0" w:name="_Toc65812218"/>
      <w:r>
        <w:rPr>
          <w:rFonts w:hint="eastAsia" w:ascii="方正仿宋_GBK" w:eastAsia="方正仿宋_GBK"/>
          <w:b/>
          <w:sz w:val="28"/>
        </w:rPr>
        <w:t>1.城区建筑废墟、垃圾清理费绩效目标表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44、城区建筑废墟、垃圾清理费绩效目标表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130207218I15UTYRNZILY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城区建筑废墟、垃圾清理费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按照我单位的职责，负责清理城区公共部位临时、零散建筑废墟、垃圾。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及时清理公共部位的建筑废墟、垃圾，美化市容环境，提高居民生活质量。</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建筑废墟、垃圾清理工作完成量占年度计划量的比例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清理工作验收合格率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建筑废墟、垃圾清理工作实际验收合格量占年度完成量的比例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清理工作及时率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建筑废墟、垃圾清理工作及时情况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对业务保障能力的提升情况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能够较长时间保证清理公共部位的建筑废墟、垃圾，美化市容环境，提高居民生活质量。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1" w:name="_Toc65812219"/>
      <w:r>
        <w:rPr>
          <w:rFonts w:hint="eastAsia" w:ascii="方正仿宋_GBK" w:eastAsia="方正仿宋_GBK"/>
          <w:b/>
          <w:sz w:val="28"/>
        </w:rPr>
        <w:t>2.退役军人公益性岗位安置费用绩效目标表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45、退役军人公益性岗位安置费用绩效目标表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13020721AXOFVSBUZRP9W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退役军人公益性岗位安置费用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104.61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104.61</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对单位退役军人公益性岗位人员</w:t>
            </w:r>
            <w:r>
              <w:rPr>
                <w:rFonts w:ascii="方正书宋_GBK" w:eastAsia="方正书宋_GBK"/>
              </w:rPr>
              <w:t>31</w:t>
            </w:r>
            <w:r>
              <w:rPr>
                <w:rFonts w:hint="eastAsia" w:ascii="方正书宋_GBK" w:eastAsia="方正书宋_GBK"/>
              </w:rPr>
              <w:t>名，每月及时发放工资、缴纳社保缴费，保证该类人员基本福利支出。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及时发放退役军人公益性岗位人员工资，保障机关正常运转。</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退役军人公益性岗位人员数量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聘用的退役军人公益性岗位人数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专款专用率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经费财政拨款专款专用情况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实际退役军人公益性岗位人员情况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保障各项工资正常运转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机关运转情况</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退役军人公益性岗位人员满意度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2" w:name="_Toc65812220"/>
      <w:r>
        <w:rPr>
          <w:rFonts w:hint="eastAsia" w:ascii="方正仿宋_GBK" w:eastAsia="方正仿宋_GBK"/>
          <w:b/>
          <w:sz w:val="28"/>
        </w:rPr>
        <w:t>3.煤河、公共部位亮化电费绩效目标表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46、煤河、公共部位亮化电费绩效目标表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13020721DU3NMG6GYA53U</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煤河、公共部位亮化电费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我局负责及时支付煤河带状公园、部分临街住宅小区、部分临街楼体、部分广场绿地的亮化设施电费，保证亮化设施的正常开启，保障城市夜景亮化效果。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及时支付煤河带状公园、部分临街住宅小区、部分临街楼体等公共部位的亮化电费，保证亮化设施的正常开启，保障城市夜景亮化效果。</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亮化设施电费缴纳覆盖率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亮化设施电费缴纳覆盖情况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正常供电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及时缴纳电费，保证正常用电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亮化设施电费支出及时率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亮化设施电费支出及时率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对业务保障能力的提升情况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能够满足一年亮化电费需求。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3" w:name="_Toc65812221"/>
      <w:r>
        <w:rPr>
          <w:rFonts w:hint="eastAsia" w:ascii="方正仿宋_GBK" w:eastAsia="方正仿宋_GBK"/>
          <w:b/>
          <w:sz w:val="28"/>
        </w:rPr>
        <w:t>4.公共部位围挡维修维护经费绩效目标表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47、公共部位围挡维修维护经费绩效目标表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13020721K66R84GG3OC30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公共部位围挡维修维护经费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对政府投资的公共部位广告围挡进行维护维修。具体为按公益宣传要求更换公益广告画面、及时维修因雷雨、大风等不可抗力等原因破损的围挡。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通过及时维修维护破损的公共部位围挡，提高城区整洁度，美化城区环境。</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广告围挡维修工作完成率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广告围挡维修工作完成量占年度计划量的比例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广告围挡维修工作验收合格率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广告围挡维修实际验收合格量占年度完成量的比例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广告围挡维修工作及时率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广告围挡维修工作及时情况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对业务保障能力的提升情况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维修维护破损的公共部位围挡，能较长时间保证城区整洁，美化城区环境</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4" w:name="_Toc65812222"/>
      <w:r>
        <w:rPr>
          <w:rFonts w:hint="eastAsia" w:ascii="方正仿宋_GBK" w:eastAsia="方正仿宋_GBK"/>
          <w:b/>
          <w:sz w:val="28"/>
        </w:rPr>
        <w:t>5.市容环境卫生管理人员经费（劳务费）绩效目标表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48、市容环境卫生管理人员经费（劳务费）绩效目标表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13020721NPEDSU7102KLP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市容环境卫生管理人员经费（劳务费）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293.33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293.33</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对单位劳务派遣人员</w:t>
            </w:r>
            <w:r>
              <w:rPr>
                <w:rFonts w:ascii="方正书宋_GBK" w:eastAsia="方正书宋_GBK"/>
              </w:rPr>
              <w:t>65</w:t>
            </w:r>
            <w:r>
              <w:rPr>
                <w:rFonts w:hint="eastAsia" w:ascii="方正书宋_GBK" w:eastAsia="方正书宋_GBK"/>
              </w:rPr>
              <w:t>名，每月及时发放工资、缴纳社保缴费，保证该类人员基本福利支出。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及时发放劳务派遣人员工资，保障机关正常运转。</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聘用的劳务派遣人数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专款专用率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辅助管理人员（工勤人员）经费财政拨款专款专用情况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65</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保障各项工资正常运转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机关运转情况</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5" w:name="_Toc65812223"/>
      <w:r>
        <w:rPr>
          <w:rFonts w:hint="eastAsia" w:ascii="方正仿宋_GBK" w:eastAsia="方正仿宋_GBK"/>
          <w:b/>
          <w:sz w:val="28"/>
        </w:rPr>
        <w:t>6.自行车架、隔离柱维修维护经费绩效目标表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49、自行车架、隔离柱维修维护经费绩效目标表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13020721SO7X2XF7ROVPZ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自行车架、隔离柱维修维护经费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对城区公园、广场、绿地、大型商场、主次干道的自行车架、隔离柱、通道进行维修维护，保障公园、广场、商场、餐馆周边及主要干道的机动车、非机动车有序停放。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保障公园、广场、商场、餐馆周边及主要干道的机动车、非机动车有序停放，保证良好的城市秩序。</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自行车架、隔离柱、通道维修工作完成量占年度计划量的比例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维修工作验收合格率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自行车架、隔离柱、通道维修工作实际验收合格量占年度完成量的比例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采购节约率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自行车架、隔离柱、通道维修工作实际节约金额占计划金额的比例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对业务保障能力的提升情况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能够较长时间保证主要干道的机动车、非机动车有序停放，保证良好的城市秩序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6" w:name="_Toc65812224"/>
      <w:r>
        <w:rPr>
          <w:rFonts w:hint="eastAsia" w:ascii="方正仿宋_GBK" w:eastAsia="方正仿宋_GBK"/>
          <w:b/>
          <w:sz w:val="28"/>
        </w:rPr>
        <w:t>7.公共部位亮化设施维修经费绩效目标表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50、公共部位亮化设施维修经费绩效目标表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13020721V0I19QILZSPXG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公共部位亮化设施维修经费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对政府投资建设的公共部位进行亮化设施进行维护、维修。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通过日常维修维护，保证城区内政府投资的公共部位的亮化设施完好无损，提升城市夜景亮化水平。</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维护维修工作完成率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公共部位亮化设施维修工作完成量占年度维修维护计划量的比例。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维护维修项目验收合格率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公共部位亮化设施维护维修项目实际验收合格量占采购完成量的比例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维护维修项目采购节约率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公共部位亮化设施维护维修项目实际采购节约金额占采购计划金额的比例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亮化设施完好率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亮化设施完好数量占亮化设施总数量的比率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能够较长时间保证城区内政府投资的公共部位的亮化设施完好无损，提升城市夜景亮化水平。</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7" w:name="_Toc65812225"/>
      <w:r>
        <w:rPr>
          <w:rFonts w:hint="eastAsia" w:ascii="方正仿宋_GBK" w:eastAsia="方正仿宋_GBK"/>
          <w:b/>
          <w:sz w:val="28"/>
        </w:rPr>
        <w:t>8.城区小广告清理经费绩效目标</w:t>
      </w:r>
      <w:bookmarkEnd w:id="7"/>
      <w:r>
        <w:rPr>
          <w:rFonts w:hint="eastAsia" w:ascii="方正仿宋_GBK" w:eastAsia="方正仿宋_GBK"/>
          <w:b/>
          <w:sz w:val="28"/>
        </w:rPr>
        <w:t>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51、城区小广告清理经费绩效目标表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417003</w:t>
            </w:r>
            <w:r>
              <w:rPr>
                <w:rFonts w:hint="eastAsia" w:ascii="方正书宋_GBK" w:eastAsia="方正书宋_GBK"/>
                <w:b/>
              </w:rPr>
              <w:t>唐山市丰南区城市管理综合执法大队</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13020721W1A9DQPBU19IR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城区小广告清理经费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3.36</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对城区公共部位乱涂、乱画、随意张贴、散发的小广告的整治和清除，清理专用材料费</w:t>
            </w:r>
            <w:r>
              <w:rPr>
                <w:rFonts w:ascii="方正书宋_GBK" w:eastAsia="方正书宋_GBK"/>
              </w:rPr>
              <w:t>2</w:t>
            </w:r>
            <w:r>
              <w:rPr>
                <w:rFonts w:hint="eastAsia" w:ascii="方正书宋_GBK" w:eastAsia="方正书宋_GBK"/>
              </w:rPr>
              <w:t>万元，清理劳务费</w:t>
            </w:r>
            <w:r>
              <w:rPr>
                <w:rFonts w:ascii="方正书宋_GBK" w:eastAsia="方正书宋_GBK"/>
              </w:rPr>
              <w:t>1.36</w:t>
            </w:r>
            <w:r>
              <w:rPr>
                <w:rFonts w:hint="eastAsia" w:ascii="方正书宋_GBK" w:eastAsia="方正书宋_GBK"/>
              </w:rPr>
              <w:t>万元，共计</w:t>
            </w:r>
            <w:r>
              <w:rPr>
                <w:rFonts w:ascii="方正书宋_GBK" w:eastAsia="方正书宋_GBK"/>
              </w:rPr>
              <w:t>3.36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加强日常巡查和保洁，落实长效管理，做到</w:t>
            </w:r>
            <w:r>
              <w:rPr>
                <w:rFonts w:hint="cs" w:ascii="方正书宋_GBK" w:eastAsia="方正书宋_GBK"/>
              </w:rPr>
              <w:t>“</w:t>
            </w:r>
            <w:r>
              <w:rPr>
                <w:rFonts w:hint="eastAsia" w:ascii="方正书宋_GBK" w:eastAsia="方正书宋_GBK"/>
              </w:rPr>
              <w:t>发现一起，清除一起</w:t>
            </w:r>
            <w:r>
              <w:rPr>
                <w:rFonts w:hint="cs" w:ascii="方正书宋_GBK" w:eastAsia="方正书宋_GBK"/>
              </w:rPr>
              <w:t>”</w:t>
            </w:r>
            <w:r>
              <w:rPr>
                <w:rFonts w:hint="eastAsia" w:ascii="方正书宋_GBK" w:eastAsia="方正书宋_GBK"/>
              </w:rPr>
              <w:t>，对乱涂、乱画、随意张贴、散发的小广告进行整治和清除。</w:t>
            </w:r>
          </w:p>
        </w:tc>
      </w:tr>
    </w:tbl>
    <w:p>
      <w:pPr>
        <w:spacing w:line="14" w:lineRule="exact"/>
        <w:jc w:val="center"/>
        <w:rPr>
          <w:rFonts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小广告清理工作完成率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小广告清理工作完成量占年度计划工作量的比例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小广告清理工作覆盖率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小广告清理工作占需要清理的比例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小广告清理工作及时情况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小广告清理工作的及时情况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对业务保障能力的提升情况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对公共服务水平的提升情况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落实长效管理，较长时间满足对乱涂、乱画、随意张贴、散发的小广告进行整治和清除</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通过问卷调查，满意问卷占全部调查问卷的比例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napToGrid w:val="0"/>
        <w:spacing w:line="560" w:lineRule="exact"/>
        <w:ind w:firstLine="803" w:firstLineChars="250"/>
        <w:jc w:val="left"/>
        <w:rPr>
          <w:rFonts w:ascii="仿宋_GB2312" w:hAnsi="黑体" w:eastAsia="仿宋_GB2312"/>
          <w:sz w:val="32"/>
          <w:szCs w:val="32"/>
        </w:rPr>
      </w:pPr>
      <w:r>
        <w:rPr>
          <w:rFonts w:hint="eastAsia" w:ascii="仿宋_GB2312" w:hAnsi="黑体" w:eastAsia="仿宋_GB2312"/>
          <w:b/>
          <w:sz w:val="32"/>
          <w:szCs w:val="32"/>
        </w:rPr>
        <w:t>六、政府采购预算信息</w:t>
      </w:r>
    </w:p>
    <w:p>
      <w:pPr>
        <w:adjustRightInd w:val="0"/>
        <w:snapToGrid w:val="0"/>
        <w:spacing w:line="560" w:lineRule="exact"/>
        <w:ind w:left="178" w:leftChars="85" w:firstLine="697" w:firstLineChars="218"/>
        <w:rPr>
          <w:rFonts w:ascii="仿宋_GB2312" w:hAnsi="宋体" w:eastAsia="仿宋_GB2312"/>
          <w:sz w:val="32"/>
          <w:szCs w:val="32"/>
        </w:rPr>
      </w:pPr>
      <w:r>
        <w:rPr>
          <w:rFonts w:hint="eastAsia" w:ascii="仿宋_GB2312" w:hAnsi="宋体" w:eastAsia="仿宋_GB2312"/>
          <w:sz w:val="32"/>
          <w:szCs w:val="32"/>
        </w:rPr>
        <w:t>2021年单位预算共计安排政府采购项目1个,涉及金额120万元。其中：工程类1个,涉及金额120万元,主要包括公共部位亮化设施维修。</w:t>
      </w:r>
    </w:p>
    <w:p>
      <w:pPr>
        <w:adjustRightInd w:val="0"/>
        <w:snapToGrid w:val="0"/>
        <w:spacing w:line="560" w:lineRule="exact"/>
        <w:ind w:left="178" w:leftChars="85" w:firstLine="697" w:firstLineChars="218"/>
        <w:rPr>
          <w:rFonts w:ascii="仿宋_GB2312" w:hAnsi="宋体" w:eastAsia="仿宋_GB2312"/>
          <w:sz w:val="32"/>
          <w:szCs w:val="32"/>
        </w:rPr>
      </w:pPr>
      <w:r>
        <w:rPr>
          <w:rFonts w:hint="eastAsia" w:ascii="仿宋_GB2312" w:hAnsi="宋体" w:eastAsia="仿宋_GB2312"/>
          <w:sz w:val="32"/>
          <w:szCs w:val="32"/>
        </w:rPr>
        <w:t xml:space="preserve">列表如下： </w:t>
      </w:r>
    </w:p>
    <w:tbl>
      <w:tblPr>
        <w:tblStyle w:val="4"/>
        <w:tblW w:w="11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805"/>
        <w:gridCol w:w="1173"/>
        <w:gridCol w:w="1136"/>
        <w:gridCol w:w="526"/>
        <w:gridCol w:w="567"/>
        <w:gridCol w:w="850"/>
        <w:gridCol w:w="771"/>
        <w:gridCol w:w="842"/>
        <w:gridCol w:w="704"/>
        <w:gridCol w:w="851"/>
        <w:gridCol w:w="971"/>
        <w:gridCol w:w="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 w:hRule="atLeast"/>
          <w:tblHeader/>
          <w:jc w:val="center"/>
        </w:trPr>
        <w:tc>
          <w:tcPr>
            <w:tcW w:w="227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7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2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56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883"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5" w:hRule="atLeast"/>
          <w:tblHeader/>
          <w:jc w:val="center"/>
        </w:trPr>
        <w:tc>
          <w:tcPr>
            <w:tcW w:w="147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0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73" w:type="dxa"/>
            <w:vMerge w:val="continue"/>
            <w:shd w:val="clear" w:color="auto" w:fill="auto"/>
            <w:vAlign w:val="center"/>
          </w:tcPr>
          <w:p>
            <w:pPr>
              <w:spacing w:line="300" w:lineRule="exact"/>
              <w:jc w:val="left"/>
              <w:outlineLvl w:val="1"/>
              <w:rPr>
                <w:rFonts w:eastAsia="方正仿宋_GBK"/>
                <w:sz w:val="28"/>
              </w:rPr>
            </w:pPr>
          </w:p>
        </w:tc>
        <w:tc>
          <w:tcPr>
            <w:tcW w:w="1136" w:type="dxa"/>
            <w:vMerge w:val="continue"/>
            <w:shd w:val="clear" w:color="auto" w:fill="auto"/>
            <w:vAlign w:val="center"/>
          </w:tcPr>
          <w:p>
            <w:pPr>
              <w:spacing w:line="300" w:lineRule="exact"/>
              <w:jc w:val="left"/>
              <w:outlineLvl w:val="1"/>
              <w:rPr>
                <w:rFonts w:eastAsia="方正仿宋_GBK"/>
                <w:sz w:val="28"/>
              </w:rPr>
            </w:pPr>
          </w:p>
        </w:tc>
        <w:tc>
          <w:tcPr>
            <w:tcW w:w="526" w:type="dxa"/>
            <w:vMerge w:val="continue"/>
            <w:shd w:val="clear" w:color="auto" w:fill="auto"/>
            <w:vAlign w:val="center"/>
          </w:tcPr>
          <w:p>
            <w:pPr>
              <w:spacing w:line="300" w:lineRule="exact"/>
              <w:jc w:val="left"/>
              <w:outlineLvl w:val="1"/>
              <w:rPr>
                <w:rFonts w:eastAsia="方正仿宋_GBK"/>
                <w:sz w:val="28"/>
              </w:rPr>
            </w:pPr>
          </w:p>
        </w:tc>
        <w:tc>
          <w:tcPr>
            <w:tcW w:w="567" w:type="dxa"/>
            <w:vMerge w:val="continue"/>
            <w:shd w:val="clear" w:color="auto" w:fill="auto"/>
            <w:vAlign w:val="center"/>
          </w:tcPr>
          <w:p>
            <w:pPr>
              <w:spacing w:line="300" w:lineRule="exact"/>
              <w:jc w:val="left"/>
              <w:outlineLvl w:val="1"/>
              <w:rPr>
                <w:rFonts w:eastAsia="方正仿宋_GBK"/>
                <w:sz w:val="28"/>
              </w:rPr>
            </w:pPr>
          </w:p>
        </w:tc>
        <w:tc>
          <w:tcPr>
            <w:tcW w:w="850" w:type="dxa"/>
            <w:vMerge w:val="continue"/>
            <w:shd w:val="clear" w:color="auto" w:fill="auto"/>
            <w:vAlign w:val="center"/>
          </w:tcPr>
          <w:p>
            <w:pPr>
              <w:spacing w:line="300" w:lineRule="exact"/>
              <w:jc w:val="left"/>
              <w:outlineLvl w:val="1"/>
              <w:rPr>
                <w:rFonts w:eastAsia="方正仿宋_GBK"/>
                <w:sz w:val="28"/>
              </w:rPr>
            </w:pPr>
          </w:p>
        </w:tc>
        <w:tc>
          <w:tcPr>
            <w:tcW w:w="77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4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97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4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公共部位亮化设施维修经费</w:t>
            </w:r>
          </w:p>
        </w:tc>
        <w:tc>
          <w:tcPr>
            <w:tcW w:w="805" w:type="dxa"/>
            <w:shd w:val="clear" w:color="auto" w:fill="auto"/>
            <w:vAlign w:val="center"/>
          </w:tcPr>
          <w:p>
            <w:pPr>
              <w:spacing w:line="300" w:lineRule="exact"/>
              <w:jc w:val="right"/>
              <w:rPr>
                <w:rFonts w:ascii="方正书宋_GBK" w:eastAsia="方正书宋_GBK"/>
                <w:sz w:val="18"/>
                <w:szCs w:val="18"/>
              </w:rPr>
            </w:pPr>
            <w:r>
              <w:rPr>
                <w:rFonts w:ascii="方正书宋_GBK" w:eastAsia="方正书宋_GBK"/>
                <w:sz w:val="18"/>
                <w:szCs w:val="18"/>
              </w:rPr>
              <w:t>120.00</w:t>
            </w:r>
          </w:p>
        </w:tc>
        <w:tc>
          <w:tcPr>
            <w:tcW w:w="117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其他建筑物、构筑物修缮</w:t>
            </w:r>
          </w:p>
        </w:tc>
        <w:tc>
          <w:tcPr>
            <w:tcW w:w="1136" w:type="dxa"/>
            <w:shd w:val="clear" w:color="auto" w:fill="auto"/>
            <w:vAlign w:val="center"/>
          </w:tcPr>
          <w:p>
            <w:pPr>
              <w:spacing w:line="300" w:lineRule="exact"/>
              <w:jc w:val="left"/>
              <w:rPr>
                <w:rFonts w:ascii="方正书宋_GBK" w:eastAsia="方正书宋_GBK"/>
              </w:rPr>
            </w:pPr>
            <w:r>
              <w:rPr>
                <w:rFonts w:ascii="方正书宋_GBK" w:eastAsia="方正书宋_GBK"/>
              </w:rPr>
              <w:t>B0899</w:t>
            </w:r>
          </w:p>
        </w:tc>
        <w:tc>
          <w:tcPr>
            <w:tcW w:w="5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56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pPr>
              <w:spacing w:line="300" w:lineRule="exact"/>
              <w:jc w:val="right"/>
              <w:rPr>
                <w:rFonts w:ascii="方正书宋_GBK" w:eastAsia="方正书宋_GBK"/>
                <w:sz w:val="18"/>
                <w:szCs w:val="18"/>
              </w:rPr>
            </w:pPr>
            <w:r>
              <w:rPr>
                <w:rFonts w:ascii="方正书宋_GBK" w:eastAsia="方正书宋_GBK"/>
                <w:sz w:val="18"/>
                <w:szCs w:val="18"/>
              </w:rPr>
              <w:t>120.00</w:t>
            </w:r>
          </w:p>
        </w:tc>
        <w:tc>
          <w:tcPr>
            <w:tcW w:w="771" w:type="dxa"/>
            <w:shd w:val="clear" w:color="auto" w:fill="auto"/>
            <w:vAlign w:val="center"/>
          </w:tcPr>
          <w:p>
            <w:pPr>
              <w:spacing w:line="300" w:lineRule="exact"/>
              <w:jc w:val="right"/>
              <w:rPr>
                <w:rFonts w:ascii="方正书宋_GBK" w:eastAsia="方正书宋_GBK"/>
                <w:sz w:val="18"/>
                <w:szCs w:val="18"/>
              </w:rPr>
            </w:pPr>
            <w:r>
              <w:rPr>
                <w:rFonts w:ascii="方正书宋_GBK" w:eastAsia="方正书宋_GBK"/>
                <w:sz w:val="18"/>
                <w:szCs w:val="18"/>
              </w:rPr>
              <w:t>120.00</w:t>
            </w:r>
          </w:p>
        </w:tc>
        <w:tc>
          <w:tcPr>
            <w:tcW w:w="842" w:type="dxa"/>
            <w:shd w:val="clear" w:color="auto" w:fill="auto"/>
            <w:vAlign w:val="center"/>
          </w:tcPr>
          <w:p>
            <w:pPr>
              <w:spacing w:line="300" w:lineRule="exact"/>
              <w:jc w:val="right"/>
              <w:rPr>
                <w:rFonts w:ascii="方正书宋_GBK" w:eastAsia="方正书宋_GBK"/>
                <w:sz w:val="18"/>
                <w:szCs w:val="18"/>
              </w:rPr>
            </w:pPr>
            <w:r>
              <w:rPr>
                <w:rFonts w:ascii="方正书宋_GBK" w:eastAsia="方正书宋_GBK"/>
                <w:sz w:val="18"/>
                <w:szCs w:val="18"/>
              </w:rPr>
              <w:t>120.00</w:t>
            </w:r>
          </w:p>
        </w:tc>
        <w:tc>
          <w:tcPr>
            <w:tcW w:w="704" w:type="dxa"/>
            <w:shd w:val="clear" w:color="auto" w:fill="auto"/>
            <w:vAlign w:val="center"/>
          </w:tcPr>
          <w:p>
            <w:pPr>
              <w:spacing w:line="300" w:lineRule="exact"/>
              <w:jc w:val="right"/>
              <w:rPr>
                <w:rFonts w:ascii="方正书宋_GBK" w:eastAsia="方正书宋_GBK"/>
              </w:rPr>
            </w:pPr>
          </w:p>
        </w:tc>
        <w:tc>
          <w:tcPr>
            <w:tcW w:w="851" w:type="dxa"/>
            <w:shd w:val="clear" w:color="auto" w:fill="auto"/>
            <w:vAlign w:val="center"/>
          </w:tcPr>
          <w:p>
            <w:pPr>
              <w:spacing w:line="300" w:lineRule="exact"/>
              <w:jc w:val="right"/>
              <w:rPr>
                <w:rFonts w:ascii="方正书宋_GBK" w:eastAsia="方正书宋_GBK"/>
              </w:rPr>
            </w:pPr>
          </w:p>
        </w:tc>
        <w:tc>
          <w:tcPr>
            <w:tcW w:w="971" w:type="dxa"/>
            <w:shd w:val="clear" w:color="auto" w:fill="auto"/>
            <w:vAlign w:val="center"/>
          </w:tcPr>
          <w:p>
            <w:pPr>
              <w:spacing w:line="300" w:lineRule="exact"/>
              <w:jc w:val="right"/>
              <w:rPr>
                <w:rFonts w:ascii="方正书宋_GBK" w:eastAsia="方正书宋_GBK"/>
              </w:rPr>
            </w:pPr>
          </w:p>
        </w:tc>
        <w:tc>
          <w:tcPr>
            <w:tcW w:w="74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snapToGrid w:val="0"/>
        <w:spacing w:line="560" w:lineRule="exact"/>
        <w:jc w:val="left"/>
        <w:rPr>
          <w:rFonts w:ascii="仿宋_GB2312" w:hAnsi="黑体" w:eastAsia="仿宋_GB2312"/>
          <w:sz w:val="32"/>
          <w:szCs w:val="32"/>
        </w:rPr>
      </w:pPr>
      <w:r>
        <w:rPr>
          <w:rFonts w:hint="eastAsia" w:ascii="仿宋_GB2312" w:hAnsi="黑体" w:eastAsia="仿宋_GB2312"/>
          <w:b/>
          <w:sz w:val="32"/>
          <w:szCs w:val="32"/>
        </w:rPr>
        <w:t>七、国有资产信息</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我单位2020年底固定资产269.54万元，车辆7辆价值42.40万元、其他固定资产价值227.14万元。我单位无单价20万元以上的设备。（详见下表）。</w:t>
      </w:r>
    </w:p>
    <w:tbl>
      <w:tblPr>
        <w:tblStyle w:val="4"/>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单位固定资产占用情况表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编制单位：</w:t>
            </w:r>
          </w:p>
        </w:tc>
        <w:tc>
          <w:tcPr>
            <w:tcW w:w="4131" w:type="dxa"/>
            <w:tcBorders>
              <w:top w:val="nil"/>
              <w:left w:val="nil"/>
              <w:bottom w:val="nil"/>
              <w:right w:val="nil"/>
            </w:tcBorders>
            <w:vAlign w:val="center"/>
          </w:tcPr>
          <w:p>
            <w:pPr>
              <w:widowControl/>
              <w:jc w:val="right"/>
              <w:rPr>
                <w:rFonts w:ascii="宋体" w:hAnsi="宋体" w:cs="宋体"/>
                <w:b/>
                <w:bCs/>
                <w:kern w:val="0"/>
                <w:sz w:val="22"/>
                <w:szCs w:val="22"/>
              </w:rPr>
            </w:pPr>
            <w:r>
              <w:rPr>
                <w:rFonts w:hint="eastAsia" w:ascii="仿宋_GB2312" w:hAnsi="仿宋_GB2312" w:eastAsia="仿宋_GB2312" w:cs="仿宋_GB2312"/>
                <w:kern w:val="0"/>
                <w:sz w:val="22"/>
                <w:szCs w:val="22"/>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269.54</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7</w:t>
            </w: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42.40</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227.14</w:t>
            </w:r>
          </w:p>
        </w:tc>
      </w:tr>
    </w:tbl>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2021年无新增资产。</w:t>
      </w:r>
    </w:p>
    <w:p>
      <w:pPr>
        <w:autoSpaceDE w:val="0"/>
        <w:autoSpaceDN w:val="0"/>
        <w:adjustRightInd w:val="0"/>
        <w:snapToGrid w:val="0"/>
        <w:spacing w:line="560" w:lineRule="exact"/>
        <w:ind w:firstLine="643" w:firstLineChars="200"/>
        <w:jc w:val="left"/>
        <w:rPr>
          <w:rFonts w:ascii="仿宋_GB2312" w:hAnsi="黑体" w:eastAsia="仿宋_GB2312"/>
          <w:sz w:val="32"/>
          <w:szCs w:val="32"/>
        </w:rPr>
      </w:pPr>
      <w:r>
        <w:rPr>
          <w:rFonts w:hint="eastAsia" w:ascii="仿宋_GB2312" w:hAnsi="黑体" w:eastAsia="仿宋_GB2312"/>
          <w:b/>
          <w:sz w:val="32"/>
          <w:szCs w:val="32"/>
        </w:rPr>
        <w:t>八、专业名词解释</w:t>
      </w:r>
    </w:p>
    <w:p>
      <w:pPr>
        <w:adjustRightInd w:val="0"/>
        <w:snapToGrid w:val="0"/>
        <w:spacing w:line="560" w:lineRule="exact"/>
        <w:rPr>
          <w:rFonts w:ascii="仿宋_GB2312" w:eastAsia="仿宋_GB2312"/>
          <w:sz w:val="32"/>
          <w:szCs w:val="32"/>
        </w:rPr>
      </w:pPr>
      <w:r>
        <w:rPr>
          <w:rFonts w:hint="eastAsia" w:ascii="仿宋_GB2312" w:eastAsia="仿宋_GB2312"/>
          <w:b/>
          <w:sz w:val="32"/>
          <w:szCs w:val="32"/>
        </w:rPr>
        <w:t xml:space="preserve">  </w:t>
      </w:r>
      <w:r>
        <w:rPr>
          <w:rFonts w:hint="eastAsia" w:ascii="仿宋_GB2312" w:hAnsi="黑体" w:eastAsia="仿宋_GB2312"/>
          <w:sz w:val="32"/>
          <w:szCs w:val="32"/>
        </w:rPr>
        <w:t xml:space="preserve">  基本支出</w:t>
      </w:r>
      <w:r>
        <w:rPr>
          <w:rFonts w:hint="eastAsia" w:ascii="仿宋_GB2312" w:eastAsia="仿宋_GB2312"/>
          <w:b/>
          <w:sz w:val="32"/>
          <w:szCs w:val="32"/>
        </w:rPr>
        <w:t>：</w:t>
      </w:r>
      <w:r>
        <w:rPr>
          <w:rFonts w:hint="eastAsia" w:ascii="仿宋_GB2312" w:hAnsi="仿宋" w:eastAsia="仿宋_GB2312"/>
          <w:sz w:val="32"/>
          <w:szCs w:val="32"/>
        </w:rPr>
        <w:t>为保障机构正常运转，完成日常工作任务，而发生的人员支出和公用支出。</w:t>
      </w:r>
    </w:p>
    <w:p>
      <w:pPr>
        <w:adjustRightInd w:val="0"/>
        <w:snapToGrid w:val="0"/>
        <w:spacing w:line="560" w:lineRule="exact"/>
        <w:ind w:firstLine="660"/>
        <w:rPr>
          <w:rFonts w:ascii="仿宋_GB2312" w:eastAsia="仿宋_GB2312"/>
          <w:sz w:val="32"/>
          <w:szCs w:val="32"/>
        </w:rPr>
      </w:pPr>
      <w:r>
        <w:rPr>
          <w:rFonts w:hint="eastAsia" w:ascii="仿宋_GB2312" w:hAnsi="黑体" w:eastAsia="仿宋_GB2312"/>
          <w:sz w:val="32"/>
          <w:szCs w:val="32"/>
        </w:rPr>
        <w:t>项目支出</w:t>
      </w:r>
      <w:r>
        <w:rPr>
          <w:rFonts w:hint="eastAsia" w:ascii="仿宋_GB2312" w:eastAsia="仿宋_GB2312"/>
          <w:b/>
          <w:sz w:val="32"/>
          <w:szCs w:val="32"/>
        </w:rPr>
        <w:t>：</w:t>
      </w:r>
      <w:r>
        <w:rPr>
          <w:rFonts w:hint="eastAsia" w:ascii="仿宋_GB2312" w:hAnsi="仿宋" w:eastAsia="仿宋_GB2312"/>
          <w:sz w:val="32"/>
          <w:szCs w:val="32"/>
        </w:rPr>
        <w:t>为完成特定行政任务和事业发展目标而发生的费用</w:t>
      </w:r>
      <w:r>
        <w:rPr>
          <w:rFonts w:hint="eastAsia" w:ascii="仿宋_GB2312" w:eastAsia="仿宋_GB2312"/>
          <w:sz w:val="32"/>
          <w:szCs w:val="32"/>
        </w:rPr>
        <w:t xml:space="preserve">。    </w:t>
      </w:r>
    </w:p>
    <w:p>
      <w:pPr>
        <w:adjustRightInd w:val="0"/>
        <w:snapToGrid w:val="0"/>
        <w:spacing w:line="560" w:lineRule="exact"/>
        <w:ind w:firstLine="660"/>
        <w:rPr>
          <w:rFonts w:ascii="仿宋_GB2312" w:hAnsi="仿宋" w:eastAsia="仿宋_GB2312"/>
          <w:sz w:val="32"/>
          <w:szCs w:val="32"/>
        </w:rPr>
      </w:pPr>
      <w:r>
        <w:rPr>
          <w:rFonts w:hint="eastAsia" w:ascii="仿宋_GB2312" w:hAnsi="黑体" w:eastAsia="仿宋_GB2312"/>
          <w:sz w:val="32"/>
          <w:szCs w:val="32"/>
        </w:rPr>
        <w:t>机关运行经费</w:t>
      </w:r>
      <w:r>
        <w:rPr>
          <w:rFonts w:hint="eastAsia" w:ascii="仿宋_GB2312" w:eastAsia="仿宋_GB2312"/>
          <w:b/>
          <w:sz w:val="32"/>
          <w:szCs w:val="32"/>
        </w:rPr>
        <w:t>：</w:t>
      </w:r>
      <w:r>
        <w:rPr>
          <w:rFonts w:hint="eastAsia" w:ascii="仿宋_GB2312" w:hAnsi="仿宋" w:eastAsia="仿宋_GB2312"/>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pPr>
        <w:adjustRightInd w:val="0"/>
        <w:snapToGrid w:val="0"/>
        <w:spacing w:line="560" w:lineRule="exact"/>
        <w:ind w:firstLine="600"/>
        <w:rPr>
          <w:rFonts w:ascii="仿宋_GB2312" w:hAnsi="黑体" w:eastAsia="仿宋_GB2312"/>
          <w:sz w:val="32"/>
          <w:szCs w:val="32"/>
        </w:rPr>
      </w:pPr>
      <w:r>
        <w:rPr>
          <w:rFonts w:hint="eastAsia" w:ascii="仿宋_GB2312" w:hAnsi="黑体" w:eastAsia="仿宋_GB2312"/>
          <w:b/>
          <w:sz w:val="32"/>
          <w:szCs w:val="32"/>
        </w:rPr>
        <w:t>九、其他情况说明</w:t>
      </w:r>
    </w:p>
    <w:p>
      <w:pPr>
        <w:adjustRightInd w:val="0"/>
        <w:snapToGrid w:val="0"/>
        <w:spacing w:line="560" w:lineRule="exact"/>
        <w:ind w:firstLine="600"/>
        <w:rPr>
          <w:rFonts w:ascii="仿宋_GB2312" w:hAnsi="仿宋" w:eastAsia="仿宋_GB2312"/>
          <w:sz w:val="32"/>
          <w:szCs w:val="32"/>
        </w:rPr>
      </w:pPr>
      <w:r>
        <w:rPr>
          <w:rFonts w:hint="eastAsia" w:ascii="仿宋_GB2312" w:hAnsi="仿宋" w:eastAsia="仿宋_GB2312"/>
          <w:sz w:val="32"/>
          <w:szCs w:val="32"/>
        </w:rPr>
        <w:t>单位预算政府性基金预算财政拨款支出表，此表无数据，因本单位不涉及政府性基金，因此无数据；</w:t>
      </w:r>
    </w:p>
    <w:p>
      <w:pPr>
        <w:adjustRightInd w:val="0"/>
        <w:snapToGrid w:val="0"/>
        <w:spacing w:line="560" w:lineRule="exact"/>
        <w:ind w:firstLine="600"/>
        <w:rPr>
          <w:rFonts w:ascii="仿宋_GB2312" w:hAnsi="黑体" w:eastAsia="仿宋_GB2312"/>
          <w:sz w:val="32"/>
          <w:szCs w:val="32"/>
        </w:rPr>
      </w:pPr>
      <w:r>
        <w:rPr>
          <w:rFonts w:hint="eastAsia" w:ascii="仿宋_GB2312" w:hAnsi="仿宋" w:eastAsia="仿宋_GB2312"/>
          <w:sz w:val="32"/>
          <w:szCs w:val="32"/>
        </w:rPr>
        <w:t>单位预算国有资本经营预算财政拨款支出表，此表无数据，因本单位不涉及国有资本经营，因此无数据。</w:t>
      </w:r>
    </w:p>
    <w:p>
      <w:pPr>
        <w:widowControl/>
        <w:jc w:val="left"/>
      </w:pPr>
      <w:r>
        <w:br w:type="page"/>
      </w:r>
    </w:p>
    <w:p>
      <w:pPr>
        <w:rPr>
          <w:rFonts w:hint="eastAsia"/>
        </w:rPr>
      </w:pPr>
    </w:p>
    <w:p>
      <w:pPr>
        <w:ind w:firstLine="643" w:firstLineChars="200"/>
        <w:jc w:val="center"/>
        <w:rPr>
          <w:rFonts w:hint="eastAsia" w:ascii="仿宋_GB2312" w:hAnsi="仿宋" w:eastAsia="仿宋_GB2312"/>
          <w:b/>
          <w:sz w:val="32"/>
          <w:szCs w:val="32"/>
        </w:rPr>
      </w:pPr>
      <w:r>
        <w:rPr>
          <w:rFonts w:hint="eastAsia" w:ascii="仿宋_GB2312" w:hAnsi="仿宋" w:eastAsia="仿宋_GB2312"/>
          <w:b/>
          <w:sz w:val="32"/>
          <w:szCs w:val="32"/>
        </w:rPr>
        <w:t>第二部分 2021年部门预算公开报表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一、部门预算收支总表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二、部门预算收入总表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三、部门预算支出总表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四、部门预算财政拨款收支总表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五、部门预算一般公共预算财政拨款支出表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六、部门预算一般公共预算财政拨款基本支出表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七、部门预算政府基金预算财政拨款支出表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八、部门预算国有资本经营预算财政拨款支出表</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九、部门预算财政拨款“三公”经费支出表</w:t>
      </w:r>
    </w:p>
    <w:p/>
    <w:sectPr>
      <w:footerReference r:id="rId3" w:type="default"/>
      <w:pgSz w:w="11906" w:h="16838"/>
      <w:pgMar w:top="2098" w:right="1531" w:bottom="1984" w:left="153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p>
            </w:txbxContent>
          </v:textbox>
        </v:shape>
      </w:pic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57745"/>
    <w:multiLevelType w:val="multilevel"/>
    <w:tmpl w:val="1E957745"/>
    <w:lvl w:ilvl="0" w:tentative="0">
      <w:start w:val="1"/>
      <w:numFmt w:val="japaneseCounting"/>
      <w:lvlText w:val="（%1）"/>
      <w:lvlJc w:val="left"/>
      <w:pPr>
        <w:ind w:left="1371" w:hanging="945"/>
      </w:pPr>
      <w:rPr>
        <w:rFonts w:hint="default" w:hAnsi="宋体"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7064522"/>
    <w:multiLevelType w:val="singleLevel"/>
    <w:tmpl w:val="770645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4C28"/>
    <w:rsid w:val="000108D7"/>
    <w:rsid w:val="000126FD"/>
    <w:rsid w:val="00024C28"/>
    <w:rsid w:val="00044871"/>
    <w:rsid w:val="000A7F2C"/>
    <w:rsid w:val="000B102C"/>
    <w:rsid w:val="000E193A"/>
    <w:rsid w:val="000F1C2F"/>
    <w:rsid w:val="000F1E65"/>
    <w:rsid w:val="00125773"/>
    <w:rsid w:val="00141A6F"/>
    <w:rsid w:val="00145EA2"/>
    <w:rsid w:val="0015161E"/>
    <w:rsid w:val="001623B0"/>
    <w:rsid w:val="00186803"/>
    <w:rsid w:val="00191516"/>
    <w:rsid w:val="001C3CC0"/>
    <w:rsid w:val="001E7717"/>
    <w:rsid w:val="001F4B19"/>
    <w:rsid w:val="00206CF7"/>
    <w:rsid w:val="00217E49"/>
    <w:rsid w:val="0022400C"/>
    <w:rsid w:val="00236A6E"/>
    <w:rsid w:val="00242400"/>
    <w:rsid w:val="00246A17"/>
    <w:rsid w:val="00271B48"/>
    <w:rsid w:val="00287DFA"/>
    <w:rsid w:val="002A048B"/>
    <w:rsid w:val="002B2760"/>
    <w:rsid w:val="002B5D0F"/>
    <w:rsid w:val="002B6C4B"/>
    <w:rsid w:val="002C09F2"/>
    <w:rsid w:val="002C4C13"/>
    <w:rsid w:val="002E7CA7"/>
    <w:rsid w:val="002F4A98"/>
    <w:rsid w:val="002F706F"/>
    <w:rsid w:val="00307772"/>
    <w:rsid w:val="00320692"/>
    <w:rsid w:val="0032670F"/>
    <w:rsid w:val="00333462"/>
    <w:rsid w:val="003337BC"/>
    <w:rsid w:val="003564A4"/>
    <w:rsid w:val="00375CBA"/>
    <w:rsid w:val="003B5478"/>
    <w:rsid w:val="003C5CDF"/>
    <w:rsid w:val="003D33A6"/>
    <w:rsid w:val="003D6EA7"/>
    <w:rsid w:val="003E5EC2"/>
    <w:rsid w:val="003F38EF"/>
    <w:rsid w:val="004053C4"/>
    <w:rsid w:val="00421CB2"/>
    <w:rsid w:val="00427BD0"/>
    <w:rsid w:val="0043224A"/>
    <w:rsid w:val="00452D36"/>
    <w:rsid w:val="0047476A"/>
    <w:rsid w:val="00490CF5"/>
    <w:rsid w:val="004B72B0"/>
    <w:rsid w:val="004D22C7"/>
    <w:rsid w:val="004E413C"/>
    <w:rsid w:val="00522884"/>
    <w:rsid w:val="00530777"/>
    <w:rsid w:val="00545392"/>
    <w:rsid w:val="00567749"/>
    <w:rsid w:val="00576ED7"/>
    <w:rsid w:val="0057771F"/>
    <w:rsid w:val="005C7F5D"/>
    <w:rsid w:val="005E7027"/>
    <w:rsid w:val="006033C6"/>
    <w:rsid w:val="0060759F"/>
    <w:rsid w:val="00627D17"/>
    <w:rsid w:val="00630595"/>
    <w:rsid w:val="00636BBE"/>
    <w:rsid w:val="006503D1"/>
    <w:rsid w:val="0065751C"/>
    <w:rsid w:val="00683789"/>
    <w:rsid w:val="006A0394"/>
    <w:rsid w:val="006B1C57"/>
    <w:rsid w:val="006D0081"/>
    <w:rsid w:val="006D2F4C"/>
    <w:rsid w:val="006E61F0"/>
    <w:rsid w:val="00716EC1"/>
    <w:rsid w:val="00770F77"/>
    <w:rsid w:val="00773E40"/>
    <w:rsid w:val="0077547C"/>
    <w:rsid w:val="007952FE"/>
    <w:rsid w:val="007A3354"/>
    <w:rsid w:val="007C0F98"/>
    <w:rsid w:val="007D09DC"/>
    <w:rsid w:val="007D5CB8"/>
    <w:rsid w:val="007F1385"/>
    <w:rsid w:val="007F4AB8"/>
    <w:rsid w:val="007F4C34"/>
    <w:rsid w:val="00835567"/>
    <w:rsid w:val="00836CE7"/>
    <w:rsid w:val="00866972"/>
    <w:rsid w:val="008B339A"/>
    <w:rsid w:val="008B6E4E"/>
    <w:rsid w:val="008D5947"/>
    <w:rsid w:val="00900DBF"/>
    <w:rsid w:val="00901861"/>
    <w:rsid w:val="00906D82"/>
    <w:rsid w:val="00927503"/>
    <w:rsid w:val="009304BB"/>
    <w:rsid w:val="00930926"/>
    <w:rsid w:val="00941E6A"/>
    <w:rsid w:val="0094366E"/>
    <w:rsid w:val="00952D4E"/>
    <w:rsid w:val="0095407E"/>
    <w:rsid w:val="00957B88"/>
    <w:rsid w:val="0097232B"/>
    <w:rsid w:val="00991055"/>
    <w:rsid w:val="00992794"/>
    <w:rsid w:val="009D7BB0"/>
    <w:rsid w:val="00A039AC"/>
    <w:rsid w:val="00A055AF"/>
    <w:rsid w:val="00A07982"/>
    <w:rsid w:val="00A07AD4"/>
    <w:rsid w:val="00A44E0D"/>
    <w:rsid w:val="00A92E74"/>
    <w:rsid w:val="00A97473"/>
    <w:rsid w:val="00AE22C7"/>
    <w:rsid w:val="00AE4207"/>
    <w:rsid w:val="00AF2A72"/>
    <w:rsid w:val="00AF70FA"/>
    <w:rsid w:val="00B3685D"/>
    <w:rsid w:val="00B468D8"/>
    <w:rsid w:val="00B8657A"/>
    <w:rsid w:val="00BB6914"/>
    <w:rsid w:val="00BE3E83"/>
    <w:rsid w:val="00C04446"/>
    <w:rsid w:val="00C1202C"/>
    <w:rsid w:val="00C46885"/>
    <w:rsid w:val="00C6342E"/>
    <w:rsid w:val="00C67B75"/>
    <w:rsid w:val="00C816B9"/>
    <w:rsid w:val="00C81FB1"/>
    <w:rsid w:val="00C914D4"/>
    <w:rsid w:val="00C9259C"/>
    <w:rsid w:val="00C942AB"/>
    <w:rsid w:val="00C97538"/>
    <w:rsid w:val="00CB0100"/>
    <w:rsid w:val="00CB3641"/>
    <w:rsid w:val="00CC17AC"/>
    <w:rsid w:val="00D0433B"/>
    <w:rsid w:val="00D12FA8"/>
    <w:rsid w:val="00D210C3"/>
    <w:rsid w:val="00D27A71"/>
    <w:rsid w:val="00D36D58"/>
    <w:rsid w:val="00D5030B"/>
    <w:rsid w:val="00DA6F70"/>
    <w:rsid w:val="00DB0794"/>
    <w:rsid w:val="00DD321D"/>
    <w:rsid w:val="00DD7B31"/>
    <w:rsid w:val="00DE700A"/>
    <w:rsid w:val="00E01FCB"/>
    <w:rsid w:val="00E029D7"/>
    <w:rsid w:val="00E216E3"/>
    <w:rsid w:val="00E420B6"/>
    <w:rsid w:val="00E4613D"/>
    <w:rsid w:val="00E55367"/>
    <w:rsid w:val="00E75EC8"/>
    <w:rsid w:val="00E82050"/>
    <w:rsid w:val="00E83F5B"/>
    <w:rsid w:val="00E848F6"/>
    <w:rsid w:val="00E91551"/>
    <w:rsid w:val="00EB3073"/>
    <w:rsid w:val="00ED1416"/>
    <w:rsid w:val="00EF2315"/>
    <w:rsid w:val="00F0215D"/>
    <w:rsid w:val="00F059C3"/>
    <w:rsid w:val="00F05C53"/>
    <w:rsid w:val="00F15AEB"/>
    <w:rsid w:val="00F22229"/>
    <w:rsid w:val="00F76E9A"/>
    <w:rsid w:val="00F93E91"/>
    <w:rsid w:val="00FA3E93"/>
    <w:rsid w:val="00FA5CC9"/>
    <w:rsid w:val="00FB2321"/>
    <w:rsid w:val="00FB5336"/>
    <w:rsid w:val="31EA2DCA"/>
    <w:rsid w:val="59E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宋体" w:cs="Times New Roman"/>
      <w:sz w:val="18"/>
      <w:szCs w:val="20"/>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4363-588C-429C-932F-ABC11A79332A}">
  <ds:schemaRefs/>
</ds:datastoreItem>
</file>

<file path=docProps/app.xml><?xml version="1.0" encoding="utf-8"?>
<Properties xmlns="http://schemas.openxmlformats.org/officeDocument/2006/extended-properties" xmlns:vt="http://schemas.openxmlformats.org/officeDocument/2006/docPropsVTypes">
  <Template>Normal</Template>
  <Pages>18</Pages>
  <Words>1591</Words>
  <Characters>9074</Characters>
  <Lines>75</Lines>
  <Paragraphs>21</Paragraphs>
  <TotalTime>1</TotalTime>
  <ScaleCrop>false</ScaleCrop>
  <LinksUpToDate>false</LinksUpToDate>
  <CharactersWithSpaces>10644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2021-03-11T08:50:00Z</dcterms:created>
  <dc:creator>TS007</dc:creator>
  <cp:lastModifiedBy>春暖花开</cp:lastModifiedBy>
  <dcterms:modified xsi:type="dcterms:W3CDTF">2021-03-22T06:19:16Z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C89D5984153C4926B07CE2ABF451A9C7</vt:lpwstr>
  </property>
</Properties>
</file>