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b/>
          <w:color w:val="000000"/>
          <w:sz w:val="44"/>
        </w:rPr>
      </w:pPr>
      <w:r>
        <w:rPr>
          <w:rFonts w:ascii="黑体" w:eastAsia="黑体" w:cs="黑体"/>
          <w:b/>
          <w:color w:val="000000"/>
          <w:sz w:val="44"/>
        </w:rPr>
        <w:t>中国共产党唐山市丰南区纪律检查委员会</w:t>
      </w:r>
    </w:p>
    <w:p>
      <w:pPr>
        <w:spacing w:before="0" w:after="0" w:line="240" w:lineRule="auto"/>
        <w:ind w:firstLine="0"/>
        <w:jc w:val="center"/>
        <w:outlineLvl w:val="0"/>
        <w:rPr>
          <w:rFonts w:ascii="黑体" w:eastAsia="黑体" w:cs="黑体"/>
          <w:b/>
          <w:color w:val="000000"/>
          <w:sz w:val="44"/>
        </w:rPr>
      </w:pPr>
      <w:r>
        <w:rPr>
          <w:rFonts w:ascii="黑体" w:eastAsia="黑体" w:cs="黑体"/>
          <w:b/>
          <w:color w:val="000000"/>
          <w:sz w:val="44"/>
        </w:rPr>
        <w:t>2022年部门预算信息公开目录</w:t>
      </w:r>
    </w:p>
    <w:p>
      <w:pPr>
        <w:spacing w:before="0" w:after="0" w:line="240" w:lineRule="auto"/>
        <w:ind w:firstLine="0"/>
        <w:jc w:val="center"/>
        <w:outlineLvl w:val="0"/>
      </w:pPr>
    </w:p>
    <w:p>
      <w:pPr>
        <w:spacing w:before="0" w:after="0" w:line="240" w:lineRule="auto"/>
        <w:ind w:firstLine="0"/>
        <w:jc w:val="center"/>
        <w:outlineLvl w:val="9"/>
      </w:pPr>
      <w:r>
        <w:rPr>
          <w:rFonts w:ascii="黑体" w:eastAsia="黑体" w:cs="黑体"/>
          <w:b/>
          <w:color w:val="000000"/>
          <w:sz w:val="30"/>
        </w:rPr>
        <w:t xml:space="preserve"> 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end"/>
      </w:r>
      <w:r>
        <w:t>4</w:t>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end"/>
      </w:r>
      <w:r>
        <w:t>20</w:t>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35</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35</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36</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36</w:t>
      </w:r>
      <w:r>
        <w:fldChar w:fldCharType="end"/>
      </w:r>
      <w:r>
        <w:fldChar w:fldCharType="end"/>
      </w:r>
    </w:p>
    <w:p>
      <w:r>
        <w:fldChar w:fldCharType="end"/>
      </w: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r>
        <w:rPr>
          <w:rFonts w:ascii="黑体" w:eastAsia="黑体" w:cs="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一、中国共产党唐山市丰南区纪律检查委员会本级收支预算</w:t>
      </w:r>
      <w:r>
        <w:tab/>
      </w:r>
      <w:r>
        <w:fldChar w:fldCharType="begin"/>
      </w:r>
      <w:r>
        <w:instrText>PAGEREF _Toc_4_4_0000000019 \h</w:instrText>
      </w:r>
      <w:r>
        <w:fldChar w:fldCharType="separate"/>
      </w:r>
      <w:r>
        <w:t>39</w:t>
      </w:r>
      <w:r>
        <w:fldChar w:fldCharType="end"/>
      </w:r>
      <w:r>
        <w:fldChar w:fldCharType="end"/>
      </w:r>
    </w:p>
    <w:p>
      <w:pPr>
        <w:spacing w:before="0" w:after="0" w:line="240" w:lineRule="auto"/>
        <w:ind w:firstLine="0"/>
        <w:jc w:val="center"/>
        <w:outlineLvl w:val="0"/>
      </w:pPr>
      <w:r>
        <w:fldChar w:fldCharType="end"/>
      </w: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2161.13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1719.79</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190.79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139.91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110.64</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2161.13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2161.13</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2161.13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2161.13</w:t>
            </w:r>
          </w:p>
        </w:tc>
      </w:tr>
    </w:tbl>
    <w:p>
      <w:pPr>
        <w:sectPr>
          <w:footerReference w:type="default" r:id="rId4"/>
          <w:footerReference w:type="even" r:id="rId5"/>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2161.13</w:t>
            </w:r>
          </w:p>
        </w:tc>
        <w:tc>
          <w:tcPr>
            <w:tcW w:w="1361" w:type="dxa"/>
            <w:tcBorders>
              <w:left w:val="single" w:sz="6" w:space="0" w:color="000000"/>
              <w:right w:val="single" w:sz="6" w:space="0" w:color="000000"/>
            </w:tcBorders>
            <w:vAlign w:val="center"/>
          </w:tcPr>
          <w:p>
            <w:pPr>
              <w:pStyle w:val="23"/>
            </w:pPr>
            <w:r>
              <w:t>1722.49</w:t>
            </w:r>
          </w:p>
        </w:tc>
        <w:tc>
          <w:tcPr>
            <w:tcW w:w="1361" w:type="dxa"/>
            <w:tcBorders>
              <w:left w:val="single" w:sz="6" w:space="0" w:color="000000"/>
              <w:right w:val="single" w:sz="6" w:space="0" w:color="000000"/>
            </w:tcBorders>
            <w:vAlign w:val="center"/>
          </w:tcPr>
          <w:p>
            <w:pPr>
              <w:pStyle w:val="23"/>
            </w:pPr>
            <w:r>
              <w:t>438.64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1719.79</w:t>
            </w:r>
          </w:p>
        </w:tc>
        <w:tc>
          <w:tcPr>
            <w:tcW w:w="1361" w:type="dxa"/>
            <w:tcBorders>
              <w:left w:val="single" w:sz="6" w:space="0" w:color="000000"/>
              <w:right w:val="single" w:sz="6" w:space="0" w:color="000000"/>
            </w:tcBorders>
            <w:vAlign w:val="center"/>
          </w:tcPr>
          <w:p>
            <w:pPr>
              <w:pStyle w:val="19"/>
            </w:pPr>
            <w:r>
              <w:t>1281.15</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1719.79</w:t>
            </w:r>
          </w:p>
        </w:tc>
        <w:tc>
          <w:tcPr>
            <w:tcW w:w="1361" w:type="dxa"/>
            <w:tcBorders>
              <w:left w:val="single" w:sz="6" w:space="0" w:color="000000"/>
              <w:right w:val="single" w:sz="6" w:space="0" w:color="000000"/>
            </w:tcBorders>
            <w:vAlign w:val="center"/>
          </w:tcPr>
          <w:p>
            <w:pPr>
              <w:pStyle w:val="19"/>
            </w:pPr>
            <w:r>
              <w:t>1281.15</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1068.95</w:t>
            </w:r>
          </w:p>
        </w:tc>
        <w:tc>
          <w:tcPr>
            <w:tcW w:w="1361" w:type="dxa"/>
            <w:tcBorders>
              <w:left w:val="single" w:sz="6" w:space="0" w:color="000000"/>
              <w:right w:val="single" w:sz="6" w:space="0" w:color="000000"/>
            </w:tcBorders>
            <w:vAlign w:val="center"/>
          </w:tcPr>
          <w:p>
            <w:pPr>
              <w:pStyle w:val="19"/>
            </w:pPr>
            <w:r>
              <w:t>1068.95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212.20</w:t>
            </w:r>
          </w:p>
        </w:tc>
        <w:tc>
          <w:tcPr>
            <w:tcW w:w="1361" w:type="dxa"/>
            <w:tcBorders>
              <w:left w:val="single" w:sz="6" w:space="0" w:color="000000"/>
              <w:right w:val="single" w:sz="6" w:space="0" w:color="000000"/>
            </w:tcBorders>
            <w:vAlign w:val="center"/>
          </w:tcPr>
          <w:p>
            <w:pPr>
              <w:pStyle w:val="19"/>
            </w:pPr>
            <w:r>
              <w:t>212.20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44.00</w:t>
            </w:r>
          </w:p>
        </w:tc>
        <w:tc>
          <w:tcPr>
            <w:tcW w:w="1361" w:type="dxa"/>
            <w:tcBorders>
              <w:left w:val="single" w:sz="6" w:space="0" w:color="000000"/>
              <w:right w:val="single" w:sz="6" w:space="0" w:color="000000"/>
            </w:tcBorders>
            <w:vAlign w:val="center"/>
          </w:tcPr>
          <w:p>
            <w:pPr>
              <w:pStyle w:val="19"/>
            </w:pPr>
            <w:r>
              <w:t>44.00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146.79</w:t>
            </w:r>
          </w:p>
        </w:tc>
        <w:tc>
          <w:tcPr>
            <w:tcW w:w="1361" w:type="dxa"/>
            <w:tcBorders>
              <w:left w:val="single" w:sz="6" w:space="0" w:color="000000"/>
              <w:right w:val="single" w:sz="6" w:space="0" w:color="000000"/>
            </w:tcBorders>
            <w:vAlign w:val="center"/>
          </w:tcPr>
          <w:p>
            <w:pPr>
              <w:pStyle w:val="19"/>
            </w:pPr>
            <w:r>
              <w:t>146.79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66.51</w:t>
            </w:r>
          </w:p>
        </w:tc>
        <w:tc>
          <w:tcPr>
            <w:tcW w:w="1361" w:type="dxa"/>
            <w:tcBorders>
              <w:left w:val="single" w:sz="6" w:space="0" w:color="000000"/>
              <w:right w:val="single" w:sz="6" w:space="0" w:color="000000"/>
            </w:tcBorders>
            <w:vAlign w:val="center"/>
          </w:tcPr>
          <w:p>
            <w:pPr>
              <w:pStyle w:val="19"/>
            </w:pPr>
            <w:r>
              <w:t>66.51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73.40</w:t>
            </w:r>
          </w:p>
        </w:tc>
        <w:tc>
          <w:tcPr>
            <w:tcW w:w="1361" w:type="dxa"/>
            <w:tcBorders>
              <w:left w:val="single" w:sz="6" w:space="0" w:color="000000"/>
              <w:right w:val="single" w:sz="6" w:space="0" w:color="000000"/>
            </w:tcBorders>
            <w:vAlign w:val="center"/>
          </w:tcPr>
          <w:p>
            <w:pPr>
              <w:pStyle w:val="19"/>
            </w:pPr>
            <w:r>
              <w:t>73.40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2161.13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1719.79</w:t>
            </w:r>
          </w:p>
        </w:tc>
        <w:tc>
          <w:tcPr>
            <w:tcW w:w="1474" w:type="dxa"/>
            <w:tcBorders>
              <w:left w:val="single" w:sz="6" w:space="0" w:color="000000"/>
              <w:right w:val="single" w:sz="6" w:space="0" w:color="000000"/>
            </w:tcBorders>
            <w:vAlign w:val="center"/>
          </w:tcPr>
          <w:p>
            <w:pPr>
              <w:pStyle w:val="19"/>
            </w:pPr>
            <w:r>
              <w:t>1719.79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190.79</w:t>
            </w:r>
          </w:p>
        </w:tc>
        <w:tc>
          <w:tcPr>
            <w:tcW w:w="1474" w:type="dxa"/>
            <w:tcBorders>
              <w:left w:val="single" w:sz="6" w:space="0" w:color="000000"/>
              <w:right w:val="single" w:sz="6" w:space="0" w:color="000000"/>
            </w:tcBorders>
            <w:vAlign w:val="center"/>
          </w:tcPr>
          <w:p>
            <w:pPr>
              <w:pStyle w:val="19"/>
            </w:pPr>
            <w:r>
              <w:t>190.79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139.91</w:t>
            </w:r>
          </w:p>
        </w:tc>
        <w:tc>
          <w:tcPr>
            <w:tcW w:w="1474" w:type="dxa"/>
            <w:tcBorders>
              <w:left w:val="single" w:sz="6" w:space="0" w:color="000000"/>
              <w:right w:val="single" w:sz="6" w:space="0" w:color="000000"/>
            </w:tcBorders>
            <w:vAlign w:val="center"/>
          </w:tcPr>
          <w:p>
            <w:pPr>
              <w:pStyle w:val="19"/>
            </w:pPr>
            <w:r>
              <w:t>139.91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110.64</w:t>
            </w:r>
          </w:p>
        </w:tc>
        <w:tc>
          <w:tcPr>
            <w:tcW w:w="1474" w:type="dxa"/>
            <w:tcBorders>
              <w:left w:val="single" w:sz="6" w:space="0" w:color="000000"/>
              <w:right w:val="single" w:sz="6" w:space="0" w:color="000000"/>
            </w:tcBorders>
            <w:vAlign w:val="center"/>
          </w:tcPr>
          <w:p>
            <w:pPr>
              <w:pStyle w:val="19"/>
            </w:pPr>
            <w:r>
              <w:t>110.64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2161.13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2161.13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2161.13</w:t>
            </w:r>
          </w:p>
        </w:tc>
        <w:tc>
          <w:tcPr>
            <w:tcW w:w="2551" w:type="dxa"/>
            <w:tcBorders>
              <w:left w:val="single" w:sz="6" w:space="0" w:color="000000"/>
              <w:right w:val="single" w:sz="6" w:space="0" w:color="000000"/>
            </w:tcBorders>
            <w:vAlign w:val="center"/>
          </w:tcPr>
          <w:p>
            <w:pPr>
              <w:pStyle w:val="23"/>
            </w:pPr>
            <w:r>
              <w:t>1722.49</w:t>
            </w:r>
          </w:p>
        </w:tc>
        <w:tc>
          <w:tcPr>
            <w:tcW w:w="2551" w:type="dxa"/>
            <w:vAlign w:val="center"/>
          </w:tcPr>
          <w:p>
            <w:pPr>
              <w:pStyle w:val="23"/>
            </w:pPr>
            <w:r>
              <w:t>438.64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1719.79</w:t>
            </w:r>
          </w:p>
        </w:tc>
        <w:tc>
          <w:tcPr>
            <w:tcW w:w="2551" w:type="dxa"/>
            <w:tcBorders>
              <w:left w:val="single" w:sz="6" w:space="0" w:color="000000"/>
              <w:right w:val="single" w:sz="6" w:space="0" w:color="000000"/>
            </w:tcBorders>
            <w:vAlign w:val="center"/>
          </w:tcPr>
          <w:p>
            <w:pPr>
              <w:pStyle w:val="19"/>
            </w:pPr>
            <w:r>
              <w:t>1281.15</w:t>
            </w:r>
          </w:p>
        </w:tc>
        <w:tc>
          <w:tcPr>
            <w:tcW w:w="2551" w:type="dxa"/>
            <w:vAlign w:val="center"/>
          </w:tcPr>
          <w:p>
            <w:pPr>
              <w:pStyle w:val="19"/>
            </w:pPr>
            <w:r>
              <w:t>438.64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1719.79</w:t>
            </w:r>
          </w:p>
        </w:tc>
        <w:tc>
          <w:tcPr>
            <w:tcW w:w="2551" w:type="dxa"/>
            <w:tcBorders>
              <w:left w:val="single" w:sz="6" w:space="0" w:color="000000"/>
              <w:right w:val="single" w:sz="6" w:space="0" w:color="000000"/>
            </w:tcBorders>
            <w:vAlign w:val="center"/>
          </w:tcPr>
          <w:p>
            <w:pPr>
              <w:pStyle w:val="19"/>
            </w:pPr>
            <w:r>
              <w:t>1281.15</w:t>
            </w:r>
          </w:p>
        </w:tc>
        <w:tc>
          <w:tcPr>
            <w:tcW w:w="2551" w:type="dxa"/>
            <w:vAlign w:val="center"/>
          </w:tcPr>
          <w:p>
            <w:pPr>
              <w:pStyle w:val="19"/>
            </w:pPr>
            <w:r>
              <w:t>438.64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1068.95</w:t>
            </w:r>
          </w:p>
        </w:tc>
        <w:tc>
          <w:tcPr>
            <w:tcW w:w="2551" w:type="dxa"/>
            <w:tcBorders>
              <w:left w:val="single" w:sz="6" w:space="0" w:color="000000"/>
              <w:right w:val="single" w:sz="6" w:space="0" w:color="000000"/>
            </w:tcBorders>
            <w:vAlign w:val="center"/>
          </w:tcPr>
          <w:p>
            <w:pPr>
              <w:pStyle w:val="19"/>
            </w:pPr>
            <w:r>
              <w:t>1068.95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438.64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438.64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2011150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212.20</w:t>
            </w:r>
          </w:p>
        </w:tc>
        <w:tc>
          <w:tcPr>
            <w:tcW w:w="2551" w:type="dxa"/>
            <w:tcBorders>
              <w:left w:val="single" w:sz="6" w:space="0" w:color="000000"/>
              <w:right w:val="single" w:sz="6" w:space="0" w:color="000000"/>
            </w:tcBorders>
            <w:vAlign w:val="center"/>
          </w:tcPr>
          <w:p>
            <w:pPr>
              <w:pStyle w:val="19"/>
            </w:pPr>
            <w:r>
              <w:t>212.20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190.79</w:t>
            </w:r>
          </w:p>
        </w:tc>
        <w:tc>
          <w:tcPr>
            <w:tcW w:w="2551" w:type="dxa"/>
            <w:tcBorders>
              <w:left w:val="single" w:sz="6" w:space="0" w:color="000000"/>
              <w:right w:val="single" w:sz="6" w:space="0" w:color="000000"/>
            </w:tcBorders>
            <w:vAlign w:val="center"/>
          </w:tcPr>
          <w:p>
            <w:pPr>
              <w:pStyle w:val="19"/>
            </w:pPr>
            <w:r>
              <w:t>190.79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190.79</w:t>
            </w:r>
          </w:p>
        </w:tc>
        <w:tc>
          <w:tcPr>
            <w:tcW w:w="2551" w:type="dxa"/>
            <w:tcBorders>
              <w:left w:val="single" w:sz="6" w:space="0" w:color="000000"/>
              <w:right w:val="single" w:sz="6" w:space="0" w:color="000000"/>
            </w:tcBorders>
            <w:vAlign w:val="center"/>
          </w:tcPr>
          <w:p>
            <w:pPr>
              <w:pStyle w:val="19"/>
            </w:pPr>
            <w:r>
              <w:t>190.79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44.00</w:t>
            </w:r>
          </w:p>
        </w:tc>
        <w:tc>
          <w:tcPr>
            <w:tcW w:w="2551" w:type="dxa"/>
            <w:tcBorders>
              <w:left w:val="single" w:sz="6" w:space="0" w:color="000000"/>
              <w:right w:val="single" w:sz="6" w:space="0" w:color="000000"/>
            </w:tcBorders>
            <w:vAlign w:val="center"/>
          </w:tcPr>
          <w:p>
            <w:pPr>
              <w:pStyle w:val="19"/>
            </w:pPr>
            <w:r>
              <w:t>44.00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146.79</w:t>
            </w:r>
          </w:p>
        </w:tc>
        <w:tc>
          <w:tcPr>
            <w:tcW w:w="2551" w:type="dxa"/>
            <w:tcBorders>
              <w:left w:val="single" w:sz="6" w:space="0" w:color="000000"/>
              <w:right w:val="single" w:sz="6" w:space="0" w:color="000000"/>
            </w:tcBorders>
            <w:vAlign w:val="center"/>
          </w:tcPr>
          <w:p>
            <w:pPr>
              <w:pStyle w:val="19"/>
            </w:pPr>
            <w:r>
              <w:t>146.79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139.91</w:t>
            </w:r>
          </w:p>
        </w:tc>
        <w:tc>
          <w:tcPr>
            <w:tcW w:w="2551" w:type="dxa"/>
            <w:tcBorders>
              <w:left w:val="single" w:sz="6" w:space="0" w:color="000000"/>
              <w:right w:val="single" w:sz="6" w:space="0" w:color="000000"/>
            </w:tcBorders>
            <w:vAlign w:val="center"/>
          </w:tcPr>
          <w:p>
            <w:pPr>
              <w:pStyle w:val="19"/>
            </w:pPr>
            <w:r>
              <w:t>139.91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139.91</w:t>
            </w:r>
          </w:p>
        </w:tc>
        <w:tc>
          <w:tcPr>
            <w:tcW w:w="2551" w:type="dxa"/>
            <w:tcBorders>
              <w:left w:val="single" w:sz="6" w:space="0" w:color="000000"/>
              <w:right w:val="single" w:sz="6" w:space="0" w:color="000000"/>
            </w:tcBorders>
            <w:vAlign w:val="center"/>
          </w:tcPr>
          <w:p>
            <w:pPr>
              <w:pStyle w:val="19"/>
            </w:pPr>
            <w:r>
              <w:t>139.91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66.51</w:t>
            </w:r>
          </w:p>
        </w:tc>
        <w:tc>
          <w:tcPr>
            <w:tcW w:w="2551" w:type="dxa"/>
            <w:tcBorders>
              <w:left w:val="single" w:sz="6" w:space="0" w:color="000000"/>
              <w:right w:val="single" w:sz="6" w:space="0" w:color="000000"/>
            </w:tcBorders>
            <w:vAlign w:val="center"/>
          </w:tcPr>
          <w:p>
            <w:pPr>
              <w:pStyle w:val="19"/>
            </w:pPr>
            <w:r>
              <w:t>66.51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73.40</w:t>
            </w:r>
          </w:p>
        </w:tc>
        <w:tc>
          <w:tcPr>
            <w:tcW w:w="2551" w:type="dxa"/>
            <w:tcBorders>
              <w:left w:val="single" w:sz="6" w:space="0" w:color="000000"/>
              <w:right w:val="single" w:sz="6" w:space="0" w:color="000000"/>
            </w:tcBorders>
            <w:vAlign w:val="center"/>
          </w:tcPr>
          <w:p>
            <w:pPr>
              <w:pStyle w:val="19"/>
            </w:pPr>
            <w:r>
              <w:t>73.40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1722.49</w:t>
            </w:r>
          </w:p>
        </w:tc>
        <w:tc>
          <w:tcPr>
            <w:tcW w:w="2551" w:type="dxa"/>
            <w:tcBorders>
              <w:left w:val="single" w:sz="6" w:space="0" w:color="000000"/>
              <w:right w:val="single" w:sz="6" w:space="0" w:color="000000"/>
            </w:tcBorders>
            <w:vAlign w:val="center"/>
          </w:tcPr>
          <w:p>
            <w:pPr>
              <w:pStyle w:val="23"/>
            </w:pPr>
            <w:r>
              <w:t>1480.94</w:t>
            </w:r>
          </w:p>
        </w:tc>
        <w:tc>
          <w:tcPr>
            <w:tcW w:w="2551" w:type="dxa"/>
            <w:vAlign w:val="center"/>
          </w:tcPr>
          <w:p>
            <w:pPr>
              <w:pStyle w:val="23"/>
            </w:pPr>
            <w:r>
              <w:t>241.55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1435.82</w:t>
            </w:r>
          </w:p>
        </w:tc>
        <w:tc>
          <w:tcPr>
            <w:tcW w:w="2551" w:type="dxa"/>
            <w:tcBorders>
              <w:left w:val="single" w:sz="6" w:space="0" w:color="000000"/>
              <w:right w:val="single" w:sz="6" w:space="0" w:color="000000"/>
            </w:tcBorders>
            <w:vAlign w:val="center"/>
          </w:tcPr>
          <w:p>
            <w:pPr>
              <w:pStyle w:val="19"/>
            </w:pPr>
            <w:r>
              <w:t>1435.82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467.61</w:t>
            </w:r>
          </w:p>
        </w:tc>
        <w:tc>
          <w:tcPr>
            <w:tcW w:w="2551" w:type="dxa"/>
            <w:tcBorders>
              <w:left w:val="single" w:sz="6" w:space="0" w:color="000000"/>
              <w:right w:val="single" w:sz="6" w:space="0" w:color="000000"/>
            </w:tcBorders>
            <w:vAlign w:val="center"/>
          </w:tcPr>
          <w:p>
            <w:pPr>
              <w:pStyle w:val="19"/>
            </w:pPr>
            <w:r>
              <w:t>467.61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426.15</w:t>
            </w:r>
          </w:p>
        </w:tc>
        <w:tc>
          <w:tcPr>
            <w:tcW w:w="2551" w:type="dxa"/>
            <w:tcBorders>
              <w:left w:val="single" w:sz="6" w:space="0" w:color="000000"/>
              <w:right w:val="single" w:sz="6" w:space="0" w:color="000000"/>
            </w:tcBorders>
            <w:vAlign w:val="center"/>
          </w:tcPr>
          <w:p>
            <w:pPr>
              <w:pStyle w:val="19"/>
            </w:pPr>
            <w:r>
              <w:t>426.15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27.27</w:t>
            </w:r>
          </w:p>
        </w:tc>
        <w:tc>
          <w:tcPr>
            <w:tcW w:w="2551" w:type="dxa"/>
            <w:tcBorders>
              <w:left w:val="single" w:sz="6" w:space="0" w:color="000000"/>
              <w:right w:val="single" w:sz="6" w:space="0" w:color="000000"/>
            </w:tcBorders>
            <w:vAlign w:val="center"/>
          </w:tcPr>
          <w:p>
            <w:pPr>
              <w:pStyle w:val="19"/>
            </w:pPr>
            <w:r>
              <w:t>27.27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104.54</w:t>
            </w:r>
          </w:p>
        </w:tc>
        <w:tc>
          <w:tcPr>
            <w:tcW w:w="2551" w:type="dxa"/>
            <w:tcBorders>
              <w:left w:val="single" w:sz="6" w:space="0" w:color="000000"/>
              <w:right w:val="single" w:sz="6" w:space="0" w:color="000000"/>
            </w:tcBorders>
            <w:vAlign w:val="center"/>
          </w:tcPr>
          <w:p>
            <w:pPr>
              <w:pStyle w:val="19"/>
            </w:pPr>
            <w:r>
              <w:t>104.54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146.79</w:t>
            </w:r>
          </w:p>
        </w:tc>
        <w:tc>
          <w:tcPr>
            <w:tcW w:w="2551" w:type="dxa"/>
            <w:tcBorders>
              <w:left w:val="single" w:sz="6" w:space="0" w:color="000000"/>
              <w:right w:val="single" w:sz="6" w:space="0" w:color="000000"/>
            </w:tcBorders>
            <w:vAlign w:val="center"/>
          </w:tcPr>
          <w:p>
            <w:pPr>
              <w:pStyle w:val="19"/>
            </w:pPr>
            <w:r>
              <w:t>146.79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66.51</w:t>
            </w:r>
          </w:p>
        </w:tc>
        <w:tc>
          <w:tcPr>
            <w:tcW w:w="2551" w:type="dxa"/>
            <w:tcBorders>
              <w:left w:val="single" w:sz="6" w:space="0" w:color="000000"/>
              <w:right w:val="single" w:sz="6" w:space="0" w:color="000000"/>
            </w:tcBorders>
            <w:vAlign w:val="center"/>
          </w:tcPr>
          <w:p>
            <w:pPr>
              <w:pStyle w:val="19"/>
            </w:pPr>
            <w:r>
              <w:t>66.51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73.40</w:t>
            </w:r>
          </w:p>
        </w:tc>
        <w:tc>
          <w:tcPr>
            <w:tcW w:w="2551" w:type="dxa"/>
            <w:tcBorders>
              <w:left w:val="single" w:sz="6" w:space="0" w:color="000000"/>
              <w:right w:val="single" w:sz="6" w:space="0" w:color="000000"/>
            </w:tcBorders>
            <w:vAlign w:val="center"/>
          </w:tcPr>
          <w:p>
            <w:pPr>
              <w:pStyle w:val="19"/>
            </w:pPr>
            <w:r>
              <w:t>73.40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12.91</w:t>
            </w:r>
          </w:p>
        </w:tc>
        <w:tc>
          <w:tcPr>
            <w:tcW w:w="2551" w:type="dxa"/>
            <w:tcBorders>
              <w:left w:val="single" w:sz="6" w:space="0" w:color="000000"/>
              <w:right w:val="single" w:sz="6" w:space="0" w:color="000000"/>
            </w:tcBorders>
            <w:vAlign w:val="center"/>
          </w:tcPr>
          <w:p>
            <w:pPr>
              <w:pStyle w:val="19"/>
            </w:pPr>
            <w:r>
              <w:t>12.91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241.55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241.55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23.10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23.10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40.50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40.50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1.75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10.63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10.63</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52.00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2.27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2.27</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45.12</w:t>
            </w:r>
          </w:p>
        </w:tc>
        <w:tc>
          <w:tcPr>
            <w:tcW w:w="2551" w:type="dxa"/>
            <w:tcBorders>
              <w:left w:val="single" w:sz="6" w:space="0" w:color="000000"/>
              <w:right w:val="single" w:sz="6" w:space="0" w:color="000000"/>
            </w:tcBorders>
            <w:vAlign w:val="center"/>
          </w:tcPr>
          <w:p>
            <w:pPr>
              <w:pStyle w:val="19"/>
            </w:pPr>
            <w:r>
              <w:t>45.12</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44.00</w:t>
            </w:r>
          </w:p>
        </w:tc>
        <w:tc>
          <w:tcPr>
            <w:tcW w:w="2551" w:type="dxa"/>
            <w:tcBorders>
              <w:left w:val="single" w:sz="6" w:space="0" w:color="000000"/>
              <w:right w:val="single" w:sz="6" w:space="0" w:color="000000"/>
            </w:tcBorders>
            <w:vAlign w:val="center"/>
          </w:tcPr>
          <w:p>
            <w:pPr>
              <w:pStyle w:val="19"/>
            </w:pPr>
            <w:r>
              <w:t>44.00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1.12</w:t>
            </w:r>
          </w:p>
        </w:tc>
        <w:tc>
          <w:tcPr>
            <w:tcW w:w="2551" w:type="dxa"/>
            <w:tcBorders>
              <w:left w:val="single" w:sz="6" w:space="0" w:color="000000"/>
              <w:right w:val="single" w:sz="6" w:space="0" w:color="000000"/>
            </w:tcBorders>
            <w:vAlign w:val="center"/>
          </w:tcPr>
          <w:p>
            <w:pPr>
              <w:pStyle w:val="19"/>
            </w:pPr>
            <w:r>
              <w:t>1.12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93.30</w:t>
            </w:r>
          </w:p>
        </w:tc>
        <w:tc>
          <w:tcPr>
            <w:tcW w:w="2381" w:type="dxa"/>
            <w:tcBorders>
              <w:left w:val="single" w:sz="6" w:space="0" w:color="000000"/>
              <w:right w:val="single" w:sz="6" w:space="0" w:color="000000"/>
            </w:tcBorders>
            <w:vAlign w:val="center"/>
          </w:tcPr>
          <w:p>
            <w:pPr>
              <w:pStyle w:val="23"/>
            </w:pPr>
            <w:r>
              <w:t>93.30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1.00</w:t>
            </w:r>
          </w:p>
        </w:tc>
        <w:tc>
          <w:tcPr>
            <w:tcW w:w="2381" w:type="dxa"/>
            <w:tcBorders>
              <w:left w:val="single" w:sz="6" w:space="0" w:color="000000"/>
              <w:right w:val="single" w:sz="6" w:space="0" w:color="000000"/>
            </w:tcBorders>
            <w:vAlign w:val="center"/>
          </w:tcPr>
          <w:p>
            <w:pPr>
              <w:pStyle w:val="19"/>
            </w:pPr>
            <w:r>
              <w:t>1.00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中国共产党唐山市丰南区纪律检查委员会2022年部门预算信息公开情况说明</w:t>
      </w:r>
    </w:p>
    <w:p>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中国共产党唐山市丰南区纪律检查委员会</w:t>
      </w:r>
    </w:p>
    <w:p>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2022年部门预算信息公开情况说明</w:t>
      </w:r>
    </w:p>
    <w:p>
      <w:pPr>
        <w:spacing w:before="0" w:after="0" w:line="240" w:lineRule="auto"/>
        <w:ind w:firstLine="0"/>
        <w:jc w:val="center"/>
        <w:outlineLvl w:val="9"/>
      </w:pP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按照《预算法》、《地方预决算公开操作规程》和《关于进一步推进预算公开工作的实施意见》规定，现将中国共产党唐山市丰南区纪律检查委员会2022年部门预算公开如下：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根据《中国共产党唐山市丰南区纪律检查委员会职能配置、内设机构和人员编制规定》，中国共产党唐山市丰南区纪律检查委员会的主要职责是：</w:t>
      </w:r>
    </w:p>
    <w:p>
      <w:pPr>
        <w:pStyle w:val="25"/>
      </w:pPr>
      <w:r>
        <w:t>区纪委与区监委合署办公，实行一套工作机构、两个机关名称，履行党的纪律检查和国家监察两项职责。区纪委监委的主要职责是：</w:t>
      </w:r>
    </w:p>
    <w:p>
      <w:pPr>
        <w:pStyle w:val="25"/>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25"/>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（三）支持配合巡视巡察工作。承担巡视巡察整改日常监督责任，做好巡视巡察整改督查督办工作，依规依纪依法处置巡视巡察移交的反映领导干部问题线索。</w:t>
      </w:r>
    </w:p>
    <w:p>
      <w:pPr>
        <w:pStyle w:val="25"/>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25"/>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（七）负责综合分析全面从严治党、党风廉政建设和反腐败工作情况，对纪检监察工作重要理论及实践问题进行调查研究；制定或者修改全区纪检监察相关制度，参与起草有关规范性文件。</w:t>
      </w:r>
    </w:p>
    <w:p>
      <w:pPr>
        <w:pStyle w:val="25"/>
      </w:pPr>
      <w:r>
        <w:t>（八）负责组织协调全区反腐败追逃追赃和防逃工作，督促有关单位做好相关工作。</w:t>
      </w:r>
    </w:p>
    <w:p>
      <w:pPr>
        <w:pStyle w:val="25"/>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25"/>
      </w:pPr>
      <w:r>
        <w:t>（十）完成市纪委监委、区委交办的其他任务。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中国共产党唐山市丰南区纪律检查委员会本级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按照预算管理有关规定，目前我部门预算的编制实行综合预算管理，即全部收入和支出都反映在预算中。中国共产党唐山市丰南区纪律检查委员会机关及所属事业单位的收支包含在部门预算中。</w:t>
      </w:r>
    </w:p>
    <w:p>
      <w:pPr>
        <w:spacing w:line="500" w:lineRule="exact"/>
        <w:ind w:firstLine="560"/>
        <w:rPr>
          <w:rFonts w:eastAsia="方正仿宋_GBK"/>
          <w:color w:val="000000"/>
          <w:sz w:val="28"/>
        </w:rPr>
      </w:pPr>
      <w:bookmarkStart w:id="11" w:name="_Toc_3_3_0000000012"/>
      <w:r>
        <w:rPr>
          <w:rFonts w:eastAsia="方正仿宋_GBK" w:hint="eastAsia"/>
          <w:color w:val="000000"/>
          <w:sz w:val="28"/>
        </w:rPr>
        <w:t>（一）收入说明</w:t>
      </w:r>
    </w:p>
    <w:p>
      <w:pPr>
        <w:spacing w:line="500" w:lineRule="exact"/>
        <w:ind w:firstLine="560"/>
        <w:rPr>
          <w:rFonts w:eastAsia="方正仿宋_GBK"/>
          <w:color w:val="000000"/>
          <w:sz w:val="28"/>
        </w:rPr>
      </w:pPr>
      <w:r>
        <w:rPr>
          <w:rFonts w:eastAsia="方正仿宋_GBK" w:hint="eastAsia"/>
          <w:color w:val="000000"/>
          <w:sz w:val="28"/>
        </w:rPr>
        <w:t>2022年部门预算收入</w:t>
      </w:r>
      <w:r>
        <w:rPr>
          <w:rFonts w:eastAsia="方正仿宋_GBK"/>
          <w:color w:val="000000"/>
          <w:sz w:val="28"/>
        </w:rPr>
        <w:t>2161.13</w:t>
      </w:r>
      <w:r>
        <w:rPr>
          <w:rFonts w:eastAsia="方正仿宋_GBK" w:hint="eastAsia"/>
          <w:color w:val="000000"/>
          <w:sz w:val="28"/>
        </w:rPr>
        <w:t>万元，其中：一般公共预算拨款</w:t>
      </w:r>
      <w:r>
        <w:rPr>
          <w:rFonts w:eastAsia="方正仿宋_GBK"/>
          <w:color w:val="000000"/>
          <w:sz w:val="28"/>
        </w:rPr>
        <w:t>2161.13</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pPr>
        <w:spacing w:line="500" w:lineRule="exact"/>
        <w:ind w:firstLine="560"/>
        <w:rPr>
          <w:rFonts w:eastAsia="方正仿宋_GBK"/>
          <w:color w:val="000000"/>
          <w:sz w:val="28"/>
        </w:rPr>
      </w:pPr>
      <w:r>
        <w:rPr>
          <w:rFonts w:eastAsia="方正仿宋_GBK" w:hint="eastAsia"/>
          <w:color w:val="000000"/>
          <w:sz w:val="28"/>
        </w:rPr>
        <w:t>（二）支出说明</w:t>
      </w:r>
    </w:p>
    <w:p>
      <w:pPr>
        <w:spacing w:line="500" w:lineRule="exact"/>
        <w:ind w:firstLine="560"/>
        <w:rPr>
          <w:rFonts w:eastAsia="方正仿宋_GBK"/>
          <w:color w:val="000000"/>
          <w:sz w:val="28"/>
        </w:rPr>
      </w:pPr>
      <w:r>
        <w:rPr>
          <w:rFonts w:eastAsia="方正仿宋_GBK" w:hint="eastAsia"/>
          <w:color w:val="000000"/>
          <w:sz w:val="28"/>
        </w:rPr>
        <w:t>2022年部门预算支出</w:t>
      </w:r>
      <w:r>
        <w:rPr>
          <w:rFonts w:eastAsia="方正仿宋_GBK"/>
          <w:color w:val="000000"/>
          <w:sz w:val="28"/>
        </w:rPr>
        <w:t>2161.13</w:t>
      </w:r>
      <w:r>
        <w:rPr>
          <w:rFonts w:eastAsia="方正仿宋_GBK" w:hint="eastAsia"/>
          <w:color w:val="000000"/>
          <w:sz w:val="28"/>
        </w:rPr>
        <w:t>万元，其中：人员经费</w:t>
      </w:r>
      <w:r>
        <w:rPr>
          <w:rFonts w:eastAsia="方正仿宋_GBK"/>
          <w:color w:val="000000"/>
          <w:sz w:val="28"/>
        </w:rPr>
        <w:t>1480.94</w:t>
      </w:r>
      <w:r>
        <w:rPr>
          <w:rFonts w:eastAsia="方正仿宋_GBK" w:hint="eastAsia"/>
          <w:color w:val="000000"/>
          <w:sz w:val="28"/>
        </w:rPr>
        <w:t>万元，日常公用经费</w:t>
      </w:r>
      <w:r>
        <w:rPr>
          <w:rFonts w:eastAsia="方正仿宋_GBK"/>
          <w:color w:val="000000"/>
          <w:sz w:val="28"/>
        </w:rPr>
        <w:t>241.55</w:t>
      </w:r>
      <w:r>
        <w:rPr>
          <w:rFonts w:eastAsia="方正仿宋_GBK" w:hint="eastAsia"/>
          <w:color w:val="000000"/>
          <w:sz w:val="28"/>
        </w:rPr>
        <w:t>万元，项目支出</w:t>
      </w:r>
      <w:r>
        <w:rPr>
          <w:rFonts w:eastAsia="方正仿宋_GBK"/>
          <w:color w:val="000000"/>
          <w:sz w:val="28"/>
        </w:rPr>
        <w:t>438.64</w:t>
      </w:r>
      <w:r>
        <w:rPr>
          <w:rFonts w:eastAsia="方正仿宋_GBK" w:hint="eastAsia"/>
          <w:color w:val="000000"/>
          <w:sz w:val="28"/>
        </w:rPr>
        <w:t>万元。</w:t>
      </w:r>
    </w:p>
    <w:p>
      <w:pPr>
        <w:spacing w:line="500" w:lineRule="exact"/>
        <w:ind w:firstLine="560"/>
        <w:rPr>
          <w:rFonts w:eastAsia="方正仿宋_GBK"/>
          <w:color w:val="000000"/>
          <w:sz w:val="28"/>
        </w:rPr>
      </w:pPr>
      <w:r>
        <w:rPr>
          <w:rFonts w:eastAsia="方正仿宋_GBK" w:hint="eastAsia"/>
          <w:color w:val="000000"/>
          <w:sz w:val="28"/>
        </w:rPr>
        <w:t>（三）比上年增减情况</w:t>
      </w:r>
    </w:p>
    <w:p>
      <w:pPr>
        <w:spacing w:line="500" w:lineRule="exact"/>
        <w:ind w:firstLine="560"/>
        <w:rPr>
          <w:rFonts w:eastAsia="方正仿宋_GBK"/>
          <w:color w:val="000000"/>
          <w:sz w:val="28"/>
        </w:rPr>
      </w:pPr>
      <w:r>
        <w:rPr>
          <w:rFonts w:eastAsia="方正仿宋_GBK" w:hint="eastAsia"/>
          <w:color w:val="000000"/>
          <w:sz w:val="28"/>
        </w:rPr>
        <w:t>2022年部门预算较2021年</w:t>
      </w:r>
      <w:r>
        <w:rPr>
          <w:rFonts w:eastAsia="方正仿宋_GBK"/>
          <w:color w:val="000000"/>
          <w:sz w:val="28"/>
        </w:rPr>
        <w:t>增加23.65</w:t>
      </w:r>
      <w:r>
        <w:rPr>
          <w:rFonts w:eastAsia="方正仿宋_GBK" w:hint="eastAsia"/>
          <w:color w:val="000000"/>
          <w:sz w:val="28"/>
        </w:rPr>
        <w:t>万元，其中：人员经费减少</w:t>
      </w:r>
      <w:r>
        <w:rPr>
          <w:rFonts w:eastAsia="方正仿宋_GBK"/>
          <w:color w:val="000000"/>
          <w:sz w:val="28"/>
        </w:rPr>
        <w:t>19.78</w:t>
      </w:r>
      <w:r>
        <w:rPr>
          <w:rFonts w:eastAsia="方正仿宋_GBK" w:hint="eastAsia"/>
          <w:color w:val="000000"/>
          <w:sz w:val="28"/>
        </w:rPr>
        <w:t>万元，日常公用经费增加</w:t>
      </w:r>
      <w:r>
        <w:rPr>
          <w:rFonts w:eastAsia="方正仿宋_GBK"/>
          <w:color w:val="000000"/>
          <w:sz w:val="28"/>
        </w:rPr>
        <w:t>2.35</w:t>
      </w:r>
      <w:r>
        <w:rPr>
          <w:rFonts w:eastAsia="方正仿宋_GBK" w:hint="eastAsia"/>
          <w:color w:val="000000"/>
          <w:sz w:val="28"/>
        </w:rPr>
        <w:t>万元，项目经费增加</w:t>
      </w:r>
      <w:r>
        <w:rPr>
          <w:rFonts w:eastAsia="方正仿宋_GBK"/>
          <w:color w:val="000000"/>
          <w:sz w:val="28"/>
        </w:rPr>
        <w:t>41.08</w:t>
      </w:r>
      <w:r>
        <w:rPr>
          <w:rFonts w:eastAsia="方正仿宋_GBK" w:hint="eastAsia"/>
          <w:color w:val="000000"/>
          <w:sz w:val="28"/>
        </w:rPr>
        <w:t>万元。</w:t>
      </w:r>
    </w:p>
    <w:p>
      <w:pPr>
        <w:spacing w:before="10" w:after="10" w:line="360" w:lineRule="auto"/>
        <w:ind w:firstLine="640"/>
        <w:jc w:val="left"/>
        <w:outlineLvl w:val="2"/>
      </w:pPr>
      <w:r>
        <w:rPr>
          <w:rFonts w:ascii="黑体" w:eastAsia="黑体" w:cs="黑体"/>
          <w:color w:val="000000"/>
          <w:sz w:val="32"/>
        </w:rPr>
        <w:t>三、机关运行经费安排情况</w:t>
      </w:r>
      <w:bookmarkEnd w:id="11"/>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241.55</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费23.1万元、</w:t>
      </w:r>
      <w:r>
        <w:rPr>
          <w:rFonts w:ascii="Times New Roman" w:eastAsia="方正仿宋_GBK" w:hAnsi="Times New Roman" w:hint="eastAsia"/>
          <w:sz w:val="28"/>
        </w:rPr>
        <w:t>邮电费</w:t>
      </w:r>
      <w:r>
        <w:rPr>
          <w:rFonts w:ascii="Times New Roman" w:eastAsia="方正仿宋_GBK" w:hAnsi="Times New Roman"/>
          <w:sz w:val="28"/>
        </w:rPr>
        <w:t>1.5万元</w:t>
      </w:r>
      <w:r>
        <w:rPr>
          <w:rFonts w:ascii="Times New Roman" w:eastAsia="方正仿宋_GBK" w:hAnsi="Times New Roman" w:hint="eastAsia"/>
          <w:sz w:val="28"/>
        </w:rPr>
        <w:t>、差旅费</w:t>
      </w:r>
      <w:r>
        <w:rPr>
          <w:rFonts w:ascii="Times New Roman" w:eastAsia="方正仿宋_GBK" w:hAnsi="Times New Roman"/>
          <w:sz w:val="28"/>
        </w:rPr>
        <w:t>1.5万元</w:t>
      </w:r>
      <w:r>
        <w:rPr>
          <w:rFonts w:ascii="Times New Roman" w:eastAsia="方正仿宋_GBK" w:hAnsi="Times New Roman" w:hint="eastAsia"/>
          <w:sz w:val="28"/>
        </w:rPr>
        <w:t>、专用材料费</w:t>
      </w:r>
      <w:r>
        <w:rPr>
          <w:rFonts w:ascii="Times New Roman" w:eastAsia="方正仿宋_GBK" w:hAnsi="Times New Roman"/>
          <w:sz w:val="28"/>
        </w:rPr>
        <w:t>1.75万元</w:t>
      </w:r>
      <w:r>
        <w:rPr>
          <w:rFonts w:ascii="Times New Roman" w:eastAsia="方正仿宋_GBK" w:hAnsi="Times New Roman" w:hint="eastAsia"/>
          <w:sz w:val="28"/>
        </w:rPr>
        <w:t>、公务用车运行维护费</w:t>
      </w:r>
      <w:r>
        <w:rPr>
          <w:rFonts w:ascii="Times New Roman" w:eastAsia="方正仿宋_GBK" w:hAnsi="Times New Roman"/>
          <w:sz w:val="28"/>
        </w:rPr>
        <w:t>85万元</w:t>
      </w:r>
      <w:r>
        <w:rPr>
          <w:rFonts w:ascii="Times New Roman" w:eastAsia="方正仿宋_GBK" w:hAnsi="Times New Roman" w:hint="eastAsia"/>
          <w:sz w:val="28"/>
        </w:rPr>
        <w:t>、</w:t>
      </w:r>
      <w:r>
        <w:rPr>
          <w:rFonts w:ascii="Times New Roman" w:eastAsia="方正仿宋_GBK" w:hAnsi="Times New Roman"/>
          <w:sz w:val="28"/>
        </w:rPr>
        <w:t>公务接待费2.3万元、</w:t>
      </w:r>
      <w:r>
        <w:rPr>
          <w:rFonts w:ascii="Times New Roman" w:eastAsia="方正仿宋_GBK" w:hAnsi="Times New Roman" w:hint="eastAsia"/>
          <w:sz w:val="28"/>
        </w:rPr>
        <w:t>工会</w:t>
      </w:r>
      <w:r>
        <w:rPr>
          <w:rFonts w:ascii="Times New Roman" w:eastAsia="方正仿宋_GBK" w:hAnsi="Times New Roman"/>
          <w:sz w:val="28"/>
        </w:rPr>
        <w:t>经</w:t>
      </w:r>
      <w:r>
        <w:rPr>
          <w:rFonts w:ascii="Times New Roman" w:eastAsia="方正仿宋_GBK" w:hAnsi="Times New Roman" w:hint="eastAsia"/>
          <w:sz w:val="28"/>
        </w:rPr>
        <w:t>费</w:t>
      </w:r>
      <w:r>
        <w:rPr>
          <w:rFonts w:ascii="Times New Roman" w:eastAsia="方正仿宋_GBK" w:hAnsi="Times New Roman"/>
          <w:sz w:val="28"/>
        </w:rPr>
        <w:t>22.5万元</w:t>
      </w:r>
      <w:r>
        <w:rPr>
          <w:rFonts w:ascii="Times New Roman" w:eastAsia="方正仿宋_GBK" w:hAnsi="Times New Roman" w:hint="eastAsia"/>
          <w:sz w:val="28"/>
        </w:rPr>
        <w:t>、</w:t>
      </w:r>
      <w:r>
        <w:rPr>
          <w:rFonts w:ascii="Times New Roman" w:eastAsia="方正仿宋_GBK" w:hAnsi="Times New Roman"/>
          <w:sz w:val="28"/>
        </w:rPr>
        <w:t>在职职工</w:t>
      </w:r>
      <w:r>
        <w:rPr>
          <w:rFonts w:ascii="Times New Roman" w:eastAsia="方正仿宋_GBK" w:hAnsi="Times New Roman" w:hint="eastAsia"/>
          <w:sz w:val="28"/>
        </w:rPr>
        <w:t>福利费</w:t>
      </w:r>
      <w:r>
        <w:rPr>
          <w:rFonts w:ascii="Times New Roman" w:eastAsia="方正仿宋_GBK" w:hAnsi="Times New Roman"/>
          <w:sz w:val="28"/>
        </w:rPr>
        <w:t>10.63万元</w:t>
      </w:r>
      <w:r>
        <w:rPr>
          <w:rFonts w:ascii="Times New Roman" w:eastAsia="方正仿宋_GBK" w:hAnsi="Times New Roman" w:hint="eastAsia"/>
          <w:sz w:val="28"/>
        </w:rPr>
        <w:t>、</w:t>
      </w:r>
      <w:r>
        <w:rPr>
          <w:rFonts w:ascii="Times New Roman" w:eastAsia="方正仿宋_GBK" w:hAnsi="Times New Roman"/>
          <w:sz w:val="28"/>
        </w:rPr>
        <w:t>离退休福利费1.82万元，公务移动</w:t>
      </w:r>
      <w:r>
        <w:rPr>
          <w:rFonts w:ascii="Times New Roman" w:eastAsia="方正仿宋_GBK" w:hAnsi="Times New Roman" w:hint="eastAsia"/>
          <w:sz w:val="28"/>
        </w:rPr>
        <w:t>通讯</w:t>
      </w:r>
      <w:r>
        <w:rPr>
          <w:rFonts w:ascii="Times New Roman" w:eastAsia="方正仿宋_GBK" w:hAnsi="Times New Roman"/>
          <w:sz w:val="28"/>
        </w:rPr>
        <w:t>费用</w:t>
      </w:r>
      <w:r>
        <w:rPr>
          <w:rFonts w:ascii="Times New Roman" w:eastAsia="方正仿宋_GBK" w:hAnsi="Times New Roman" w:hint="eastAsia"/>
          <w:sz w:val="28"/>
        </w:rPr>
        <w:t>补贴</w:t>
      </w:r>
      <w:r>
        <w:rPr>
          <w:rFonts w:ascii="Times New Roman" w:eastAsia="方正仿宋_GBK" w:hAnsi="Times New Roman"/>
          <w:sz w:val="28"/>
        </w:rPr>
        <w:t>39万元</w:t>
      </w:r>
      <w:r>
        <w:rPr>
          <w:rFonts w:ascii="Times New Roman" w:eastAsia="方正仿宋_GBK" w:hAnsi="Times New Roman" w:hint="eastAsia"/>
          <w:sz w:val="28"/>
        </w:rPr>
        <w:t>、</w:t>
      </w:r>
      <w:r>
        <w:rPr>
          <w:rFonts w:ascii="Times New Roman" w:eastAsia="方正仿宋_GBK" w:hAnsi="Times New Roman"/>
          <w:sz w:val="28"/>
        </w:rPr>
        <w:t>公务</w:t>
      </w:r>
      <w:r>
        <w:rPr>
          <w:rFonts w:ascii="Times New Roman" w:eastAsia="方正仿宋_GBK" w:hAnsi="Times New Roman" w:hint="eastAsia"/>
          <w:sz w:val="28"/>
        </w:rPr>
        <w:t>交通补贴</w:t>
      </w:r>
      <w:r>
        <w:rPr>
          <w:rFonts w:ascii="Times New Roman" w:eastAsia="方正仿宋_GBK" w:hAnsi="Times New Roman"/>
          <w:sz w:val="28"/>
        </w:rPr>
        <w:t>52万元</w:t>
      </w:r>
      <w:r>
        <w:rPr>
          <w:rFonts w:ascii="Times New Roman" w:eastAsia="方正仿宋_GBK" w:hAnsi="Times New Roman" w:hint="eastAsia"/>
          <w:sz w:val="28"/>
        </w:rPr>
        <w:t>、</w:t>
      </w:r>
      <w:r>
        <w:rPr>
          <w:rFonts w:ascii="Times New Roman" w:eastAsia="方正仿宋_GBK" w:hAnsi="Times New Roman"/>
          <w:sz w:val="28"/>
        </w:rPr>
        <w:t>离退休干部报刊费0.45万元。</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spacing w:line="360" w:lineRule="auto"/>
        <w:ind w:firstLineChars="250" w:firstLine="700"/>
        <w:jc w:val="left"/>
        <w:rPr>
          <w:rFonts w:ascii="Times New Roman" w:eastAsia="方正仿宋_GBK" w:hAnsi="Times New Roman"/>
          <w:color w:val="000000"/>
          <w:sz w:val="28"/>
        </w:rPr>
      </w:pPr>
      <w:bookmarkStart w:id="13" w:name="_Toc_3_3_0000000014"/>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87.3</w:t>
      </w:r>
      <w:r>
        <w:rPr>
          <w:rFonts w:ascii="Times New Roman" w:eastAsia="方正仿宋_GBK" w:hAnsi="Times New Roman" w:hint="eastAsia"/>
          <w:color w:val="000000"/>
          <w:sz w:val="28"/>
        </w:rPr>
        <w:t>万元，比2021年</w:t>
      </w:r>
      <w:r>
        <w:rPr>
          <w:rFonts w:ascii="Times New Roman" w:eastAsia="方正仿宋_GBK" w:hAnsi="Times New Roman" w:hint="eastAsia"/>
          <w:sz w:val="28"/>
        </w:rPr>
        <w:t>减少</w:t>
      </w:r>
      <w:r>
        <w:rPr>
          <w:rFonts w:ascii="Times New Roman" w:eastAsia="方正仿宋_GBK" w:hAnsi="Times New Roman"/>
          <w:sz w:val="28"/>
        </w:rPr>
        <w:t>26.4</w:t>
      </w:r>
      <w:r>
        <w:rPr>
          <w:rFonts w:ascii="Times New Roman" w:eastAsia="方正仿宋_GBK" w:hAnsi="Times New Roman" w:hint="eastAsia"/>
          <w:color w:val="000000"/>
          <w:sz w:val="28"/>
        </w:rPr>
        <w:t>万元。具体增减情况为：</w:t>
      </w:r>
    </w:p>
    <w:p>
      <w:pPr>
        <w:spacing w:line="360" w:lineRule="auto"/>
        <w:ind w:firstLineChars="200" w:firstLine="560"/>
        <w:jc w:val="left"/>
        <w:rPr>
          <w:rFonts w:eastAsia="方正仿宋_GBK" w:hint="eastAsia"/>
          <w:color w:val="000000"/>
          <w:sz w:val="28"/>
        </w:rPr>
      </w:pPr>
      <w:bookmarkStart w:id="14" w:name="OLE_LINK1"/>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85</w:t>
      </w:r>
      <w:r>
        <w:rPr>
          <w:rFonts w:ascii="Times New Roman" w:eastAsia="方正仿宋_GBK" w:hAnsi="Times New Roman" w:hint="eastAsia"/>
          <w:color w:val="000000"/>
          <w:sz w:val="28"/>
        </w:rPr>
        <w:t>万元，比2021年</w:t>
      </w:r>
      <w:r>
        <w:rPr>
          <w:rFonts w:ascii="Times New Roman" w:eastAsia="方正仿宋_GBK" w:hAnsi="Times New Roman" w:hint="eastAsia"/>
          <w:sz w:val="28"/>
        </w:rPr>
        <w:t>减少</w:t>
      </w:r>
      <w:r>
        <w:rPr>
          <w:rFonts w:ascii="Times New Roman" w:eastAsia="方正仿宋_GBK" w:hAnsi="Times New Roman"/>
          <w:sz w:val="28"/>
        </w:rPr>
        <w:t>26.4</w:t>
      </w:r>
      <w:r>
        <w:rPr>
          <w:rFonts w:ascii="Times New Roman" w:eastAsia="方正仿宋_GBK" w:hAnsi="Times New Roman" w:hint="eastAsia"/>
          <w:sz w:val="28"/>
        </w:rPr>
        <w:t>万元，</w:t>
      </w:r>
      <w:r>
        <w:rPr>
          <w:rFonts w:eastAsia="方正仿宋_GBK" w:hint="eastAsia"/>
          <w:color w:val="000000"/>
          <w:sz w:val="28"/>
        </w:rPr>
        <w:t>其中：公务用车购置费为</w:t>
      </w:r>
      <w:r>
        <w:rPr>
          <w:rFonts w:eastAsia="方正仿宋_GBK" w:hint="eastAsia"/>
          <w:color w:val="000000"/>
          <w:sz w:val="28"/>
          <w:lang w:val="en-US" w:eastAsia="zh-CN"/>
        </w:rPr>
        <w:t>0</w:t>
      </w:r>
      <w:r>
        <w:rPr>
          <w:rFonts w:eastAsia="方正仿宋_GBK" w:hint="eastAsia"/>
          <w:color w:val="000000"/>
          <w:sz w:val="28"/>
        </w:rPr>
        <w:t>万元，比2021年减少</w:t>
      </w:r>
      <w:r>
        <w:rPr>
          <w:rFonts w:eastAsia="方正仿宋_GBK" w:hint="eastAsia"/>
          <w:color w:val="000000"/>
          <w:sz w:val="28"/>
          <w:lang w:val="en-US" w:eastAsia="zh-CN"/>
        </w:rPr>
        <w:t>26.4</w:t>
      </w:r>
      <w:r>
        <w:rPr>
          <w:rFonts w:eastAsia="方正仿宋_GBK" w:hint="eastAsia"/>
          <w:color w:val="000000"/>
          <w:sz w:val="28"/>
        </w:rPr>
        <w:t>万元，原因是</w:t>
      </w:r>
      <w:r>
        <w:rPr>
          <w:rFonts w:eastAsia="方正仿宋_GBK" w:hint="eastAsia"/>
          <w:color w:val="000000"/>
          <w:sz w:val="28"/>
          <w:lang w:val="en-US" w:eastAsia="zh-CN"/>
        </w:rPr>
        <w:t>2022年无公务用车购置经费</w:t>
      </w:r>
      <w:r>
        <w:rPr>
          <w:rFonts w:eastAsia="方正仿宋_GBK"/>
          <w:color w:val="000000"/>
          <w:sz w:val="28"/>
          <w:lang w:val="en-US" w:eastAsia="zh-CN"/>
        </w:rPr>
        <w:t>预算</w:t>
      </w:r>
      <w:r>
        <w:rPr>
          <w:rFonts w:eastAsia="方正仿宋_GBK" w:hint="eastAsia"/>
          <w:color w:val="000000"/>
          <w:sz w:val="28"/>
        </w:rPr>
        <w:t>；公务用车运行</w:t>
      </w:r>
      <w:r>
        <w:rPr>
          <w:rFonts w:eastAsia="方正仿宋_GBK" w:hint="eastAsia"/>
          <w:color w:val="000000"/>
          <w:sz w:val="28"/>
          <w:lang w:val="en-US" w:eastAsia="zh-CN"/>
        </w:rPr>
        <w:t>维护费85</w:t>
      </w:r>
      <w:r>
        <w:rPr>
          <w:rFonts w:eastAsia="方正仿宋_GBK" w:hint="eastAsia"/>
          <w:color w:val="000000"/>
          <w:sz w:val="28"/>
        </w:rPr>
        <w:t>万元，比</w:t>
      </w:r>
      <w:r>
        <w:rPr>
          <w:rFonts w:eastAsia="方正仿宋_GBK" w:hint="eastAsia"/>
          <w:color w:val="000000"/>
          <w:sz w:val="28"/>
          <w:lang w:val="en-US" w:eastAsia="zh-CN"/>
        </w:rPr>
        <w:t>2021</w:t>
      </w:r>
      <w:r>
        <w:rPr>
          <w:rFonts w:eastAsia="方正仿宋_GBK" w:hint="eastAsia"/>
          <w:color w:val="000000"/>
          <w:sz w:val="28"/>
        </w:rPr>
        <w:t>年增加</w:t>
      </w:r>
      <w:r>
        <w:rPr>
          <w:rFonts w:eastAsia="方正仿宋_GBK" w:hint="eastAsia"/>
          <w:color w:val="000000"/>
          <w:sz w:val="28"/>
          <w:lang w:val="en-US" w:eastAsia="zh-CN"/>
        </w:rPr>
        <w:t>0</w:t>
      </w:r>
      <w:r>
        <w:rPr>
          <w:rFonts w:eastAsia="方正仿宋_GBK" w:hint="eastAsia"/>
          <w:color w:val="000000"/>
          <w:sz w:val="28"/>
        </w:rPr>
        <w:t>万元，无增减变化</w:t>
      </w:r>
      <w:r>
        <w:rPr>
          <w:rFonts w:eastAsia="方正仿宋_GBK"/>
          <w:color w:val="000000"/>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2.3</w:t>
      </w:r>
      <w:r>
        <w:rPr>
          <w:rFonts w:ascii="Times New Roman" w:eastAsia="方正仿宋_GBK" w:hAnsi="Times New Roman" w:hint="eastAsia"/>
          <w:sz w:val="28"/>
        </w:rPr>
        <w:t>万元，</w:t>
      </w:r>
      <w:bookmarkEnd w:id="14"/>
      <w:r>
        <w:rPr>
          <w:rFonts w:ascii="Times New Roman" w:eastAsia="方正仿宋_GBK" w:hAnsi="Times New Roman" w:hint="eastAsia"/>
          <w:sz w:val="28"/>
        </w:rPr>
        <w:t>比2021年增加</w:t>
      </w:r>
      <w:r>
        <w:rPr>
          <w:rFonts w:ascii="Times New Roman" w:eastAsia="方正仿宋_GBK" w:hAnsi="Times New Roman"/>
          <w:sz w:val="28"/>
        </w:rPr>
        <w:t>0</w:t>
      </w:r>
      <w:r>
        <w:rPr>
          <w:rFonts w:ascii="Times New Roman" w:eastAsia="方正仿宋_GBK" w:hAnsi="Times New Roman" w:hint="eastAsia"/>
          <w:sz w:val="28"/>
        </w:rPr>
        <w:t>万元，无增减变化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万元，无增减变化</w:t>
      </w:r>
      <w:r>
        <w:rPr>
          <w:rFonts w:ascii="Times New Roman" w:eastAsia="方正仿宋_GBK" w:hAnsi="Times New Roman"/>
          <w:sz w:val="28"/>
        </w:rPr>
        <w:t>。</w:t>
      </w:r>
    </w:p>
    <w:p>
      <w:pPr>
        <w:spacing w:before="10" w:after="10" w:line="360" w:lineRule="auto"/>
        <w:ind w:firstLine="640"/>
        <w:jc w:val="left"/>
        <w:outlineLvl w:val="2"/>
      </w:pPr>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2022年，我委将坚持以习近平新时代中国特色社会主义思想为指导，严格按照中央、省、市纪委监委和区委区政府的安排部署，忠实履行党章和宪法赋予的职责，坚定不移全面从严治党，切实发挥监督保障执行、促进完善发展作用，一体推进不敢腐、不能腐、不想腐，为加快建设“高质量发展示范区、生态宜居样板区”保驾护航。</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ind w:firstLineChars="250" w:firstLine="700"/>
      </w:pPr>
      <w:r>
        <w:t>1、充分发挥党风廉政宣传教育基础性作用，浓厚全区廉荣腐耻氛围。</w:t>
      </w:r>
    </w:p>
    <w:p>
      <w:pPr>
        <w:pStyle w:val="30"/>
      </w:pPr>
      <w:r>
        <w:t>绩效目标：强化警示教育作用，进一步筑牢“不想腐”的思想防线，用党纪条规约束党员干部行为。</w:t>
      </w:r>
    </w:p>
    <w:p>
      <w:pPr>
        <w:pStyle w:val="30"/>
      </w:pPr>
      <w:r>
        <w:t>绩效指标：组织开展宣传教育活动按期完成率达到80%以上；活动参与率达到80%以上。</w:t>
      </w:r>
    </w:p>
    <w:p>
      <w:pPr>
        <w:pStyle w:val="30"/>
        <w:ind w:firstLineChars="250" w:firstLine="700"/>
      </w:pPr>
      <w:r>
        <w:t>2、深入排查廉政风险点、明确监督重点、创新监督方式，更好的推进标本兼治。</w:t>
      </w:r>
    </w:p>
    <w:p>
      <w:pPr>
        <w:pStyle w:val="30"/>
      </w:pPr>
      <w:r>
        <w:t>绩效目标：及时发现问题，整改问题，健全制度，促进两个责任落地生根，从源头上遏制违纪违法行为的蔓延，积极构建“不能腐”的防范机制。</w:t>
      </w:r>
    </w:p>
    <w:p>
      <w:pPr>
        <w:pStyle w:val="30"/>
      </w:pPr>
      <w:r>
        <w:t>绩效指标：开展常态化全覆盖监督，组织协调重要监督检查活动，监督检查覆盖率达到100%。</w:t>
      </w:r>
    </w:p>
    <w:p>
      <w:pPr>
        <w:pStyle w:val="30"/>
        <w:ind w:firstLineChars="250" w:firstLine="700"/>
      </w:pPr>
      <w:r>
        <w:t>3、维护党纪国法尊严，坚决惩处腐败分子，有效遏制腐败现象。</w:t>
      </w:r>
    </w:p>
    <w:p>
      <w:pPr>
        <w:pStyle w:val="30"/>
      </w:pPr>
      <w:r>
        <w:t>绩效目标：严肃查办违纪违法案件。</w:t>
      </w:r>
    </w:p>
    <w:p>
      <w:pPr>
        <w:pStyle w:val="30"/>
      </w:pPr>
      <w:r>
        <w:t>绩效指标：依法依规调查、处理党员、干部及监察对象各类违纪违法问题，违纪人员处理率达到100%。</w:t>
      </w:r>
    </w:p>
    <w:p>
      <w:pPr>
        <w:pStyle w:val="30"/>
        <w:ind w:firstLineChars="250" w:firstLine="700"/>
      </w:pPr>
      <w:r>
        <w:t>4、不断提高纪检监察干部队伍的整体素质和战斗力，切实打造高素质反腐败铁军。</w:t>
      </w:r>
    </w:p>
    <w:p>
      <w:pPr>
        <w:pStyle w:val="30"/>
      </w:pPr>
      <w:r>
        <w:t>绩效目标：全面提升我区纪检监察干部队伍素质，打造敢于监督、善于监督、忠诚干净担当的干部队伍。</w:t>
      </w:r>
    </w:p>
    <w:p>
      <w:pPr>
        <w:pStyle w:val="30"/>
      </w:pPr>
      <w:r>
        <w:t>绩效指标：全年组织参加各类培训不少于20次；培训计划按期完成率达到80%以上；培训出勤率不低于80%。</w:t>
      </w:r>
    </w:p>
    <w:p>
      <w:pPr>
        <w:pStyle w:val="30"/>
        <w:ind w:firstLineChars="250" w:firstLine="700"/>
      </w:pPr>
      <w:r>
        <w:t>5、对被巡察单位实施巡察监督，确保党委一个任期内完成巡察工作“全覆盖”。</w:t>
      </w:r>
    </w:p>
    <w:p>
      <w:pPr>
        <w:pStyle w:val="30"/>
      </w:pPr>
      <w:r>
        <w:t>绩效目标：发挥巡察利剑的作用，发现问题、形成震慑，确保充分发挥巡察标本兼治作用，实现巡察全覆盖。</w:t>
      </w:r>
    </w:p>
    <w:p>
      <w:pPr>
        <w:pStyle w:val="30"/>
      </w:pPr>
      <w:r>
        <w:t>绩效指标：确保党委一个任期内实现巡察工作100%全覆盖；问题整改率达到100%。</w:t>
      </w:r>
    </w:p>
    <w:p>
      <w:pPr>
        <w:pStyle w:val="30"/>
        <w:ind w:firstLineChars="250" w:firstLine="700"/>
      </w:pPr>
      <w:r>
        <w:t>6、为案件查办、纪检监察业务、党风廉政建设等提供服务和保障。</w:t>
      </w:r>
    </w:p>
    <w:p>
      <w:pPr>
        <w:pStyle w:val="30"/>
      </w:pPr>
      <w:r>
        <w:t>绩效目标：保障机关各级会议顺利召开，机关基础设施、设备正常运转，机关信息化水平进一步提高，机关内部各项活动有序开展。</w:t>
      </w:r>
    </w:p>
    <w:p>
      <w:pPr>
        <w:pStyle w:val="30"/>
      </w:pPr>
      <w:r>
        <w:t>绩效指标：综合事务管理工作完成率达到100%；购置验收通过率达到100%；设备使用人员满意度达到95%以上。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ind w:firstLineChars="250" w:firstLine="700"/>
      </w:pPr>
      <w:r>
        <w:t>1、完善制度建设。完善单位预算绩效管理制度、资金管理办法、工作保障制度等，为全年预算绩效目标的实现奠定制度基础。</w:t>
      </w:r>
    </w:p>
    <w:p>
      <w:pPr>
        <w:pStyle w:val="31"/>
        <w:ind w:firstLineChars="250" w:firstLine="700"/>
      </w:pPr>
      <w:r>
        <w:t>2、加强支出管理。优化支出结构、编细编实预算、加快履行政府采购手续、尽快启动项目、及时支付资金，确保支出进度达标。</w:t>
      </w:r>
    </w:p>
    <w:p>
      <w:pPr>
        <w:pStyle w:val="31"/>
        <w:ind w:firstLineChars="250" w:firstLine="700"/>
      </w:pPr>
      <w:r>
        <w:t>3、加强绩效运行监控。按要求开展绩效运行监控，发现问题及时采取措施，确保绩效目标如期保质实现。</w:t>
      </w:r>
    </w:p>
    <w:p>
      <w:pPr>
        <w:pStyle w:val="31"/>
        <w:ind w:firstLineChars="250" w:firstLine="700"/>
      </w:pPr>
      <w:r>
        <w:t>4、做好绩效自评。严格按照要求开展上年度部门预算绩效自评和重点评价工作，对评价中发现的问题及时整改，调整优化支出结构，提高财政资金使用效益。</w:t>
      </w:r>
    </w:p>
    <w:p>
      <w:pPr>
        <w:pStyle w:val="31"/>
        <w:ind w:firstLineChars="250" w:firstLine="700"/>
      </w:pPr>
      <w:r>
        <w:t>5、规范财务资产管理。完善单位相关财务管理制度，严格审批程序，加强固定资产登记、使用和报废处置管理，做到支出合理，物尽其用。</w:t>
      </w:r>
    </w:p>
    <w:p>
      <w:pPr>
        <w:pStyle w:val="31"/>
        <w:ind w:firstLineChars="250" w:firstLine="700"/>
      </w:pPr>
      <w:r>
        <w:t>6、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31"/>
        <w:ind w:firstLineChars="250" w:firstLine="700"/>
      </w:pPr>
      <w:r>
        <w:t>7、加强宣传培训。加强人员培训，提高本部门职工业务素质，强化预算绩效意识，进行预算绩效宣传，促进预算绩效管理水平进一步提升。加强调查研究，提出优化资金配置、提高资金使用效益的意见建议。</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eastAsia="方正仿宋_GBK"/>
          <w:sz w:val="28"/>
        </w:rPr>
        <w:sectPr>
          <w:pgSz w:w="16840" w:h="11900" w:orient="landscape"/>
          <w:pgMar w:top="1361" w:right="1020" w:bottom="1361" w:left="1020" w:header="720" w:footer="720" w:gutter="0"/>
          <w:docGrid w:linePitch="326" w:charSpace="0"/>
        </w:sectPr>
      </w:pPr>
      <w:r>
        <w:rPr>
          <w:rFonts w:eastAsia="方正仿宋_GBK" w:cs="方正楷体_GBK"/>
          <w:sz w:val="28"/>
        </w:rPr>
        <w:t>2022年我部门无专项资金。</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1、办案经费绩效目标表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1.严肃查办违纪违法案件。</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办理案件数</w:t>
            </w:r>
          </w:p>
        </w:tc>
        <w:tc>
          <w:tcPr>
            <w:tcW w:w="2835" w:type="dxa"/>
            <w:tcBorders>
              <w:left w:val="single" w:sz="6" w:space="0" w:color="000000"/>
              <w:right w:val="single" w:sz="6" w:space="0" w:color="000000"/>
            </w:tcBorders>
            <w:vAlign w:val="center"/>
          </w:tcPr>
          <w:p>
            <w:pPr>
              <w:pStyle w:val="20"/>
            </w:pPr>
            <w:r>
              <w:t>实际立案数量。</w:t>
            </w:r>
          </w:p>
        </w:tc>
        <w:tc>
          <w:tcPr>
            <w:tcW w:w="2551" w:type="dxa"/>
            <w:tcBorders>
              <w:left w:val="single" w:sz="6" w:space="0" w:color="000000"/>
              <w:right w:val="single" w:sz="6" w:space="0" w:color="000000"/>
            </w:tcBorders>
            <w:vAlign w:val="center"/>
          </w:tcPr>
          <w:p>
            <w:pPr>
              <w:pStyle w:val="20"/>
            </w:pPr>
            <w:r>
              <w:t>≥60个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处理问题线索数</w:t>
            </w:r>
          </w:p>
        </w:tc>
        <w:tc>
          <w:tcPr>
            <w:tcW w:w="2835" w:type="dxa"/>
            <w:tcBorders>
              <w:left w:val="single" w:sz="6" w:space="0" w:color="000000"/>
              <w:right w:val="single" w:sz="6" w:space="0" w:color="000000"/>
            </w:tcBorders>
            <w:vAlign w:val="center"/>
          </w:tcPr>
          <w:p>
            <w:pPr>
              <w:pStyle w:val="20"/>
            </w:pPr>
            <w:r>
              <w:t>实际处理的问题线索数量。</w:t>
            </w:r>
          </w:p>
        </w:tc>
        <w:tc>
          <w:tcPr>
            <w:tcW w:w="2551" w:type="dxa"/>
            <w:tcBorders>
              <w:left w:val="single" w:sz="6" w:space="0" w:color="000000"/>
              <w:right w:val="single" w:sz="6" w:space="0" w:color="000000"/>
            </w:tcBorders>
            <w:vAlign w:val="center"/>
          </w:tcPr>
          <w:p>
            <w:pPr>
              <w:pStyle w:val="20"/>
            </w:pPr>
            <w:r>
              <w:t>≥150个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案件办结率</w:t>
            </w:r>
          </w:p>
        </w:tc>
        <w:tc>
          <w:tcPr>
            <w:tcW w:w="2835" w:type="dxa"/>
            <w:tcBorders>
              <w:left w:val="single" w:sz="6" w:space="0" w:color="000000"/>
              <w:right w:val="single" w:sz="6" w:space="0" w:color="000000"/>
            </w:tcBorders>
            <w:vAlign w:val="center"/>
          </w:tcPr>
          <w:p>
            <w:pPr>
              <w:pStyle w:val="20"/>
            </w:pPr>
            <w:r>
              <w:t>办结案件数量占立案案件总数的比率。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违纪人员处理率</w:t>
            </w:r>
          </w:p>
        </w:tc>
        <w:tc>
          <w:tcPr>
            <w:tcW w:w="2835" w:type="dxa"/>
            <w:tcBorders>
              <w:left w:val="single" w:sz="6" w:space="0" w:color="000000"/>
              <w:right w:val="single" w:sz="6" w:space="0" w:color="000000"/>
            </w:tcBorders>
            <w:vAlign w:val="center"/>
          </w:tcPr>
          <w:p>
            <w:pPr>
              <w:pStyle w:val="20"/>
            </w:pPr>
            <w:r>
              <w:t>年度内处理违纪人员的数量占立案人员数量的比率。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党政纪处分人数</w:t>
            </w:r>
          </w:p>
        </w:tc>
        <w:tc>
          <w:tcPr>
            <w:tcW w:w="2835" w:type="dxa"/>
            <w:tcBorders>
              <w:left w:val="single" w:sz="6" w:space="0" w:color="000000"/>
              <w:right w:val="single" w:sz="6" w:space="0" w:color="000000"/>
            </w:tcBorders>
            <w:vAlign w:val="center"/>
          </w:tcPr>
          <w:p>
            <w:pPr>
              <w:pStyle w:val="20"/>
            </w:pPr>
            <w:r>
              <w:t>年度内受党政纪处分的人数。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反腐败高压态势</w:t>
            </w:r>
          </w:p>
        </w:tc>
        <w:tc>
          <w:tcPr>
            <w:tcW w:w="2835" w:type="dxa"/>
            <w:tcBorders>
              <w:left w:val="single" w:sz="6" w:space="0" w:color="000000"/>
              <w:right w:val="single" w:sz="6" w:space="0" w:color="000000"/>
            </w:tcBorders>
            <w:vAlign w:val="center"/>
          </w:tcPr>
          <w:p>
            <w:pPr>
              <w:pStyle w:val="20"/>
            </w:pPr>
            <w:r>
              <w:t>巩固全区反腐败压倒性胜利</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调查中满意和较满意的人数占调查总人数的比率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2、档案室建设经费绩效目标表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1.完成档案室建设，推动档案工作实现高质量发展，更好地为全面从严治党、深入推进党风廉政建设和反腐败斗争服务。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建设任务完成率</w:t>
            </w:r>
          </w:p>
        </w:tc>
        <w:tc>
          <w:tcPr>
            <w:tcW w:w="2835" w:type="dxa"/>
            <w:tcBorders>
              <w:left w:val="single" w:sz="6" w:space="0" w:color="000000"/>
              <w:right w:val="single" w:sz="6" w:space="0" w:color="000000"/>
            </w:tcBorders>
            <w:vAlign w:val="center"/>
          </w:tcPr>
          <w:p>
            <w:pPr>
              <w:pStyle w:val="20"/>
            </w:pPr>
            <w:r>
              <w:t>建设任务完成率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建设工程合格率</w:t>
            </w:r>
          </w:p>
        </w:tc>
        <w:tc>
          <w:tcPr>
            <w:tcW w:w="2835" w:type="dxa"/>
            <w:tcBorders>
              <w:left w:val="single" w:sz="6" w:space="0" w:color="000000"/>
              <w:right w:val="single" w:sz="6" w:space="0" w:color="000000"/>
            </w:tcBorders>
            <w:vAlign w:val="center"/>
          </w:tcPr>
          <w:p>
            <w:pPr>
              <w:pStyle w:val="20"/>
            </w:pPr>
            <w:r>
              <w:t>建设工程合格率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工程完成及时率</w:t>
            </w:r>
          </w:p>
        </w:tc>
        <w:tc>
          <w:tcPr>
            <w:tcW w:w="2835" w:type="dxa"/>
            <w:tcBorders>
              <w:left w:val="single" w:sz="6" w:space="0" w:color="000000"/>
              <w:right w:val="single" w:sz="6" w:space="0" w:color="000000"/>
            </w:tcBorders>
            <w:vAlign w:val="center"/>
          </w:tcPr>
          <w:p>
            <w:pPr>
              <w:pStyle w:val="20"/>
            </w:pPr>
            <w:r>
              <w:t>工程完成及时率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按期完成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项目实现功能</w:t>
            </w:r>
          </w:p>
        </w:tc>
        <w:tc>
          <w:tcPr>
            <w:tcW w:w="2835" w:type="dxa"/>
            <w:tcBorders>
              <w:left w:val="single" w:sz="6" w:space="0" w:color="000000"/>
              <w:right w:val="single" w:sz="6" w:space="0" w:color="000000"/>
            </w:tcBorders>
            <w:vAlign w:val="center"/>
          </w:tcPr>
          <w:p>
            <w:pPr>
              <w:pStyle w:val="20"/>
            </w:pPr>
            <w:r>
              <w:t>项目实现功能</w:t>
            </w:r>
          </w:p>
        </w:tc>
        <w:tc>
          <w:tcPr>
            <w:tcW w:w="2551" w:type="dxa"/>
            <w:tcBorders>
              <w:left w:val="single" w:sz="6" w:space="0" w:color="000000"/>
              <w:right w:val="single" w:sz="6" w:space="0" w:color="000000"/>
            </w:tcBorders>
            <w:vAlign w:val="center"/>
          </w:tcPr>
          <w:p>
            <w:pPr>
              <w:pStyle w:val="20"/>
            </w:pPr>
            <w:r>
              <w:t xml:space="preserve">实现功能 </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可持续服务</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3、机关信息系统维护费绩效目标表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1.保障机关信息系统正常运行，为纪检监察业务开展、案件查办、党风廉政建设等工作提供服务和保障。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系统故障率</w:t>
            </w:r>
          </w:p>
        </w:tc>
        <w:tc>
          <w:tcPr>
            <w:tcW w:w="2835" w:type="dxa"/>
            <w:tcBorders>
              <w:left w:val="single" w:sz="6" w:space="0" w:color="000000"/>
              <w:right w:val="single" w:sz="6" w:space="0" w:color="000000"/>
            </w:tcBorders>
            <w:vAlign w:val="center"/>
          </w:tcPr>
          <w:p>
            <w:pPr>
              <w:pStyle w:val="20"/>
            </w:pPr>
            <w:r>
              <w:t>系统出故障时间占总运行时间的比率（反向指标）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故障排除率</w:t>
            </w:r>
          </w:p>
        </w:tc>
        <w:tc>
          <w:tcPr>
            <w:tcW w:w="2835" w:type="dxa"/>
            <w:tcBorders>
              <w:left w:val="single" w:sz="6" w:space="0" w:color="000000"/>
              <w:right w:val="single" w:sz="6" w:space="0" w:color="000000"/>
            </w:tcBorders>
            <w:vAlign w:val="center"/>
          </w:tcPr>
          <w:p>
            <w:pPr>
              <w:pStyle w:val="20"/>
            </w:pPr>
            <w:r>
              <w:t>排除故障次数占故障发生次数的比率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业务处理及时率</w:t>
            </w:r>
          </w:p>
        </w:tc>
        <w:tc>
          <w:tcPr>
            <w:tcW w:w="2835" w:type="dxa"/>
            <w:tcBorders>
              <w:left w:val="single" w:sz="6" w:space="0" w:color="000000"/>
              <w:right w:val="single" w:sz="6" w:space="0" w:color="000000"/>
            </w:tcBorders>
            <w:vAlign w:val="center"/>
          </w:tcPr>
          <w:p>
            <w:pPr>
              <w:pStyle w:val="20"/>
            </w:pPr>
            <w:r>
              <w:t>及时处理业务数占总业务数的比率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2835" w:type="dxa"/>
            <w:tcBorders>
              <w:left w:val="single" w:sz="6" w:space="0" w:color="000000"/>
              <w:right w:val="single" w:sz="6" w:space="0" w:color="000000"/>
            </w:tcBorders>
            <w:vAlign w:val="center"/>
          </w:tcPr>
          <w:p>
            <w:pPr>
              <w:pStyle w:val="20"/>
            </w:pPr>
            <w:r>
              <w:t>系统的利用、使用率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受益职工数</w:t>
            </w:r>
          </w:p>
        </w:tc>
        <w:tc>
          <w:tcPr>
            <w:tcW w:w="2835" w:type="dxa"/>
            <w:tcBorders>
              <w:left w:val="single" w:sz="6" w:space="0" w:color="000000"/>
              <w:right w:val="single" w:sz="6" w:space="0" w:color="000000"/>
            </w:tcBorders>
            <w:vAlign w:val="center"/>
          </w:tcPr>
          <w:p>
            <w:pPr>
              <w:pStyle w:val="20"/>
            </w:pPr>
            <w:r>
              <w:t>单位收益职工的数量</w:t>
            </w:r>
          </w:p>
        </w:tc>
        <w:tc>
          <w:tcPr>
            <w:tcW w:w="2551" w:type="dxa"/>
            <w:tcBorders>
              <w:left w:val="single" w:sz="6" w:space="0" w:color="000000"/>
              <w:right w:val="single" w:sz="6" w:space="0" w:color="000000"/>
            </w:tcBorders>
            <w:vAlign w:val="center"/>
          </w:tcPr>
          <w:p>
            <w:pPr>
              <w:pStyle w:val="20"/>
            </w:pPr>
            <w:r>
              <w:t>≥100人</w:t>
            </w:r>
          </w:p>
        </w:tc>
        <w:tc>
          <w:tcPr>
            <w:tcW w:w="2268" w:type="dxa"/>
            <w:vAlign w:val="center"/>
          </w:tcPr>
          <w:p>
            <w:pPr>
              <w:pStyle w:val="20"/>
            </w:pPr>
            <w:r>
              <w:t>机关实际人数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系统可持续使用年限</w:t>
            </w:r>
          </w:p>
        </w:tc>
        <w:tc>
          <w:tcPr>
            <w:tcW w:w="2835" w:type="dxa"/>
            <w:tcBorders>
              <w:left w:val="single" w:sz="6" w:space="0" w:color="000000"/>
              <w:right w:val="single" w:sz="6" w:space="0" w:color="000000"/>
            </w:tcBorders>
            <w:vAlign w:val="center"/>
          </w:tcPr>
          <w:p>
            <w:pPr>
              <w:pStyle w:val="20"/>
            </w:pPr>
            <w:r>
              <w:t>系统可持续使用的年限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使用人员满意和较满意的数量占调查总人数的比例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4、劳务派遣人员工资（劳务费）绩效目标表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考勤正常率</w:t>
            </w:r>
          </w:p>
        </w:tc>
        <w:tc>
          <w:tcPr>
            <w:tcW w:w="2835" w:type="dxa"/>
            <w:tcBorders>
              <w:left w:val="single" w:sz="6" w:space="0" w:color="000000"/>
              <w:right w:val="single" w:sz="6" w:space="0" w:color="000000"/>
            </w:tcBorders>
            <w:vAlign w:val="center"/>
          </w:tcPr>
          <w:p>
            <w:pPr>
              <w:pStyle w:val="20"/>
            </w:pPr>
            <w:r>
              <w:t>人员正常出勤占应出勤天数的比率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出勤情况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最低工资标准</w:t>
            </w:r>
          </w:p>
        </w:tc>
        <w:tc>
          <w:tcPr>
            <w:tcW w:w="2835" w:type="dxa"/>
            <w:tcBorders>
              <w:left w:val="single" w:sz="6" w:space="0" w:color="000000"/>
              <w:right w:val="single" w:sz="6" w:space="0" w:color="000000"/>
            </w:tcBorders>
            <w:vAlign w:val="center"/>
          </w:tcPr>
          <w:p>
            <w:pPr>
              <w:pStyle w:val="20"/>
            </w:pPr>
            <w:r>
              <w:t>最低工资标准</w:t>
            </w:r>
          </w:p>
        </w:tc>
        <w:tc>
          <w:tcPr>
            <w:tcW w:w="2551" w:type="dxa"/>
            <w:tcBorders>
              <w:left w:val="single" w:sz="6" w:space="0" w:color="000000"/>
              <w:right w:val="single" w:sz="6" w:space="0" w:color="000000"/>
            </w:tcBorders>
            <w:vAlign w:val="center"/>
          </w:tcPr>
          <w:p>
            <w:pPr>
              <w:pStyle w:val="20"/>
            </w:pPr>
            <w:r>
              <w:t>1900元</w:t>
            </w:r>
          </w:p>
        </w:tc>
        <w:tc>
          <w:tcPr>
            <w:tcW w:w="2268" w:type="dxa"/>
            <w:vAlign w:val="center"/>
          </w:tcPr>
          <w:p>
            <w:pPr>
              <w:pStyle w:val="20"/>
            </w:pPr>
            <w:r>
              <w:t>聘用合同</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实际消费水平</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2835" w:type="dxa"/>
            <w:tcBorders>
              <w:left w:val="single" w:sz="6" w:space="0" w:color="000000"/>
              <w:right w:val="single" w:sz="6" w:space="0" w:color="000000"/>
            </w:tcBorders>
            <w:vAlign w:val="center"/>
          </w:tcPr>
          <w:p>
            <w:pPr>
              <w:pStyle w:val="20"/>
            </w:pPr>
            <w:r>
              <w:t>保障各项工作正常运转</w:t>
            </w:r>
          </w:p>
        </w:tc>
        <w:tc>
          <w:tcPr>
            <w:tcW w:w="2551" w:type="dxa"/>
            <w:tcBorders>
              <w:left w:val="single" w:sz="6" w:space="0" w:color="000000"/>
              <w:right w:val="single" w:sz="6" w:space="0" w:color="000000"/>
            </w:tcBorders>
            <w:vAlign w:val="center"/>
          </w:tcPr>
          <w:p>
            <w:pPr>
              <w:pStyle w:val="20"/>
            </w:pPr>
            <w:r>
              <w:t>正常运转</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5、培训经费绩效目标表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1.全面提升我区纪检监察干部队伍素质，打造敢于监督、善于监督、忠诚干净担当的干部队伍。</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培训班次</w:t>
            </w:r>
          </w:p>
        </w:tc>
        <w:tc>
          <w:tcPr>
            <w:tcW w:w="2835" w:type="dxa"/>
            <w:tcBorders>
              <w:left w:val="single" w:sz="6" w:space="0" w:color="000000"/>
              <w:right w:val="single" w:sz="6" w:space="0" w:color="000000"/>
            </w:tcBorders>
            <w:vAlign w:val="center"/>
          </w:tcPr>
          <w:p>
            <w:pPr>
              <w:pStyle w:val="20"/>
            </w:pPr>
            <w:r>
              <w:t>年度内组织培训的班次。</w:t>
            </w:r>
          </w:p>
        </w:tc>
        <w:tc>
          <w:tcPr>
            <w:tcW w:w="2551" w:type="dxa"/>
            <w:tcBorders>
              <w:left w:val="single" w:sz="6" w:space="0" w:color="000000"/>
              <w:right w:val="single" w:sz="6" w:space="0" w:color="000000"/>
            </w:tcBorders>
            <w:vAlign w:val="center"/>
          </w:tcPr>
          <w:p>
            <w:pPr>
              <w:pStyle w:val="20"/>
            </w:pPr>
            <w:r>
              <w:t>≥20次</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培训出勤率</w:t>
            </w:r>
          </w:p>
        </w:tc>
        <w:tc>
          <w:tcPr>
            <w:tcW w:w="2835" w:type="dxa"/>
            <w:tcBorders>
              <w:left w:val="single" w:sz="6" w:space="0" w:color="000000"/>
              <w:right w:val="single" w:sz="6" w:space="0" w:color="000000"/>
            </w:tcBorders>
            <w:vAlign w:val="center"/>
          </w:tcPr>
          <w:p>
            <w:pPr>
              <w:pStyle w:val="20"/>
            </w:pPr>
            <w:r>
              <w:t>培训出勤率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培训计划按期完成率</w:t>
            </w:r>
          </w:p>
        </w:tc>
        <w:tc>
          <w:tcPr>
            <w:tcW w:w="2835" w:type="dxa"/>
            <w:tcBorders>
              <w:left w:val="single" w:sz="6" w:space="0" w:color="000000"/>
              <w:right w:val="single" w:sz="6" w:space="0" w:color="000000"/>
            </w:tcBorders>
            <w:vAlign w:val="center"/>
          </w:tcPr>
          <w:p>
            <w:pPr>
              <w:pStyle w:val="20"/>
            </w:pPr>
            <w:r>
              <w:t>按期完成的培训计划占总培训计划的比率。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培训资料发放率</w:t>
            </w:r>
          </w:p>
        </w:tc>
        <w:tc>
          <w:tcPr>
            <w:tcW w:w="2835" w:type="dxa"/>
            <w:tcBorders>
              <w:left w:val="single" w:sz="6" w:space="0" w:color="000000"/>
              <w:right w:val="single" w:sz="6" w:space="0" w:color="000000"/>
            </w:tcBorders>
            <w:vAlign w:val="center"/>
          </w:tcPr>
          <w:p>
            <w:pPr>
              <w:pStyle w:val="20"/>
            </w:pPr>
            <w:r>
              <w:t>培训资料发放使用量占应发放量的比例（%）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培训覆盖率</w:t>
            </w:r>
          </w:p>
        </w:tc>
        <w:tc>
          <w:tcPr>
            <w:tcW w:w="2835" w:type="dxa"/>
            <w:tcBorders>
              <w:left w:val="single" w:sz="6" w:space="0" w:color="000000"/>
              <w:right w:val="single" w:sz="6" w:space="0" w:color="000000"/>
            </w:tcBorders>
            <w:vAlign w:val="center"/>
          </w:tcPr>
          <w:p>
            <w:pPr>
              <w:pStyle w:val="20"/>
            </w:pPr>
            <w:r>
              <w:t>实际参加培训人数占应参加培训人数的比率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参训职工能力提高</w:t>
            </w:r>
          </w:p>
        </w:tc>
        <w:tc>
          <w:tcPr>
            <w:tcW w:w="2835" w:type="dxa"/>
            <w:tcBorders>
              <w:left w:val="single" w:sz="6" w:space="0" w:color="000000"/>
              <w:right w:val="single" w:sz="6" w:space="0" w:color="000000"/>
            </w:tcBorders>
            <w:vAlign w:val="center"/>
          </w:tcPr>
          <w:p>
            <w:pPr>
              <w:pStyle w:val="20"/>
            </w:pPr>
            <w:r>
              <w:t>参加培训人员工作能力提升情况。</w:t>
            </w:r>
          </w:p>
        </w:tc>
        <w:tc>
          <w:tcPr>
            <w:tcW w:w="2551" w:type="dxa"/>
            <w:tcBorders>
              <w:left w:val="single" w:sz="6" w:space="0" w:color="000000"/>
              <w:right w:val="single" w:sz="6" w:space="0" w:color="000000"/>
            </w:tcBorders>
            <w:vAlign w:val="center"/>
          </w:tcPr>
          <w:p>
            <w:pPr>
              <w:pStyle w:val="20"/>
            </w:pPr>
            <w:r>
              <w:t>明显提高</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受训学员满意度</w:t>
            </w:r>
          </w:p>
        </w:tc>
        <w:tc>
          <w:tcPr>
            <w:tcW w:w="2835" w:type="dxa"/>
            <w:tcBorders>
              <w:left w:val="single" w:sz="6" w:space="0" w:color="000000"/>
              <w:right w:val="single" w:sz="6" w:space="0" w:color="000000"/>
            </w:tcBorders>
            <w:vAlign w:val="center"/>
          </w:tcPr>
          <w:p>
            <w:pPr>
              <w:pStyle w:val="20"/>
            </w:pPr>
            <w:r>
              <w:t>调查中满意和较满意的受训学员数量占调查总人数的比率。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6、青年路谈话点维修资金（以前年度）绩效目标表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1.完成谈话点维修工程，保障谈话点工作正常运转。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维修任务完成率（%）</w:t>
            </w:r>
          </w:p>
        </w:tc>
        <w:tc>
          <w:tcPr>
            <w:tcW w:w="2835" w:type="dxa"/>
            <w:tcBorders>
              <w:left w:val="single" w:sz="6" w:space="0" w:color="000000"/>
              <w:right w:val="single" w:sz="6" w:space="0" w:color="000000"/>
            </w:tcBorders>
            <w:vAlign w:val="center"/>
          </w:tcPr>
          <w:p>
            <w:pPr>
              <w:pStyle w:val="20"/>
            </w:pPr>
            <w:r>
              <w:t>维修任务完成率（%）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维修工程合格率</w:t>
            </w:r>
          </w:p>
        </w:tc>
        <w:tc>
          <w:tcPr>
            <w:tcW w:w="2835" w:type="dxa"/>
            <w:tcBorders>
              <w:left w:val="single" w:sz="6" w:space="0" w:color="000000"/>
              <w:right w:val="single" w:sz="6" w:space="0" w:color="000000"/>
            </w:tcBorders>
            <w:vAlign w:val="center"/>
          </w:tcPr>
          <w:p>
            <w:pPr>
              <w:pStyle w:val="20"/>
            </w:pPr>
            <w:r>
              <w:t>维修工程合格率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维修工程完成及时率</w:t>
            </w:r>
          </w:p>
        </w:tc>
        <w:tc>
          <w:tcPr>
            <w:tcW w:w="2835" w:type="dxa"/>
            <w:tcBorders>
              <w:left w:val="single" w:sz="6" w:space="0" w:color="000000"/>
              <w:right w:val="single" w:sz="6" w:space="0" w:color="000000"/>
            </w:tcBorders>
            <w:vAlign w:val="center"/>
          </w:tcPr>
          <w:p>
            <w:pPr>
              <w:pStyle w:val="20"/>
            </w:pPr>
            <w:r>
              <w:t>维修工程完成及时率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维修预算节支率</w:t>
            </w:r>
          </w:p>
        </w:tc>
        <w:tc>
          <w:tcPr>
            <w:tcW w:w="2835" w:type="dxa"/>
            <w:tcBorders>
              <w:left w:val="single" w:sz="6" w:space="0" w:color="000000"/>
              <w:right w:val="single" w:sz="6" w:space="0" w:color="000000"/>
            </w:tcBorders>
            <w:vAlign w:val="center"/>
          </w:tcPr>
          <w:p>
            <w:pPr>
              <w:pStyle w:val="20"/>
            </w:pPr>
            <w:r>
              <w:t>维修预算节支率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按期完成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维修效果</w:t>
            </w:r>
          </w:p>
        </w:tc>
        <w:tc>
          <w:tcPr>
            <w:tcW w:w="2835" w:type="dxa"/>
            <w:tcBorders>
              <w:left w:val="single" w:sz="6" w:space="0" w:color="000000"/>
              <w:right w:val="single" w:sz="6" w:space="0" w:color="000000"/>
            </w:tcBorders>
            <w:vAlign w:val="center"/>
          </w:tcPr>
          <w:p>
            <w:pPr>
              <w:pStyle w:val="20"/>
            </w:pPr>
            <w:r>
              <w:t>维修效果</w:t>
            </w:r>
          </w:p>
        </w:tc>
        <w:tc>
          <w:tcPr>
            <w:tcW w:w="2551" w:type="dxa"/>
            <w:tcBorders>
              <w:left w:val="single" w:sz="6" w:space="0" w:color="000000"/>
              <w:right w:val="single" w:sz="6" w:space="0" w:color="000000"/>
            </w:tcBorders>
            <w:vAlign w:val="center"/>
          </w:tcPr>
          <w:p>
            <w:pPr>
              <w:pStyle w:val="20"/>
            </w:pPr>
            <w:r>
              <w:t>效果好</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维修工程良性运行</w:t>
            </w:r>
          </w:p>
        </w:tc>
        <w:tc>
          <w:tcPr>
            <w:tcW w:w="2835" w:type="dxa"/>
            <w:tcBorders>
              <w:left w:val="single" w:sz="6" w:space="0" w:color="000000"/>
              <w:right w:val="single" w:sz="6" w:space="0" w:color="000000"/>
            </w:tcBorders>
            <w:vAlign w:val="center"/>
          </w:tcPr>
          <w:p>
            <w:pPr>
              <w:pStyle w:val="20"/>
            </w:pPr>
            <w:r>
              <w:t>维修工程良性运行</w:t>
            </w:r>
          </w:p>
        </w:tc>
        <w:tc>
          <w:tcPr>
            <w:tcW w:w="2551" w:type="dxa"/>
            <w:tcBorders>
              <w:left w:val="single" w:sz="6" w:space="0" w:color="000000"/>
              <w:right w:val="single" w:sz="6" w:space="0" w:color="000000"/>
            </w:tcBorders>
            <w:vAlign w:val="center"/>
          </w:tcPr>
          <w:p>
            <w:pPr>
              <w:pStyle w:val="20"/>
            </w:pPr>
            <w:r>
              <w:t>良性运行</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职工对工程满意度</w:t>
            </w:r>
          </w:p>
        </w:tc>
        <w:tc>
          <w:tcPr>
            <w:tcW w:w="2835" w:type="dxa"/>
            <w:tcBorders>
              <w:left w:val="single" w:sz="6" w:space="0" w:color="000000"/>
              <w:right w:val="single" w:sz="6" w:space="0" w:color="000000"/>
            </w:tcBorders>
            <w:vAlign w:val="center"/>
          </w:tcPr>
          <w:p>
            <w:pPr>
              <w:pStyle w:val="20"/>
            </w:pPr>
            <w:r>
              <w:t>使用人员对维修工程满意度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7、视频会议室相关费用绩效目标表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1.保障视频会议顺利召开。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系统故障率</w:t>
            </w:r>
          </w:p>
        </w:tc>
        <w:tc>
          <w:tcPr>
            <w:tcW w:w="2835" w:type="dxa"/>
            <w:tcBorders>
              <w:left w:val="single" w:sz="6" w:space="0" w:color="000000"/>
              <w:right w:val="single" w:sz="6" w:space="0" w:color="000000"/>
            </w:tcBorders>
            <w:vAlign w:val="center"/>
          </w:tcPr>
          <w:p>
            <w:pPr>
              <w:pStyle w:val="20"/>
            </w:pPr>
            <w:r>
              <w:t>系统出故障时间占总运行时间的比率（反向指标）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故障排除率</w:t>
            </w:r>
          </w:p>
        </w:tc>
        <w:tc>
          <w:tcPr>
            <w:tcW w:w="2835" w:type="dxa"/>
            <w:tcBorders>
              <w:left w:val="single" w:sz="6" w:space="0" w:color="000000"/>
              <w:right w:val="single" w:sz="6" w:space="0" w:color="000000"/>
            </w:tcBorders>
            <w:vAlign w:val="center"/>
          </w:tcPr>
          <w:p>
            <w:pPr>
              <w:pStyle w:val="20"/>
            </w:pPr>
            <w:r>
              <w:t>排除故障次数占故障发生次数的比率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业务处理及时率</w:t>
            </w:r>
          </w:p>
        </w:tc>
        <w:tc>
          <w:tcPr>
            <w:tcW w:w="2835" w:type="dxa"/>
            <w:tcBorders>
              <w:left w:val="single" w:sz="6" w:space="0" w:color="000000"/>
              <w:right w:val="single" w:sz="6" w:space="0" w:color="000000"/>
            </w:tcBorders>
            <w:vAlign w:val="center"/>
          </w:tcPr>
          <w:p>
            <w:pPr>
              <w:pStyle w:val="20"/>
            </w:pPr>
            <w:r>
              <w:t>及时处理业务数占总业务数的比率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2835" w:type="dxa"/>
            <w:tcBorders>
              <w:left w:val="single" w:sz="6" w:space="0" w:color="000000"/>
              <w:right w:val="single" w:sz="6" w:space="0" w:color="000000"/>
            </w:tcBorders>
            <w:vAlign w:val="center"/>
          </w:tcPr>
          <w:p>
            <w:pPr>
              <w:pStyle w:val="20"/>
            </w:pPr>
            <w:r>
              <w:t>系统的利用、使用率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受益职工数</w:t>
            </w:r>
          </w:p>
        </w:tc>
        <w:tc>
          <w:tcPr>
            <w:tcW w:w="2835" w:type="dxa"/>
            <w:tcBorders>
              <w:left w:val="single" w:sz="6" w:space="0" w:color="000000"/>
              <w:right w:val="single" w:sz="6" w:space="0" w:color="000000"/>
            </w:tcBorders>
            <w:vAlign w:val="center"/>
          </w:tcPr>
          <w:p>
            <w:pPr>
              <w:pStyle w:val="20"/>
            </w:pPr>
            <w:r>
              <w:t>单位收益职工的数量</w:t>
            </w:r>
          </w:p>
        </w:tc>
        <w:tc>
          <w:tcPr>
            <w:tcW w:w="2551" w:type="dxa"/>
            <w:tcBorders>
              <w:left w:val="single" w:sz="6" w:space="0" w:color="000000"/>
              <w:right w:val="single" w:sz="6" w:space="0" w:color="000000"/>
            </w:tcBorders>
            <w:vAlign w:val="center"/>
          </w:tcPr>
          <w:p>
            <w:pPr>
              <w:pStyle w:val="20"/>
            </w:pPr>
            <w:r>
              <w:t>≥100人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视频会议室可持续使用年限</w:t>
            </w:r>
          </w:p>
        </w:tc>
        <w:tc>
          <w:tcPr>
            <w:tcW w:w="2835" w:type="dxa"/>
            <w:tcBorders>
              <w:left w:val="single" w:sz="6" w:space="0" w:color="000000"/>
              <w:right w:val="single" w:sz="6" w:space="0" w:color="000000"/>
            </w:tcBorders>
            <w:vAlign w:val="center"/>
          </w:tcPr>
          <w:p>
            <w:pPr>
              <w:pStyle w:val="20"/>
            </w:pPr>
            <w:r>
              <w:t>视频会议室可持续使用年限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使用人员满意和较满意的数量占调查总人数的比例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8、谈话室运行维护费绩效目标表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办理案件数</w:t>
            </w:r>
          </w:p>
        </w:tc>
        <w:tc>
          <w:tcPr>
            <w:tcW w:w="2835" w:type="dxa"/>
            <w:tcBorders>
              <w:left w:val="single" w:sz="6" w:space="0" w:color="000000"/>
              <w:right w:val="single" w:sz="6" w:space="0" w:color="000000"/>
            </w:tcBorders>
            <w:vAlign w:val="center"/>
          </w:tcPr>
          <w:p>
            <w:pPr>
              <w:pStyle w:val="20"/>
            </w:pPr>
            <w:r>
              <w:t>实际立案数量。</w:t>
            </w:r>
          </w:p>
        </w:tc>
        <w:tc>
          <w:tcPr>
            <w:tcW w:w="2551" w:type="dxa"/>
            <w:tcBorders>
              <w:left w:val="single" w:sz="6" w:space="0" w:color="000000"/>
              <w:right w:val="single" w:sz="6" w:space="0" w:color="000000"/>
            </w:tcBorders>
            <w:vAlign w:val="center"/>
          </w:tcPr>
          <w:p>
            <w:pPr>
              <w:pStyle w:val="20"/>
            </w:pPr>
            <w:r>
              <w:t>≥60个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处理问题线索数</w:t>
            </w:r>
          </w:p>
        </w:tc>
        <w:tc>
          <w:tcPr>
            <w:tcW w:w="2835" w:type="dxa"/>
            <w:tcBorders>
              <w:left w:val="single" w:sz="6" w:space="0" w:color="000000"/>
              <w:right w:val="single" w:sz="6" w:space="0" w:color="000000"/>
            </w:tcBorders>
            <w:vAlign w:val="center"/>
          </w:tcPr>
          <w:p>
            <w:pPr>
              <w:pStyle w:val="20"/>
            </w:pPr>
            <w:r>
              <w:t>实际处理的问题线索数量。</w:t>
            </w:r>
          </w:p>
        </w:tc>
        <w:tc>
          <w:tcPr>
            <w:tcW w:w="2551" w:type="dxa"/>
            <w:tcBorders>
              <w:left w:val="single" w:sz="6" w:space="0" w:color="000000"/>
              <w:right w:val="single" w:sz="6" w:space="0" w:color="000000"/>
            </w:tcBorders>
            <w:vAlign w:val="center"/>
          </w:tcPr>
          <w:p>
            <w:pPr>
              <w:pStyle w:val="20"/>
            </w:pPr>
            <w:r>
              <w:t>≥150个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案件办结率</w:t>
            </w:r>
          </w:p>
        </w:tc>
        <w:tc>
          <w:tcPr>
            <w:tcW w:w="2835" w:type="dxa"/>
            <w:tcBorders>
              <w:left w:val="single" w:sz="6" w:space="0" w:color="000000"/>
              <w:right w:val="single" w:sz="6" w:space="0" w:color="000000"/>
            </w:tcBorders>
            <w:vAlign w:val="center"/>
          </w:tcPr>
          <w:p>
            <w:pPr>
              <w:pStyle w:val="20"/>
            </w:pPr>
            <w:r>
              <w:t>办结案件数量占立案案件总数的比率。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违纪人员处理率</w:t>
            </w:r>
          </w:p>
        </w:tc>
        <w:tc>
          <w:tcPr>
            <w:tcW w:w="2835" w:type="dxa"/>
            <w:tcBorders>
              <w:left w:val="single" w:sz="6" w:space="0" w:color="000000"/>
              <w:right w:val="single" w:sz="6" w:space="0" w:color="000000"/>
            </w:tcBorders>
            <w:vAlign w:val="center"/>
          </w:tcPr>
          <w:p>
            <w:pPr>
              <w:pStyle w:val="20"/>
            </w:pPr>
            <w:r>
              <w:t>年度内处理违纪人员的数量占立案人员数量的比率。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党政纪处分人数</w:t>
            </w:r>
          </w:p>
        </w:tc>
        <w:tc>
          <w:tcPr>
            <w:tcW w:w="2835" w:type="dxa"/>
            <w:tcBorders>
              <w:left w:val="single" w:sz="6" w:space="0" w:color="000000"/>
              <w:right w:val="single" w:sz="6" w:space="0" w:color="000000"/>
            </w:tcBorders>
            <w:vAlign w:val="center"/>
          </w:tcPr>
          <w:p>
            <w:pPr>
              <w:pStyle w:val="20"/>
            </w:pPr>
            <w:r>
              <w:t>年度内受党政纪处分的人数。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反腐败高压态势</w:t>
            </w:r>
          </w:p>
        </w:tc>
        <w:tc>
          <w:tcPr>
            <w:tcW w:w="2835" w:type="dxa"/>
            <w:tcBorders>
              <w:left w:val="single" w:sz="6" w:space="0" w:color="000000"/>
              <w:right w:val="single" w:sz="6" w:space="0" w:color="000000"/>
            </w:tcBorders>
            <w:vAlign w:val="center"/>
          </w:tcPr>
          <w:p>
            <w:pPr>
              <w:pStyle w:val="20"/>
            </w:pPr>
            <w:r>
              <w:t>巩固全区反腐败压倒性胜利</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调查中满意和较满意的人数占调查总人数的比率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9、宣传教育费绩效目标表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组织参观学习人次</w:t>
            </w:r>
          </w:p>
        </w:tc>
        <w:tc>
          <w:tcPr>
            <w:tcW w:w="2835" w:type="dxa"/>
            <w:tcBorders>
              <w:left w:val="single" w:sz="6" w:space="0" w:color="000000"/>
              <w:right w:val="single" w:sz="6" w:space="0" w:color="000000"/>
            </w:tcBorders>
            <w:vAlign w:val="center"/>
          </w:tcPr>
          <w:p>
            <w:pPr>
              <w:pStyle w:val="20"/>
            </w:pPr>
            <w:r>
              <w:t>组织前往宣传教育基地参观的人次。</w:t>
            </w:r>
          </w:p>
        </w:tc>
        <w:tc>
          <w:tcPr>
            <w:tcW w:w="2551" w:type="dxa"/>
            <w:tcBorders>
              <w:left w:val="single" w:sz="6" w:space="0" w:color="000000"/>
              <w:right w:val="single" w:sz="6" w:space="0" w:color="000000"/>
            </w:tcBorders>
            <w:vAlign w:val="center"/>
          </w:tcPr>
          <w:p>
            <w:pPr>
              <w:pStyle w:val="20"/>
            </w:pPr>
            <w:r>
              <w:t>≥100人次</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教育活动覆盖率</w:t>
            </w:r>
          </w:p>
        </w:tc>
        <w:tc>
          <w:tcPr>
            <w:tcW w:w="2835" w:type="dxa"/>
            <w:tcBorders>
              <w:left w:val="single" w:sz="6" w:space="0" w:color="000000"/>
              <w:right w:val="single" w:sz="6" w:space="0" w:color="000000"/>
            </w:tcBorders>
            <w:vAlign w:val="center"/>
          </w:tcPr>
          <w:p>
            <w:pPr>
              <w:pStyle w:val="20"/>
            </w:pPr>
            <w:r>
              <w:t>实际参加活动人数占计划参加活动人数的比率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廉政教育按期完成率</w:t>
            </w:r>
          </w:p>
        </w:tc>
        <w:tc>
          <w:tcPr>
            <w:tcW w:w="2835" w:type="dxa"/>
            <w:tcBorders>
              <w:left w:val="single" w:sz="6" w:space="0" w:color="000000"/>
              <w:right w:val="single" w:sz="6" w:space="0" w:color="000000"/>
            </w:tcBorders>
            <w:vAlign w:val="center"/>
          </w:tcPr>
          <w:p>
            <w:pPr>
              <w:pStyle w:val="20"/>
            </w:pPr>
            <w:r>
              <w:t>按期完成教育计划占年初教育计划的比率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宣传活动持续影响人数</w:t>
            </w:r>
          </w:p>
        </w:tc>
        <w:tc>
          <w:tcPr>
            <w:tcW w:w="2835" w:type="dxa"/>
            <w:tcBorders>
              <w:left w:val="single" w:sz="6" w:space="0" w:color="000000"/>
              <w:right w:val="single" w:sz="6" w:space="0" w:color="000000"/>
            </w:tcBorders>
            <w:vAlign w:val="center"/>
          </w:tcPr>
          <w:p>
            <w:pPr>
              <w:pStyle w:val="20"/>
            </w:pPr>
            <w:r>
              <w:t>宣传活动通过媒体持续影响人数</w:t>
            </w:r>
          </w:p>
        </w:tc>
        <w:tc>
          <w:tcPr>
            <w:tcW w:w="2551" w:type="dxa"/>
            <w:tcBorders>
              <w:left w:val="single" w:sz="6" w:space="0" w:color="000000"/>
              <w:right w:val="single" w:sz="6" w:space="0" w:color="000000"/>
            </w:tcBorders>
            <w:vAlign w:val="center"/>
          </w:tcPr>
          <w:p>
            <w:pPr>
              <w:pStyle w:val="20"/>
            </w:pPr>
            <w:r>
              <w:t>≥200人</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报刊杂志续订率</w:t>
            </w:r>
          </w:p>
        </w:tc>
        <w:tc>
          <w:tcPr>
            <w:tcW w:w="2835" w:type="dxa"/>
            <w:tcBorders>
              <w:left w:val="single" w:sz="6" w:space="0" w:color="000000"/>
              <w:right w:val="single" w:sz="6" w:space="0" w:color="000000"/>
            </w:tcBorders>
            <w:vAlign w:val="center"/>
          </w:tcPr>
          <w:p>
            <w:pPr>
              <w:pStyle w:val="20"/>
            </w:pPr>
            <w:r>
              <w:t>续订纪检监察报刊杂志的单位数量较上年的比率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活动参与率</w:t>
            </w:r>
          </w:p>
        </w:tc>
        <w:tc>
          <w:tcPr>
            <w:tcW w:w="2835" w:type="dxa"/>
            <w:tcBorders>
              <w:left w:val="single" w:sz="6" w:space="0" w:color="000000"/>
              <w:right w:val="single" w:sz="6" w:space="0" w:color="000000"/>
            </w:tcBorders>
            <w:vAlign w:val="center"/>
          </w:tcPr>
          <w:p>
            <w:pPr>
              <w:pStyle w:val="20"/>
            </w:pPr>
            <w:r>
              <w:t>应参加活动人次占实际参加活动人次的比率。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参与活动对象满意度</w:t>
            </w:r>
          </w:p>
        </w:tc>
        <w:tc>
          <w:tcPr>
            <w:tcW w:w="2835" w:type="dxa"/>
            <w:tcBorders>
              <w:left w:val="single" w:sz="6" w:space="0" w:color="000000"/>
              <w:right w:val="single" w:sz="6" w:space="0" w:color="000000"/>
            </w:tcBorders>
            <w:vAlign w:val="center"/>
          </w:tcPr>
          <w:p>
            <w:pPr>
              <w:pStyle w:val="20"/>
            </w:pPr>
            <w:r>
              <w:t>活动中满意和较满意的人数占总参与人数的比率。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10、巡察工作经费绩效目标表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巡察单位数量</w:t>
            </w:r>
          </w:p>
        </w:tc>
        <w:tc>
          <w:tcPr>
            <w:tcW w:w="2835" w:type="dxa"/>
            <w:tcBorders>
              <w:left w:val="single" w:sz="6" w:space="0" w:color="000000"/>
              <w:right w:val="single" w:sz="6" w:space="0" w:color="000000"/>
            </w:tcBorders>
            <w:vAlign w:val="center"/>
          </w:tcPr>
          <w:p>
            <w:pPr>
              <w:pStyle w:val="20"/>
            </w:pPr>
            <w:r>
              <w:t>开展巡察的单位数量。</w:t>
            </w:r>
          </w:p>
        </w:tc>
        <w:tc>
          <w:tcPr>
            <w:tcW w:w="2551" w:type="dxa"/>
            <w:tcBorders>
              <w:left w:val="single" w:sz="6" w:space="0" w:color="000000"/>
              <w:right w:val="single" w:sz="6" w:space="0" w:color="000000"/>
            </w:tcBorders>
            <w:vAlign w:val="center"/>
          </w:tcPr>
          <w:p>
            <w:pPr>
              <w:pStyle w:val="20"/>
            </w:pPr>
            <w:r>
              <w:t>≥10家</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巡察监督覆盖率</w:t>
            </w:r>
          </w:p>
        </w:tc>
        <w:tc>
          <w:tcPr>
            <w:tcW w:w="2835" w:type="dxa"/>
            <w:tcBorders>
              <w:left w:val="single" w:sz="6" w:space="0" w:color="000000"/>
              <w:right w:val="single" w:sz="6" w:space="0" w:color="000000"/>
            </w:tcBorders>
            <w:vAlign w:val="center"/>
          </w:tcPr>
          <w:p>
            <w:pPr>
              <w:pStyle w:val="20"/>
            </w:pPr>
            <w:r>
              <w:t>实际开展巡察监督的对象数量占应巡察对象总数的比率。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巡察工作开展情况</w:t>
            </w:r>
          </w:p>
        </w:tc>
        <w:tc>
          <w:tcPr>
            <w:tcW w:w="2835" w:type="dxa"/>
            <w:tcBorders>
              <w:left w:val="single" w:sz="6" w:space="0" w:color="000000"/>
              <w:right w:val="single" w:sz="6" w:space="0" w:color="000000"/>
            </w:tcBorders>
            <w:vAlign w:val="center"/>
          </w:tcPr>
          <w:p>
            <w:pPr>
              <w:pStyle w:val="20"/>
            </w:pPr>
            <w:r>
              <w:t>巡察工作实际完成量占计划完成量的比率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问题整改率</w:t>
            </w:r>
          </w:p>
        </w:tc>
        <w:tc>
          <w:tcPr>
            <w:tcW w:w="2835" w:type="dxa"/>
            <w:tcBorders>
              <w:left w:val="single" w:sz="6" w:space="0" w:color="000000"/>
              <w:right w:val="single" w:sz="6" w:space="0" w:color="000000"/>
            </w:tcBorders>
            <w:vAlign w:val="center"/>
          </w:tcPr>
          <w:p>
            <w:pPr>
              <w:pStyle w:val="20"/>
            </w:pPr>
            <w:r>
              <w:t>已整改问题数量占发现问题总数的比率。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巡察形成震慑</w:t>
            </w:r>
          </w:p>
        </w:tc>
        <w:tc>
          <w:tcPr>
            <w:tcW w:w="2835" w:type="dxa"/>
            <w:tcBorders>
              <w:left w:val="single" w:sz="6" w:space="0" w:color="000000"/>
              <w:right w:val="single" w:sz="6" w:space="0" w:color="000000"/>
            </w:tcBorders>
            <w:vAlign w:val="center"/>
          </w:tcPr>
          <w:p>
            <w:pPr>
              <w:pStyle w:val="20"/>
            </w:pPr>
            <w:r>
              <w:t>巡察震慑效果</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被巡察单位满意度</w:t>
            </w:r>
          </w:p>
        </w:tc>
        <w:tc>
          <w:tcPr>
            <w:tcW w:w="2835" w:type="dxa"/>
            <w:tcBorders>
              <w:left w:val="single" w:sz="6" w:space="0" w:color="000000"/>
              <w:right w:val="single" w:sz="6" w:space="0" w:color="000000"/>
            </w:tcBorders>
            <w:vAlign w:val="center"/>
          </w:tcPr>
          <w:p>
            <w:pPr>
              <w:pStyle w:val="20"/>
            </w:pPr>
            <w:r>
              <w:t>被巡察单位对巡查组作风纪律评估</w:t>
            </w:r>
          </w:p>
        </w:tc>
        <w:tc>
          <w:tcPr>
            <w:tcW w:w="2551" w:type="dxa"/>
            <w:tcBorders>
              <w:left w:val="single" w:sz="6" w:space="0" w:color="000000"/>
              <w:right w:val="single" w:sz="6" w:space="0" w:color="000000"/>
            </w:tcBorders>
            <w:vAlign w:val="center"/>
          </w:tcPr>
          <w:p>
            <w:pPr>
              <w:pStyle w:val="20"/>
            </w:pPr>
            <w:r>
              <w:t>≥95分</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240" w:lineRule="auto"/>
        <w:ind w:firstLineChars="250" w:firstLine="700"/>
        <w:outlineLvl w:val="9"/>
        <w:rPr>
          <w:rFonts w:ascii="Times New Roman" w:eastAsia="方正仿宋_GBK" w:hAnsi="Times New Roman"/>
          <w:sz w:val="28"/>
        </w:rPr>
      </w:pPr>
      <w:r>
        <w:rPr>
          <w:rFonts w:ascii="Times New Roman" w:eastAsia="方正仿宋_GBK" w:hAnsi="Times New Roman" w:hint="eastAsia"/>
          <w:sz w:val="28"/>
        </w:rPr>
        <w:t>2022年此项目无数据</w:t>
      </w:r>
      <w:r>
        <w:rPr>
          <w:rFonts w:ascii="Times New Roman" w:eastAsia="方正仿宋_GBK" w:hAnsi="Times New Roman"/>
          <w:sz w:val="28"/>
        </w:rPr>
        <w:t>。</w:t>
      </w:r>
    </w:p>
    <w:p>
      <w:pPr>
        <w:spacing w:before="0" w:after="0" w:line="500" w:lineRule="exact"/>
        <w:ind w:firstLineChars="250" w:firstLine="700"/>
        <w:jc w:val="left"/>
        <w:outlineLvl w:val="9"/>
      </w:pPr>
      <w:r>
        <w:rPr>
          <w:rFonts w:ascii="Times New Roman" w:eastAsia="方正仿宋_GBK" w:cs="Times New Roman" w:hAnsi="Times New Roman"/>
          <w:b w:val="0"/>
          <w:color w:val="000000"/>
          <w:sz w:val="28"/>
        </w:rPr>
        <w:t>2022年，中国共产党唐山市丰南区纪律检查委员会安排政府采购预算0.00万元。具体内容见下表。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中国共产党唐山市丰南区纪律检查委员会（含所属单位）上年末固定资产金额为644.32万元（详见下表）。本年度拟购置固定资产总额为131.22万元。</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spacing w:line="300" w:lineRule="exact"/>
              <w:jc w:val="left"/>
              <w:rPr>
                <w:rFonts w:eastAsia="方正仿宋_GBK"/>
                <w:color w:val="000000"/>
              </w:rPr>
            </w:pPr>
            <w:r>
              <w:rPr>
                <w:rFonts w:eastAsia="方正仿宋_GBK" w:hint="eastAsia"/>
                <w:color w:val="000000"/>
              </w:rPr>
              <w:t>固定资产</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方正书宋_GBK" w:eastAsia="方正书宋_GBK" w:hint="eastAsia"/>
                <w:color w:val="000000"/>
                <w14:textFill>
                  <w14:solidFill>
                    <w14:srgbClr w14:val="000000"/>
                  </w14:solidFill>
                </w14:textFill>
              </w:rPr>
              <w:softHyphen/>
            </w:r>
            <w:r>
              <w:rPr>
                <w:rFonts w:ascii="仿宋" w:eastAsia="仿宋" w:cs="宋体" w:hint="eastAsia"/>
                <w:color w:val="000000"/>
                <w:kern w:val="0"/>
                <w:sz w:val="32"/>
                <w:szCs w:val="32"/>
                <w14:textFill>
                  <w14:solidFill>
                    <w14:srgbClr w14:val="000000"/>
                  </w14:solidFill>
                </w14:textFill>
              </w:rPr>
              <w:t>—</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644.32</w:t>
            </w:r>
          </w:p>
        </w:tc>
      </w:tr>
      <w:tr>
        <w:tc>
          <w:tcPr>
            <w:tcW w:w="7370" w:type="dxa"/>
            <w:vAlign w:val="center"/>
          </w:tcPr>
          <w:p>
            <w:pPr>
              <w:spacing w:line="300" w:lineRule="exact"/>
              <w:jc w:val="left"/>
              <w:rPr>
                <w:rFonts w:eastAsia="方正仿宋_GBK"/>
                <w:color w:val="000000"/>
              </w:rPr>
            </w:pPr>
            <w:r>
              <w:rPr>
                <w:rFonts w:eastAsia="方正仿宋_GBK" w:hint="eastAsia"/>
                <w:color w:val="000000"/>
              </w:rPr>
              <w:t>一、房屋（平方米）</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30</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2</w:t>
            </w:r>
          </w:p>
        </w:tc>
      </w:tr>
      <w:tr>
        <w:trPr>
          <w:trHeight w:val="424"/>
        </w:trPr>
        <w:tc>
          <w:tcPr>
            <w:tcW w:w="7370" w:type="dxa"/>
            <w:vAlign w:val="center"/>
          </w:tcPr>
          <w:p>
            <w:pPr>
              <w:spacing w:line="300" w:lineRule="exact"/>
              <w:jc w:val="left"/>
              <w:rPr>
                <w:rFonts w:eastAsia="方正仿宋_GBK"/>
                <w:color w:val="000000"/>
              </w:rPr>
            </w:pPr>
            <w:r>
              <w:rPr>
                <w:rFonts w:eastAsia="方正仿宋_GBK" w:hint="eastAsia"/>
                <w:color w:val="000000"/>
              </w:rPr>
              <w:t>二、车辆（台、辆）</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17</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hint="eastAsia"/>
                <w:color w:val="000000"/>
                <w:sz w:val="24"/>
              </w:rPr>
              <w:t>206.33</w:t>
            </w:r>
          </w:p>
        </w:tc>
      </w:tr>
      <w:tr>
        <w:tc>
          <w:tcPr>
            <w:tcW w:w="7370" w:type="dxa"/>
            <w:vAlign w:val="center"/>
          </w:tcPr>
          <w:p>
            <w:pPr>
              <w:spacing w:line="300" w:lineRule="exact"/>
              <w:jc w:val="left"/>
              <w:rPr>
                <w:rFonts w:eastAsia="方正仿宋_GBK"/>
                <w:color w:val="000000"/>
              </w:rPr>
            </w:pPr>
            <w:r>
              <w:rPr>
                <w:rFonts w:eastAsia="方正仿宋_GBK" w:hint="eastAsia"/>
                <w:color w:val="000000"/>
              </w:rPr>
              <w:t>三、其他固定资产</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1759</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435.99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left="0" w:firstLineChars="200" w:firstLine="640"/>
        <w:jc w:val="left"/>
        <w:outlineLvl w:val="2"/>
      </w:pPr>
      <w:bookmarkStart w:id="18" w:name="_Toc_3_3_0000000018"/>
      <w:r>
        <w:rPr>
          <w:rFonts w:ascii="黑体" w:eastAsia="黑体" w:cs="黑体"/>
          <w:color w:val="000000"/>
          <w:sz w:val="32"/>
        </w:rPr>
        <w:t>九、其他需要说明的事项</w:t>
      </w:r>
      <w:bookmarkEnd w:id="18"/>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部门预算政府性基金预算财政拨款支出表，此表无数据，因本</w:t>
      </w:r>
      <w:r>
        <w:rPr>
          <w:rFonts w:ascii="Times New Roman" w:eastAsia="方正仿宋_GBK" w:hAnsi="Times New Roman"/>
          <w:color w:val="000000"/>
          <w:sz w:val="28"/>
        </w:rPr>
        <w:t>部门</w:t>
      </w:r>
      <w:r>
        <w:rPr>
          <w:rFonts w:ascii="Times New Roman" w:eastAsia="方正仿宋_GBK" w:hAnsi="Times New Roman" w:hint="eastAsia"/>
          <w:color w:val="000000"/>
          <w:sz w:val="28"/>
        </w:rPr>
        <w:t>不涉及政府性基金，因此无数据；</w:t>
      </w:r>
    </w:p>
    <w:p>
      <w:pPr>
        <w:spacing w:before="0" w:after="0" w:line="500" w:lineRule="exact"/>
        <w:ind w:firstLineChars="250" w:firstLine="700"/>
        <w:jc w:val="left"/>
        <w:outlineLvl w:val="9"/>
        <w:sectPr>
          <w:pgSz w:w="16840" w:h="11900" w:orient="landscape"/>
          <w:pgMar w:top="1361" w:right="1020" w:bottom="1134" w:left="1020" w:header="720" w:footer="720" w:gutter="0"/>
          <w:docGrid w:linePitch="326" w:charSpace="0"/>
        </w:sectPr>
      </w:pPr>
      <w:r>
        <w:rPr>
          <w:rFonts w:ascii="Times New Roman" w:eastAsia="方正仿宋_GBK" w:hAnsi="Times New Roman" w:hint="eastAsia"/>
          <w:color w:val="000000"/>
          <w:sz w:val="28"/>
        </w:rPr>
        <w:t>部门预算国有资本经营预算财政拨款支出表，此表无数据，因本</w:t>
      </w:r>
      <w:r>
        <w:rPr>
          <w:rFonts w:ascii="Times New Roman" w:eastAsia="方正仿宋_GBK" w:hAnsi="Times New Roman"/>
          <w:color w:val="000000"/>
          <w:sz w:val="28"/>
        </w:rPr>
        <w:t>部门</w:t>
      </w:r>
      <w:r>
        <w:rPr>
          <w:rFonts w:ascii="Times New Roman" w:eastAsia="方正仿宋_GBK" w:hAnsi="Times New Roman" w:hint="eastAsia"/>
          <w:color w:val="000000"/>
          <w:sz w:val="28"/>
        </w:rPr>
        <w:t>不涉及国有资本经营，因此无数据。</w:t>
      </w:r>
    </w:p>
    <w:p>
      <w:pPr>
        <w:ind w:firstLine="0"/>
        <w:jc w:val="center"/>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44"/>
        </w:rPr>
        <w:t xml:space="preserve"> </w:t>
      </w: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9" w:name="_Toc_4_4_0000000019"/>
      <w:r>
        <w:rPr>
          <w:rFonts w:ascii="方正小标宋_GBK" w:eastAsia="方正小标宋_GBK" w:cs="方正小标宋_GBK"/>
          <w:b w:val="0"/>
          <w:color w:val="000000"/>
          <w:sz w:val="44"/>
        </w:rPr>
        <w:t>一、中国共产党唐山市丰南区纪律检查委员会本级收支预算</w:t>
      </w:r>
      <w:bookmarkEnd w:id="19"/>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2161.13</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1719.79</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190.79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139.91</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110.64</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2161.13</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2161.13</w:t>
            </w: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2161.13</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2161.13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r>
              <w:t>2161.13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r>
              <w:t>1719.79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r>
              <w:t>1068.95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r>
              <w:t>438.64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2011150</w:t>
            </w:r>
          </w:p>
        </w:tc>
        <w:tc>
          <w:tcPr>
            <w:tcW w:w="1559" w:type="dxa"/>
            <w:tcBorders>
              <w:left w:val="single" w:sz="6" w:space="0" w:color="000000"/>
              <w:right w:val="single" w:sz="6" w:space="0" w:color="000000"/>
            </w:tcBorders>
            <w:vAlign w:val="center"/>
          </w:tcPr>
          <w:p>
            <w:pPr>
              <w:pStyle w:val="20"/>
            </w:pPr>
            <w:r>
              <w:t>事业运行</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r>
              <w:t>212.20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r>
              <w:t>190.79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r>
              <w:t>44.00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r>
              <w:t>146.79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r>
              <w:t>139.91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r>
              <w:t>66.51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r>
              <w:t>73.40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r>
              <w:t>110.64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2161.13</w:t>
            </w:r>
          </w:p>
        </w:tc>
        <w:tc>
          <w:tcPr>
            <w:tcW w:w="1361" w:type="dxa"/>
            <w:tcBorders>
              <w:left w:val="single" w:sz="6" w:space="0" w:color="000000"/>
              <w:right w:val="single" w:sz="6" w:space="0" w:color="000000"/>
            </w:tcBorders>
            <w:vAlign w:val="center"/>
          </w:tcPr>
          <w:p>
            <w:pPr>
              <w:pStyle w:val="23"/>
            </w:pPr>
            <w:r>
              <w:t>1722.49</w:t>
            </w:r>
          </w:p>
        </w:tc>
        <w:tc>
          <w:tcPr>
            <w:tcW w:w="1361" w:type="dxa"/>
            <w:tcBorders>
              <w:left w:val="single" w:sz="6" w:space="0" w:color="000000"/>
              <w:right w:val="single" w:sz="6" w:space="0" w:color="000000"/>
            </w:tcBorders>
            <w:vAlign w:val="center"/>
          </w:tcPr>
          <w:p>
            <w:pPr>
              <w:pStyle w:val="23"/>
            </w:pPr>
            <w:r>
              <w:t>438.64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1719.79</w:t>
            </w:r>
          </w:p>
        </w:tc>
        <w:tc>
          <w:tcPr>
            <w:tcW w:w="1361" w:type="dxa"/>
            <w:tcBorders>
              <w:left w:val="single" w:sz="6" w:space="0" w:color="000000"/>
              <w:right w:val="single" w:sz="6" w:space="0" w:color="000000"/>
            </w:tcBorders>
            <w:vAlign w:val="center"/>
          </w:tcPr>
          <w:p>
            <w:pPr>
              <w:pStyle w:val="19"/>
            </w:pPr>
            <w:r>
              <w:t>1281.15</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1719.79</w:t>
            </w:r>
          </w:p>
        </w:tc>
        <w:tc>
          <w:tcPr>
            <w:tcW w:w="1361" w:type="dxa"/>
            <w:tcBorders>
              <w:left w:val="single" w:sz="6" w:space="0" w:color="000000"/>
              <w:right w:val="single" w:sz="6" w:space="0" w:color="000000"/>
            </w:tcBorders>
            <w:vAlign w:val="center"/>
          </w:tcPr>
          <w:p>
            <w:pPr>
              <w:pStyle w:val="19"/>
            </w:pPr>
            <w:r>
              <w:t>1281.15</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1068.95</w:t>
            </w:r>
          </w:p>
        </w:tc>
        <w:tc>
          <w:tcPr>
            <w:tcW w:w="1361" w:type="dxa"/>
            <w:tcBorders>
              <w:left w:val="single" w:sz="6" w:space="0" w:color="000000"/>
              <w:right w:val="single" w:sz="6" w:space="0" w:color="000000"/>
            </w:tcBorders>
            <w:vAlign w:val="center"/>
          </w:tcPr>
          <w:p>
            <w:pPr>
              <w:pStyle w:val="19"/>
            </w:pPr>
            <w:r>
              <w:t>1068.95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438.64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2011150</w:t>
            </w:r>
          </w:p>
        </w:tc>
        <w:tc>
          <w:tcPr>
            <w:tcW w:w="4535" w:type="dxa"/>
            <w:tcBorders>
              <w:left w:val="single" w:sz="6" w:space="0" w:color="000000"/>
              <w:right w:val="single" w:sz="6" w:space="0" w:color="000000"/>
            </w:tcBorders>
            <w:vAlign w:val="center"/>
          </w:tcPr>
          <w:p>
            <w:pPr>
              <w:pStyle w:val="20"/>
            </w:pPr>
            <w:r>
              <w:t>事业运行</w:t>
            </w:r>
          </w:p>
        </w:tc>
        <w:tc>
          <w:tcPr>
            <w:tcW w:w="1361" w:type="dxa"/>
            <w:tcBorders>
              <w:left w:val="single" w:sz="6" w:space="0" w:color="000000"/>
              <w:right w:val="single" w:sz="6" w:space="0" w:color="000000"/>
            </w:tcBorders>
            <w:vAlign w:val="center"/>
          </w:tcPr>
          <w:p>
            <w:pPr>
              <w:pStyle w:val="19"/>
            </w:pPr>
            <w:r>
              <w:t>212.20</w:t>
            </w:r>
          </w:p>
        </w:tc>
        <w:tc>
          <w:tcPr>
            <w:tcW w:w="1361" w:type="dxa"/>
            <w:tcBorders>
              <w:left w:val="single" w:sz="6" w:space="0" w:color="000000"/>
              <w:right w:val="single" w:sz="6" w:space="0" w:color="000000"/>
            </w:tcBorders>
            <w:vAlign w:val="center"/>
          </w:tcPr>
          <w:p>
            <w:pPr>
              <w:pStyle w:val="19"/>
            </w:pPr>
            <w:r>
              <w:t>212.20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r>
              <w:t>190.79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44.00</w:t>
            </w:r>
          </w:p>
        </w:tc>
        <w:tc>
          <w:tcPr>
            <w:tcW w:w="1361" w:type="dxa"/>
            <w:tcBorders>
              <w:left w:val="single" w:sz="6" w:space="0" w:color="000000"/>
              <w:right w:val="single" w:sz="6" w:space="0" w:color="000000"/>
            </w:tcBorders>
            <w:vAlign w:val="center"/>
          </w:tcPr>
          <w:p>
            <w:pPr>
              <w:pStyle w:val="19"/>
            </w:pPr>
            <w:r>
              <w:t>44.00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146.79</w:t>
            </w:r>
          </w:p>
        </w:tc>
        <w:tc>
          <w:tcPr>
            <w:tcW w:w="1361" w:type="dxa"/>
            <w:tcBorders>
              <w:left w:val="single" w:sz="6" w:space="0" w:color="000000"/>
              <w:right w:val="single" w:sz="6" w:space="0" w:color="000000"/>
            </w:tcBorders>
            <w:vAlign w:val="center"/>
          </w:tcPr>
          <w:p>
            <w:pPr>
              <w:pStyle w:val="19"/>
            </w:pPr>
            <w:r>
              <w:t>146.79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r>
              <w:t>139.91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66.51</w:t>
            </w:r>
          </w:p>
        </w:tc>
        <w:tc>
          <w:tcPr>
            <w:tcW w:w="1361" w:type="dxa"/>
            <w:tcBorders>
              <w:left w:val="single" w:sz="6" w:space="0" w:color="000000"/>
              <w:right w:val="single" w:sz="6" w:space="0" w:color="000000"/>
            </w:tcBorders>
            <w:vAlign w:val="center"/>
          </w:tcPr>
          <w:p>
            <w:pPr>
              <w:pStyle w:val="19"/>
            </w:pPr>
            <w:r>
              <w:t>66.51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73.40</w:t>
            </w:r>
          </w:p>
        </w:tc>
        <w:tc>
          <w:tcPr>
            <w:tcW w:w="1361" w:type="dxa"/>
            <w:tcBorders>
              <w:left w:val="single" w:sz="6" w:space="0" w:color="000000"/>
              <w:right w:val="single" w:sz="6" w:space="0" w:color="000000"/>
            </w:tcBorders>
            <w:vAlign w:val="center"/>
          </w:tcPr>
          <w:p>
            <w:pPr>
              <w:pStyle w:val="19"/>
            </w:pPr>
            <w:r>
              <w:t>73.40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r>
              <w:t>110.64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2161.13</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1719.79</w:t>
            </w:r>
          </w:p>
        </w:tc>
        <w:tc>
          <w:tcPr>
            <w:tcW w:w="1474" w:type="dxa"/>
            <w:tcBorders>
              <w:left w:val="single" w:sz="6" w:space="0" w:color="000000"/>
              <w:right w:val="single" w:sz="6" w:space="0" w:color="000000"/>
            </w:tcBorders>
            <w:vAlign w:val="center"/>
          </w:tcPr>
          <w:p>
            <w:pPr>
              <w:pStyle w:val="19"/>
            </w:pPr>
            <w:r>
              <w:t>1719.79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190.79</w:t>
            </w:r>
          </w:p>
        </w:tc>
        <w:tc>
          <w:tcPr>
            <w:tcW w:w="1474" w:type="dxa"/>
            <w:tcBorders>
              <w:left w:val="single" w:sz="6" w:space="0" w:color="000000"/>
              <w:right w:val="single" w:sz="6" w:space="0" w:color="000000"/>
            </w:tcBorders>
            <w:vAlign w:val="center"/>
          </w:tcPr>
          <w:p>
            <w:pPr>
              <w:pStyle w:val="19"/>
            </w:pPr>
            <w:r>
              <w:t>190.79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139.91</w:t>
            </w:r>
          </w:p>
        </w:tc>
        <w:tc>
          <w:tcPr>
            <w:tcW w:w="1474" w:type="dxa"/>
            <w:tcBorders>
              <w:left w:val="single" w:sz="6" w:space="0" w:color="000000"/>
              <w:right w:val="single" w:sz="6" w:space="0" w:color="000000"/>
            </w:tcBorders>
            <w:vAlign w:val="center"/>
          </w:tcPr>
          <w:p>
            <w:pPr>
              <w:pStyle w:val="19"/>
            </w:pPr>
            <w:r>
              <w:t>139.91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110.64</w:t>
            </w:r>
          </w:p>
        </w:tc>
        <w:tc>
          <w:tcPr>
            <w:tcW w:w="1474" w:type="dxa"/>
            <w:tcBorders>
              <w:left w:val="single" w:sz="6" w:space="0" w:color="000000"/>
              <w:right w:val="single" w:sz="6" w:space="0" w:color="000000"/>
            </w:tcBorders>
            <w:vAlign w:val="center"/>
          </w:tcPr>
          <w:p>
            <w:pPr>
              <w:pStyle w:val="19"/>
            </w:pPr>
            <w:r>
              <w:t>110.64</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2161.13</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2161.13</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r>
              <w:t>2161.13</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2161.13</w:t>
            </w:r>
          </w:p>
        </w:tc>
        <w:tc>
          <w:tcPr>
            <w:tcW w:w="2551" w:type="dxa"/>
            <w:tcBorders>
              <w:left w:val="single" w:sz="6" w:space="0" w:color="000000"/>
              <w:right w:val="single" w:sz="6" w:space="0" w:color="000000"/>
            </w:tcBorders>
            <w:vAlign w:val="center"/>
          </w:tcPr>
          <w:p>
            <w:pPr>
              <w:pStyle w:val="23"/>
            </w:pPr>
            <w:r>
              <w:t>1722.49</w:t>
            </w:r>
          </w:p>
        </w:tc>
        <w:tc>
          <w:tcPr>
            <w:tcW w:w="2551" w:type="dxa"/>
            <w:vAlign w:val="center"/>
          </w:tcPr>
          <w:p>
            <w:pPr>
              <w:pStyle w:val="23"/>
            </w:pPr>
            <w:r>
              <w:t>438.64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1719.79</w:t>
            </w:r>
          </w:p>
        </w:tc>
        <w:tc>
          <w:tcPr>
            <w:tcW w:w="2551" w:type="dxa"/>
            <w:tcBorders>
              <w:left w:val="single" w:sz="6" w:space="0" w:color="000000"/>
              <w:right w:val="single" w:sz="6" w:space="0" w:color="000000"/>
            </w:tcBorders>
            <w:vAlign w:val="center"/>
          </w:tcPr>
          <w:p>
            <w:pPr>
              <w:pStyle w:val="19"/>
            </w:pPr>
            <w:r>
              <w:t>1281.15</w:t>
            </w:r>
          </w:p>
        </w:tc>
        <w:tc>
          <w:tcPr>
            <w:tcW w:w="2551" w:type="dxa"/>
            <w:vAlign w:val="center"/>
          </w:tcPr>
          <w:p>
            <w:pPr>
              <w:pStyle w:val="19"/>
            </w:pPr>
            <w:r>
              <w:t>438.64</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1719.79</w:t>
            </w:r>
          </w:p>
        </w:tc>
        <w:tc>
          <w:tcPr>
            <w:tcW w:w="2551" w:type="dxa"/>
            <w:tcBorders>
              <w:left w:val="single" w:sz="6" w:space="0" w:color="000000"/>
              <w:right w:val="single" w:sz="6" w:space="0" w:color="000000"/>
            </w:tcBorders>
            <w:vAlign w:val="center"/>
          </w:tcPr>
          <w:p>
            <w:pPr>
              <w:pStyle w:val="19"/>
            </w:pPr>
            <w:r>
              <w:t>1281.15</w:t>
            </w:r>
          </w:p>
        </w:tc>
        <w:tc>
          <w:tcPr>
            <w:tcW w:w="2551" w:type="dxa"/>
            <w:vAlign w:val="center"/>
          </w:tcPr>
          <w:p>
            <w:pPr>
              <w:pStyle w:val="19"/>
            </w:pPr>
            <w:r>
              <w:t>438.64</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1068.95</w:t>
            </w:r>
          </w:p>
        </w:tc>
        <w:tc>
          <w:tcPr>
            <w:tcW w:w="2551" w:type="dxa"/>
            <w:tcBorders>
              <w:left w:val="single" w:sz="6" w:space="0" w:color="000000"/>
              <w:right w:val="single" w:sz="6" w:space="0" w:color="000000"/>
            </w:tcBorders>
            <w:vAlign w:val="center"/>
          </w:tcPr>
          <w:p>
            <w:pPr>
              <w:pStyle w:val="19"/>
            </w:pPr>
            <w:r>
              <w:t>1068.95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438.64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438.64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2011150</w:t>
            </w:r>
          </w:p>
        </w:tc>
        <w:tc>
          <w:tcPr>
            <w:tcW w:w="4535" w:type="dxa"/>
            <w:tcBorders>
              <w:left w:val="single" w:sz="6" w:space="0" w:color="000000"/>
              <w:right w:val="single" w:sz="6" w:space="0" w:color="000000"/>
            </w:tcBorders>
            <w:vAlign w:val="center"/>
          </w:tcPr>
          <w:p>
            <w:pPr>
              <w:pStyle w:val="20"/>
            </w:pPr>
            <w:r>
              <w:t>事业运行</w:t>
            </w:r>
          </w:p>
        </w:tc>
        <w:tc>
          <w:tcPr>
            <w:tcW w:w="2551" w:type="dxa"/>
            <w:tcBorders>
              <w:left w:val="single" w:sz="6" w:space="0" w:color="000000"/>
              <w:right w:val="single" w:sz="6" w:space="0" w:color="000000"/>
            </w:tcBorders>
            <w:vAlign w:val="center"/>
          </w:tcPr>
          <w:p>
            <w:pPr>
              <w:pStyle w:val="19"/>
            </w:pPr>
            <w:r>
              <w:t>212.20</w:t>
            </w:r>
          </w:p>
        </w:tc>
        <w:tc>
          <w:tcPr>
            <w:tcW w:w="2551" w:type="dxa"/>
            <w:tcBorders>
              <w:left w:val="single" w:sz="6" w:space="0" w:color="000000"/>
              <w:right w:val="single" w:sz="6" w:space="0" w:color="000000"/>
            </w:tcBorders>
            <w:vAlign w:val="center"/>
          </w:tcPr>
          <w:p>
            <w:pPr>
              <w:pStyle w:val="19"/>
            </w:pPr>
            <w:r>
              <w:t>212.20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190.79</w:t>
            </w:r>
          </w:p>
        </w:tc>
        <w:tc>
          <w:tcPr>
            <w:tcW w:w="2551" w:type="dxa"/>
            <w:tcBorders>
              <w:left w:val="single" w:sz="6" w:space="0" w:color="000000"/>
              <w:right w:val="single" w:sz="6" w:space="0" w:color="000000"/>
            </w:tcBorders>
            <w:vAlign w:val="center"/>
          </w:tcPr>
          <w:p>
            <w:pPr>
              <w:pStyle w:val="19"/>
            </w:pPr>
            <w:r>
              <w:t>190.79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190.79</w:t>
            </w:r>
          </w:p>
        </w:tc>
        <w:tc>
          <w:tcPr>
            <w:tcW w:w="2551" w:type="dxa"/>
            <w:tcBorders>
              <w:left w:val="single" w:sz="6" w:space="0" w:color="000000"/>
              <w:right w:val="single" w:sz="6" w:space="0" w:color="000000"/>
            </w:tcBorders>
            <w:vAlign w:val="center"/>
          </w:tcPr>
          <w:p>
            <w:pPr>
              <w:pStyle w:val="19"/>
            </w:pPr>
            <w:r>
              <w:t>190.79</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44.00</w:t>
            </w:r>
          </w:p>
        </w:tc>
        <w:tc>
          <w:tcPr>
            <w:tcW w:w="2551" w:type="dxa"/>
            <w:tcBorders>
              <w:left w:val="single" w:sz="6" w:space="0" w:color="000000"/>
              <w:right w:val="single" w:sz="6" w:space="0" w:color="000000"/>
            </w:tcBorders>
            <w:vAlign w:val="center"/>
          </w:tcPr>
          <w:p>
            <w:pPr>
              <w:pStyle w:val="19"/>
            </w:pPr>
            <w:r>
              <w:t>44.00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146.79</w:t>
            </w:r>
          </w:p>
        </w:tc>
        <w:tc>
          <w:tcPr>
            <w:tcW w:w="2551" w:type="dxa"/>
            <w:tcBorders>
              <w:left w:val="single" w:sz="6" w:space="0" w:color="000000"/>
              <w:right w:val="single" w:sz="6" w:space="0" w:color="000000"/>
            </w:tcBorders>
            <w:vAlign w:val="center"/>
          </w:tcPr>
          <w:p>
            <w:pPr>
              <w:pStyle w:val="19"/>
            </w:pPr>
            <w:r>
              <w:t>146.79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139.91</w:t>
            </w:r>
          </w:p>
        </w:tc>
        <w:tc>
          <w:tcPr>
            <w:tcW w:w="2551" w:type="dxa"/>
            <w:tcBorders>
              <w:left w:val="single" w:sz="6" w:space="0" w:color="000000"/>
              <w:right w:val="single" w:sz="6" w:space="0" w:color="000000"/>
            </w:tcBorders>
            <w:vAlign w:val="center"/>
          </w:tcPr>
          <w:p>
            <w:pPr>
              <w:pStyle w:val="19"/>
            </w:pPr>
            <w:r>
              <w:t>139.91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139.91</w:t>
            </w:r>
          </w:p>
        </w:tc>
        <w:tc>
          <w:tcPr>
            <w:tcW w:w="2551" w:type="dxa"/>
            <w:tcBorders>
              <w:left w:val="single" w:sz="6" w:space="0" w:color="000000"/>
              <w:right w:val="single" w:sz="6" w:space="0" w:color="000000"/>
            </w:tcBorders>
            <w:vAlign w:val="center"/>
          </w:tcPr>
          <w:p>
            <w:pPr>
              <w:pStyle w:val="19"/>
            </w:pPr>
            <w:r>
              <w:t>139.91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66.51</w:t>
            </w:r>
          </w:p>
        </w:tc>
        <w:tc>
          <w:tcPr>
            <w:tcW w:w="2551" w:type="dxa"/>
            <w:tcBorders>
              <w:left w:val="single" w:sz="6" w:space="0" w:color="000000"/>
              <w:right w:val="single" w:sz="6" w:space="0" w:color="000000"/>
            </w:tcBorders>
            <w:vAlign w:val="center"/>
          </w:tcPr>
          <w:p>
            <w:pPr>
              <w:pStyle w:val="19"/>
            </w:pPr>
            <w:r>
              <w:t>66.51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73.40</w:t>
            </w:r>
          </w:p>
        </w:tc>
        <w:tc>
          <w:tcPr>
            <w:tcW w:w="2551" w:type="dxa"/>
            <w:tcBorders>
              <w:left w:val="single" w:sz="6" w:space="0" w:color="000000"/>
              <w:right w:val="single" w:sz="6" w:space="0" w:color="000000"/>
            </w:tcBorders>
            <w:vAlign w:val="center"/>
          </w:tcPr>
          <w:p>
            <w:pPr>
              <w:pStyle w:val="19"/>
            </w:pPr>
            <w:r>
              <w:t>73.40</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1722.49</w:t>
            </w:r>
          </w:p>
        </w:tc>
        <w:tc>
          <w:tcPr>
            <w:tcW w:w="2551" w:type="dxa"/>
            <w:tcBorders>
              <w:left w:val="single" w:sz="6" w:space="0" w:color="000000"/>
              <w:right w:val="single" w:sz="6" w:space="0" w:color="000000"/>
            </w:tcBorders>
            <w:vAlign w:val="center"/>
          </w:tcPr>
          <w:p>
            <w:pPr>
              <w:pStyle w:val="23"/>
            </w:pPr>
            <w:r>
              <w:t>1480.94</w:t>
            </w:r>
          </w:p>
        </w:tc>
        <w:tc>
          <w:tcPr>
            <w:tcW w:w="2551" w:type="dxa"/>
            <w:vAlign w:val="center"/>
          </w:tcPr>
          <w:p>
            <w:pPr>
              <w:pStyle w:val="23"/>
            </w:pPr>
            <w:r>
              <w:t>241.55</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1435.82</w:t>
            </w:r>
          </w:p>
        </w:tc>
        <w:tc>
          <w:tcPr>
            <w:tcW w:w="2551" w:type="dxa"/>
            <w:tcBorders>
              <w:left w:val="single" w:sz="6" w:space="0" w:color="000000"/>
              <w:right w:val="single" w:sz="6" w:space="0" w:color="000000"/>
            </w:tcBorders>
            <w:vAlign w:val="center"/>
          </w:tcPr>
          <w:p>
            <w:pPr>
              <w:pStyle w:val="19"/>
            </w:pPr>
            <w:r>
              <w:t>1435.82</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467.61</w:t>
            </w:r>
          </w:p>
        </w:tc>
        <w:tc>
          <w:tcPr>
            <w:tcW w:w="2551" w:type="dxa"/>
            <w:tcBorders>
              <w:left w:val="single" w:sz="6" w:space="0" w:color="000000"/>
              <w:right w:val="single" w:sz="6" w:space="0" w:color="000000"/>
            </w:tcBorders>
            <w:vAlign w:val="center"/>
          </w:tcPr>
          <w:p>
            <w:pPr>
              <w:pStyle w:val="19"/>
            </w:pPr>
            <w:r>
              <w:t>467.61</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426.15</w:t>
            </w:r>
          </w:p>
        </w:tc>
        <w:tc>
          <w:tcPr>
            <w:tcW w:w="2551" w:type="dxa"/>
            <w:tcBorders>
              <w:left w:val="single" w:sz="6" w:space="0" w:color="000000"/>
              <w:right w:val="single" w:sz="6" w:space="0" w:color="000000"/>
            </w:tcBorders>
            <w:vAlign w:val="center"/>
          </w:tcPr>
          <w:p>
            <w:pPr>
              <w:pStyle w:val="19"/>
            </w:pPr>
            <w:r>
              <w:t>426.15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27.27</w:t>
            </w:r>
          </w:p>
        </w:tc>
        <w:tc>
          <w:tcPr>
            <w:tcW w:w="2551" w:type="dxa"/>
            <w:tcBorders>
              <w:left w:val="single" w:sz="6" w:space="0" w:color="000000"/>
              <w:right w:val="single" w:sz="6" w:space="0" w:color="000000"/>
            </w:tcBorders>
            <w:vAlign w:val="center"/>
          </w:tcPr>
          <w:p>
            <w:pPr>
              <w:pStyle w:val="19"/>
            </w:pPr>
            <w:r>
              <w:t>27.27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104.54</w:t>
            </w:r>
          </w:p>
        </w:tc>
        <w:tc>
          <w:tcPr>
            <w:tcW w:w="2551" w:type="dxa"/>
            <w:tcBorders>
              <w:left w:val="single" w:sz="6" w:space="0" w:color="000000"/>
              <w:right w:val="single" w:sz="6" w:space="0" w:color="000000"/>
            </w:tcBorders>
            <w:vAlign w:val="center"/>
          </w:tcPr>
          <w:p>
            <w:pPr>
              <w:pStyle w:val="19"/>
            </w:pPr>
            <w:r>
              <w:t>104.54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146.79</w:t>
            </w:r>
          </w:p>
        </w:tc>
        <w:tc>
          <w:tcPr>
            <w:tcW w:w="2551" w:type="dxa"/>
            <w:tcBorders>
              <w:left w:val="single" w:sz="6" w:space="0" w:color="000000"/>
              <w:right w:val="single" w:sz="6" w:space="0" w:color="000000"/>
            </w:tcBorders>
            <w:vAlign w:val="center"/>
          </w:tcPr>
          <w:p>
            <w:pPr>
              <w:pStyle w:val="19"/>
            </w:pPr>
            <w:r>
              <w:t>146.79</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城镇职工基本医疗保险缴费</w:t>
            </w:r>
          </w:p>
        </w:tc>
        <w:tc>
          <w:tcPr>
            <w:tcW w:w="2551" w:type="dxa"/>
            <w:tcBorders>
              <w:left w:val="single" w:sz="6" w:space="0" w:color="000000"/>
              <w:right w:val="single" w:sz="6" w:space="0" w:color="000000"/>
            </w:tcBorders>
            <w:vAlign w:val="center"/>
          </w:tcPr>
          <w:p>
            <w:pPr>
              <w:pStyle w:val="19"/>
            </w:pPr>
            <w:r>
              <w:t>66.51</w:t>
            </w:r>
          </w:p>
        </w:tc>
        <w:tc>
          <w:tcPr>
            <w:tcW w:w="2551" w:type="dxa"/>
            <w:tcBorders>
              <w:left w:val="single" w:sz="6" w:space="0" w:color="000000"/>
              <w:right w:val="single" w:sz="6" w:space="0" w:color="000000"/>
            </w:tcBorders>
            <w:vAlign w:val="center"/>
          </w:tcPr>
          <w:p>
            <w:pPr>
              <w:pStyle w:val="19"/>
            </w:pPr>
            <w:r>
              <w:t>66.51</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73.40</w:t>
            </w:r>
          </w:p>
        </w:tc>
        <w:tc>
          <w:tcPr>
            <w:tcW w:w="2551" w:type="dxa"/>
            <w:tcBorders>
              <w:left w:val="single" w:sz="6" w:space="0" w:color="000000"/>
              <w:right w:val="single" w:sz="6" w:space="0" w:color="000000"/>
            </w:tcBorders>
            <w:vAlign w:val="center"/>
          </w:tcPr>
          <w:p>
            <w:pPr>
              <w:pStyle w:val="19"/>
            </w:pPr>
            <w:r>
              <w:t>73.40</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12.91</w:t>
            </w:r>
          </w:p>
        </w:tc>
        <w:tc>
          <w:tcPr>
            <w:tcW w:w="2551" w:type="dxa"/>
            <w:tcBorders>
              <w:left w:val="single" w:sz="6" w:space="0" w:color="000000"/>
              <w:right w:val="single" w:sz="6" w:space="0" w:color="000000"/>
            </w:tcBorders>
            <w:vAlign w:val="center"/>
          </w:tcPr>
          <w:p>
            <w:pPr>
              <w:pStyle w:val="19"/>
            </w:pPr>
            <w:r>
              <w:t>12.91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110.64</w:t>
            </w:r>
          </w:p>
        </w:tc>
        <w:tc>
          <w:tcPr>
            <w:tcW w:w="2551" w:type="dxa"/>
            <w:tcBorders>
              <w:left w:val="single" w:sz="6" w:space="0" w:color="000000"/>
              <w:right w:val="single" w:sz="6" w:space="0" w:color="000000"/>
            </w:tcBorders>
            <w:vAlign w:val="center"/>
          </w:tcPr>
          <w:p>
            <w:pPr>
              <w:pStyle w:val="19"/>
            </w:pPr>
            <w:r>
              <w:t>110.64</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241.55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241.55</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23.10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23.10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40.50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40.50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1.75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1.75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22.50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22.50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10.63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10.63</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52.00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52.00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2.27</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2.27</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45.12</w:t>
            </w:r>
          </w:p>
        </w:tc>
        <w:tc>
          <w:tcPr>
            <w:tcW w:w="2551" w:type="dxa"/>
            <w:tcBorders>
              <w:left w:val="single" w:sz="6" w:space="0" w:color="000000"/>
              <w:right w:val="single" w:sz="6" w:space="0" w:color="000000"/>
            </w:tcBorders>
            <w:vAlign w:val="center"/>
          </w:tcPr>
          <w:p>
            <w:pPr>
              <w:pStyle w:val="19"/>
            </w:pPr>
            <w:r>
              <w:t>45.12</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44.00</w:t>
            </w:r>
          </w:p>
        </w:tc>
        <w:tc>
          <w:tcPr>
            <w:tcW w:w="2551" w:type="dxa"/>
            <w:tcBorders>
              <w:left w:val="single" w:sz="6" w:space="0" w:color="000000"/>
              <w:right w:val="single" w:sz="6" w:space="0" w:color="000000"/>
            </w:tcBorders>
            <w:vAlign w:val="center"/>
          </w:tcPr>
          <w:p>
            <w:pPr>
              <w:pStyle w:val="19"/>
            </w:pPr>
            <w:r>
              <w:t>44.00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1.12</w:t>
            </w:r>
          </w:p>
        </w:tc>
        <w:tc>
          <w:tcPr>
            <w:tcW w:w="2551" w:type="dxa"/>
            <w:tcBorders>
              <w:left w:val="single" w:sz="6" w:space="0" w:color="000000"/>
              <w:right w:val="single" w:sz="6" w:space="0" w:color="000000"/>
            </w:tcBorders>
            <w:vAlign w:val="center"/>
          </w:tcPr>
          <w:p>
            <w:pPr>
              <w:pStyle w:val="19"/>
            </w:pPr>
            <w:r>
              <w:t>1.12</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93.30</w:t>
            </w:r>
          </w:p>
        </w:tc>
        <w:tc>
          <w:tcPr>
            <w:tcW w:w="2381" w:type="dxa"/>
            <w:tcBorders>
              <w:left w:val="single" w:sz="6" w:space="0" w:color="000000"/>
              <w:right w:val="single" w:sz="6" w:space="0" w:color="000000"/>
            </w:tcBorders>
            <w:vAlign w:val="center"/>
          </w:tcPr>
          <w:p>
            <w:pPr>
              <w:pStyle w:val="23"/>
            </w:pPr>
            <w:r>
              <w:t>93.30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其中：教学科研人员因公出国（境）</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其他因公出国（境）费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r>
              <w:t>1.00</w:t>
            </w:r>
          </w:p>
        </w:tc>
        <w:tc>
          <w:tcPr>
            <w:tcW w:w="2381" w:type="dxa"/>
            <w:tcBorders>
              <w:left w:val="single" w:sz="6" w:space="0" w:color="000000"/>
              <w:right w:val="single" w:sz="6" w:space="0" w:color="000000"/>
            </w:tcBorders>
            <w:vAlign w:val="center"/>
          </w:tcPr>
          <w:p>
            <w:pPr>
              <w:pStyle w:val="19"/>
            </w:pPr>
            <w:r>
              <w:t>1.00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rPr>
          <w:rFonts w:ascii="方正小标宋_GBK" w:eastAsia="方正小标宋_GBK" w:cs="方正小标宋_GBK"/>
          <w:b w:val="0"/>
          <w:color w:val="000000"/>
          <w:sz w:val="44"/>
        </w:rPr>
      </w:pPr>
      <w:r>
        <w:rPr>
          <w:rFonts w:ascii="方正小标宋_GBK" w:eastAsia="方正小标宋_GBK" w:cs="方正小标宋_GBK"/>
          <w:b w:val="0"/>
          <w:color w:val="000000"/>
          <w:sz w:val="44"/>
        </w:rPr>
        <w:t>中国共产党唐山市丰南区纪律检查委员会本级</w:t>
      </w:r>
    </w:p>
    <w:p>
      <w:pPr>
        <w:spacing w:before="0" w:after="0" w:line="240" w:lineRule="auto"/>
        <w:ind w:firstLine="0"/>
        <w:jc w:val="center"/>
        <w:outlineLvl w:val="4"/>
      </w:pPr>
      <w:r>
        <w:rPr>
          <w:rFonts w:ascii="方正小标宋_GBK" w:eastAsia="方正小标宋_GBK" w:cs="方正小标宋_GBK"/>
          <w:b w:val="0"/>
          <w:color w:val="000000"/>
          <w:sz w:val="44"/>
        </w:rPr>
        <w:t>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按照《预算法》、《地方预决算公开操作规程》和《关于进一步推进预算公开工作的实施意见》规定，现将中国共产党唐山市丰南区纪律检查委员会本级2022年单位预算公开如下：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5"/>
      </w:pPr>
      <w:r>
        <w:t>根据《中国共产党唐山市丰南区纪律检查委员会职能配置、内设机构和人员编制规定》，中国共产党唐山市丰南区纪律检查委员会的主要职责是：</w:t>
      </w:r>
    </w:p>
    <w:p>
      <w:pPr>
        <w:pStyle w:val="25"/>
      </w:pPr>
      <w:r>
        <w:t>区纪委与区监委合署办公，实行一套工作机构、两个机关名称，履行党的纪律检查和国家监察两项职责。区纪委监委的主要职责是：</w:t>
      </w:r>
    </w:p>
    <w:p>
      <w:pPr>
        <w:pStyle w:val="25"/>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25"/>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（三）支持配合巡视巡察工作。承担巡视巡察整改日常监督责任，做好巡视巡察整改督查督办工作，依规依纪依法处置巡视巡察移交的反映领导干部问题线索。</w:t>
      </w:r>
    </w:p>
    <w:p>
      <w:pPr>
        <w:pStyle w:val="25"/>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25"/>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（七）负责综合分析全面从严治党、党风廉政建设和反腐败工作情况，对纪检监察工作重要理论及实践问题进行调查研究；制定或者修改全区纪检监察相关制度，参与起草有关规范性文件。</w:t>
      </w:r>
    </w:p>
    <w:p>
      <w:pPr>
        <w:pStyle w:val="25"/>
      </w:pPr>
      <w:r>
        <w:t>（八）负责组织协调全区反腐败追逃追赃和防逃工作，督促有关单位做好相关工作。</w:t>
      </w:r>
    </w:p>
    <w:p>
      <w:pPr>
        <w:pStyle w:val="25"/>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25"/>
      </w:pPr>
      <w:r>
        <w:t>（十）完成市纪委监委、区委交办的其他任务。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中国共产党唐山市丰南区纪律检查委员会本级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按照预算管理有关规定，目前我单位预算的编制实行综合预算管理，即全部收入和支出都反映在预算中。</w:t>
      </w:r>
    </w:p>
    <w:p>
      <w:pPr>
        <w:pStyle w:val="25"/>
      </w:pPr>
      <w:r>
        <w:rPr>
          <w:rFonts w:hint="eastAsia"/>
        </w:rPr>
        <w:t>（一）收入说明</w:t>
      </w:r>
    </w:p>
    <w:p>
      <w:pPr>
        <w:pStyle w:val="25"/>
      </w:pPr>
      <w:r>
        <w:rPr>
          <w:rFonts w:hint="eastAsia"/>
        </w:rPr>
        <w:t>2022年</w:t>
      </w:r>
      <w:r>
        <w:t>单位</w:t>
      </w:r>
      <w:r>
        <w:rPr>
          <w:rFonts w:hint="eastAsia"/>
        </w:rPr>
        <w:t>预算收入</w:t>
      </w:r>
      <w:r>
        <w:t>2161.13</w:t>
      </w:r>
      <w:r>
        <w:rPr>
          <w:rFonts w:hint="eastAsia"/>
        </w:rPr>
        <w:t>万元，其中：一般公共预算拨款</w:t>
      </w:r>
      <w:r>
        <w:t>2161.13</w:t>
      </w:r>
      <w:r>
        <w:rPr>
          <w:rFonts w:hint="eastAsia"/>
        </w:rPr>
        <w:t>万元，政府性基金预算拨款</w:t>
      </w:r>
      <w:r>
        <w:t>0</w:t>
      </w:r>
      <w:r>
        <w:rPr>
          <w:rFonts w:hint="eastAsia"/>
        </w:rPr>
        <w:t>万元，国有资本经营预算拨款</w:t>
      </w:r>
      <w:r>
        <w:t>0</w:t>
      </w:r>
      <w:r>
        <w:rPr>
          <w:rFonts w:hint="eastAsia"/>
        </w:rPr>
        <w:t>万元，财政专户核拨</w:t>
      </w:r>
      <w:r>
        <w:t>0</w:t>
      </w:r>
      <w:r>
        <w:rPr>
          <w:rFonts w:hint="eastAsia"/>
        </w:rPr>
        <w:t>万元，单位资金</w:t>
      </w:r>
      <w:r>
        <w:t>0</w:t>
      </w:r>
      <w:r>
        <w:rPr>
          <w:rFonts w:hint="eastAsia"/>
        </w:rPr>
        <w:t>万元。</w:t>
      </w:r>
    </w:p>
    <w:p>
      <w:pPr>
        <w:pStyle w:val="25"/>
      </w:pPr>
      <w:r>
        <w:rPr>
          <w:rFonts w:hint="eastAsia"/>
        </w:rPr>
        <w:t>（二）支出说明</w:t>
      </w:r>
    </w:p>
    <w:p>
      <w:pPr>
        <w:pStyle w:val="25"/>
      </w:pPr>
      <w:r>
        <w:rPr>
          <w:rFonts w:hint="eastAsia"/>
        </w:rPr>
        <w:t>2022年</w:t>
      </w:r>
      <w:r>
        <w:t>单位</w:t>
      </w:r>
      <w:r>
        <w:rPr>
          <w:rFonts w:hint="eastAsia"/>
        </w:rPr>
        <w:t>预算支出</w:t>
      </w:r>
      <w:r>
        <w:t>2161.13</w:t>
      </w:r>
      <w:r>
        <w:rPr>
          <w:rFonts w:hint="eastAsia"/>
        </w:rPr>
        <w:t>万元，其中：人员经费</w:t>
      </w:r>
      <w:r>
        <w:t>1480.94</w:t>
      </w:r>
      <w:r>
        <w:rPr>
          <w:rFonts w:hint="eastAsia"/>
        </w:rPr>
        <w:t>万元，日常公用经费</w:t>
      </w:r>
      <w:r>
        <w:t>241.55</w:t>
      </w:r>
      <w:r>
        <w:rPr>
          <w:rFonts w:hint="eastAsia"/>
        </w:rPr>
        <w:t>万元，项目支出</w:t>
      </w:r>
      <w:r>
        <w:t>438.64</w:t>
      </w:r>
      <w:r>
        <w:rPr>
          <w:rFonts w:hint="eastAsia"/>
        </w:rPr>
        <w:t>万元。</w:t>
      </w:r>
    </w:p>
    <w:p>
      <w:pPr>
        <w:pStyle w:val="25"/>
      </w:pPr>
      <w:r>
        <w:rPr>
          <w:rFonts w:hint="eastAsia"/>
        </w:rPr>
        <w:t>（三）比上年增减情况</w:t>
      </w:r>
    </w:p>
    <w:p>
      <w:pPr>
        <w:pStyle w:val="25"/>
      </w:pPr>
      <w:r>
        <w:rPr>
          <w:rFonts w:hint="eastAsia"/>
        </w:rPr>
        <w:t>2022年</w:t>
      </w:r>
      <w:r>
        <w:t>单位</w:t>
      </w:r>
      <w:r>
        <w:rPr>
          <w:rFonts w:hint="eastAsia"/>
        </w:rPr>
        <w:t>预算较2021年</w:t>
      </w:r>
      <w:r>
        <w:t>增加23.65</w:t>
      </w:r>
      <w:r>
        <w:rPr>
          <w:rFonts w:hint="eastAsia"/>
        </w:rPr>
        <w:t>万元，其中：人员经费减少</w:t>
      </w:r>
      <w:r>
        <w:t>19.78</w:t>
      </w:r>
      <w:r>
        <w:rPr>
          <w:rFonts w:hint="eastAsia"/>
        </w:rPr>
        <w:t>万元，日常公用经费增加</w:t>
      </w:r>
      <w:r>
        <w:t>2.35</w:t>
      </w:r>
      <w:r>
        <w:rPr>
          <w:rFonts w:hint="eastAsia"/>
        </w:rPr>
        <w:t>万元，项目经费增加</w:t>
      </w:r>
      <w:r>
        <w:t>41.08</w:t>
      </w:r>
      <w:r>
        <w:rPr>
          <w:rFonts w:hint="eastAsia"/>
        </w:rPr>
        <w:t>万元。</w:t>
      </w: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color w:val="000000"/>
          <w:sz w:val="28"/>
        </w:rPr>
        <w:t>2022年机关运行经费共计安排</w:t>
      </w:r>
      <w:r>
        <w:rPr>
          <w:rFonts w:ascii="Times New Roman" w:eastAsia="方正仿宋_GBK" w:hAnsi="Times New Roman"/>
          <w:color w:val="000000"/>
          <w:sz w:val="28"/>
        </w:rPr>
        <w:t>241.55</w:t>
      </w:r>
      <w:r>
        <w:rPr>
          <w:rFonts w:ascii="Times New Roman" w:eastAsia="方正仿宋_GBK" w:hAnsi="Times New Roman" w:hint="eastAsia"/>
          <w:color w:val="000000"/>
          <w:sz w:val="28"/>
        </w:rPr>
        <w:t>万元，主要包括用于保证机关正常运转的</w:t>
      </w:r>
      <w:r>
        <w:rPr>
          <w:rFonts w:ascii="Times New Roman" w:eastAsia="方正仿宋_GBK" w:hAnsi="Times New Roman" w:hint="eastAsia"/>
          <w:sz w:val="28"/>
        </w:rPr>
        <w:t>办公</w:t>
      </w:r>
      <w:r>
        <w:rPr>
          <w:rFonts w:ascii="Times New Roman" w:eastAsia="方正仿宋_GBK" w:hAnsi="Times New Roman"/>
          <w:sz w:val="28"/>
        </w:rPr>
        <w:t>费23.1万元、</w:t>
      </w:r>
      <w:r>
        <w:rPr>
          <w:rFonts w:ascii="Times New Roman" w:eastAsia="方正仿宋_GBK" w:hAnsi="Times New Roman" w:hint="eastAsia"/>
          <w:sz w:val="28"/>
        </w:rPr>
        <w:t>邮电费</w:t>
      </w:r>
      <w:r>
        <w:rPr>
          <w:rFonts w:ascii="Times New Roman" w:eastAsia="方正仿宋_GBK" w:hAnsi="Times New Roman"/>
          <w:sz w:val="28"/>
        </w:rPr>
        <w:t>1.5万元</w:t>
      </w:r>
      <w:r>
        <w:rPr>
          <w:rFonts w:ascii="Times New Roman" w:eastAsia="方正仿宋_GBK" w:hAnsi="Times New Roman" w:hint="eastAsia"/>
          <w:sz w:val="28"/>
        </w:rPr>
        <w:t>、差旅费</w:t>
      </w:r>
      <w:r>
        <w:rPr>
          <w:rFonts w:ascii="Times New Roman" w:eastAsia="方正仿宋_GBK" w:hAnsi="Times New Roman"/>
          <w:sz w:val="28"/>
        </w:rPr>
        <w:t>1.5万元</w:t>
      </w:r>
      <w:r>
        <w:rPr>
          <w:rFonts w:ascii="Times New Roman" w:eastAsia="方正仿宋_GBK" w:hAnsi="Times New Roman" w:hint="eastAsia"/>
          <w:sz w:val="28"/>
        </w:rPr>
        <w:t>、专用材料费</w:t>
      </w:r>
      <w:r>
        <w:rPr>
          <w:rFonts w:ascii="Times New Roman" w:eastAsia="方正仿宋_GBK" w:hAnsi="Times New Roman"/>
          <w:sz w:val="28"/>
        </w:rPr>
        <w:t>1.75万元</w:t>
      </w:r>
      <w:r>
        <w:rPr>
          <w:rFonts w:ascii="Times New Roman" w:eastAsia="方正仿宋_GBK" w:hAnsi="Times New Roman" w:hint="eastAsia"/>
          <w:sz w:val="28"/>
        </w:rPr>
        <w:t>、公务用车运行维护费</w:t>
      </w:r>
      <w:r>
        <w:rPr>
          <w:rFonts w:ascii="Times New Roman" w:eastAsia="方正仿宋_GBK" w:hAnsi="Times New Roman"/>
          <w:sz w:val="28"/>
        </w:rPr>
        <w:t>85万元</w:t>
      </w:r>
      <w:r>
        <w:rPr>
          <w:rFonts w:ascii="Times New Roman" w:eastAsia="方正仿宋_GBK" w:hAnsi="Times New Roman" w:hint="eastAsia"/>
          <w:sz w:val="28"/>
        </w:rPr>
        <w:t>、</w:t>
      </w:r>
      <w:r>
        <w:rPr>
          <w:rFonts w:ascii="Times New Roman" w:eastAsia="方正仿宋_GBK" w:hAnsi="Times New Roman"/>
          <w:sz w:val="28"/>
        </w:rPr>
        <w:t>公务接待费2.3万元、</w:t>
      </w:r>
      <w:r>
        <w:rPr>
          <w:rFonts w:ascii="Times New Roman" w:eastAsia="方正仿宋_GBK" w:hAnsi="Times New Roman" w:hint="eastAsia"/>
          <w:sz w:val="28"/>
        </w:rPr>
        <w:t>工会</w:t>
      </w:r>
      <w:r>
        <w:rPr>
          <w:rFonts w:ascii="Times New Roman" w:eastAsia="方正仿宋_GBK" w:hAnsi="Times New Roman"/>
          <w:sz w:val="28"/>
        </w:rPr>
        <w:t>经</w:t>
      </w:r>
      <w:r>
        <w:rPr>
          <w:rFonts w:ascii="Times New Roman" w:eastAsia="方正仿宋_GBK" w:hAnsi="Times New Roman" w:hint="eastAsia"/>
          <w:sz w:val="28"/>
        </w:rPr>
        <w:t>费</w:t>
      </w:r>
      <w:r>
        <w:rPr>
          <w:rFonts w:ascii="Times New Roman" w:eastAsia="方正仿宋_GBK" w:hAnsi="Times New Roman"/>
          <w:sz w:val="28"/>
        </w:rPr>
        <w:t>22.5万元</w:t>
      </w:r>
      <w:r>
        <w:rPr>
          <w:rFonts w:ascii="Times New Roman" w:eastAsia="方正仿宋_GBK" w:hAnsi="Times New Roman" w:hint="eastAsia"/>
          <w:sz w:val="28"/>
        </w:rPr>
        <w:t>、</w:t>
      </w:r>
      <w:r>
        <w:rPr>
          <w:rFonts w:ascii="Times New Roman" w:eastAsia="方正仿宋_GBK" w:hAnsi="Times New Roman"/>
          <w:sz w:val="28"/>
        </w:rPr>
        <w:t>在职职工</w:t>
      </w:r>
      <w:r>
        <w:rPr>
          <w:rFonts w:ascii="Times New Roman" w:eastAsia="方正仿宋_GBK" w:hAnsi="Times New Roman" w:hint="eastAsia"/>
          <w:sz w:val="28"/>
        </w:rPr>
        <w:t>福利费</w:t>
      </w:r>
      <w:r>
        <w:rPr>
          <w:rFonts w:ascii="Times New Roman" w:eastAsia="方正仿宋_GBK" w:hAnsi="Times New Roman"/>
          <w:sz w:val="28"/>
        </w:rPr>
        <w:t>10.63万元</w:t>
      </w:r>
      <w:r>
        <w:rPr>
          <w:rFonts w:ascii="Times New Roman" w:eastAsia="方正仿宋_GBK" w:hAnsi="Times New Roman" w:hint="eastAsia"/>
          <w:sz w:val="28"/>
        </w:rPr>
        <w:t>、</w:t>
      </w:r>
      <w:r>
        <w:rPr>
          <w:rFonts w:ascii="Times New Roman" w:eastAsia="方正仿宋_GBK" w:hAnsi="Times New Roman"/>
          <w:sz w:val="28"/>
        </w:rPr>
        <w:t>离退休福利费1.82万元，公务移动</w:t>
      </w:r>
      <w:r>
        <w:rPr>
          <w:rFonts w:ascii="Times New Roman" w:eastAsia="方正仿宋_GBK" w:hAnsi="Times New Roman" w:hint="eastAsia"/>
          <w:sz w:val="28"/>
        </w:rPr>
        <w:t>通讯</w:t>
      </w:r>
      <w:r>
        <w:rPr>
          <w:rFonts w:ascii="Times New Roman" w:eastAsia="方正仿宋_GBK" w:hAnsi="Times New Roman"/>
          <w:sz w:val="28"/>
        </w:rPr>
        <w:t>费用</w:t>
      </w:r>
      <w:r>
        <w:rPr>
          <w:rFonts w:ascii="Times New Roman" w:eastAsia="方正仿宋_GBK" w:hAnsi="Times New Roman" w:hint="eastAsia"/>
          <w:sz w:val="28"/>
        </w:rPr>
        <w:t>补贴</w:t>
      </w:r>
      <w:r>
        <w:rPr>
          <w:rFonts w:ascii="Times New Roman" w:eastAsia="方正仿宋_GBK" w:hAnsi="Times New Roman"/>
          <w:sz w:val="28"/>
        </w:rPr>
        <w:t>39万元</w:t>
      </w:r>
      <w:r>
        <w:rPr>
          <w:rFonts w:ascii="Times New Roman" w:eastAsia="方正仿宋_GBK" w:hAnsi="Times New Roman" w:hint="eastAsia"/>
          <w:sz w:val="28"/>
        </w:rPr>
        <w:t>、</w:t>
      </w:r>
      <w:r>
        <w:rPr>
          <w:rFonts w:ascii="Times New Roman" w:eastAsia="方正仿宋_GBK" w:hAnsi="Times New Roman"/>
          <w:sz w:val="28"/>
        </w:rPr>
        <w:t>公务</w:t>
      </w:r>
      <w:r>
        <w:rPr>
          <w:rFonts w:ascii="Times New Roman" w:eastAsia="方正仿宋_GBK" w:hAnsi="Times New Roman" w:hint="eastAsia"/>
          <w:sz w:val="28"/>
        </w:rPr>
        <w:t>交通补贴</w:t>
      </w:r>
      <w:r>
        <w:rPr>
          <w:rFonts w:ascii="Times New Roman" w:eastAsia="方正仿宋_GBK" w:hAnsi="Times New Roman"/>
          <w:sz w:val="28"/>
        </w:rPr>
        <w:t>52万元</w:t>
      </w:r>
      <w:r>
        <w:rPr>
          <w:rFonts w:ascii="Times New Roman" w:eastAsia="方正仿宋_GBK" w:hAnsi="Times New Roman" w:hint="eastAsia"/>
          <w:sz w:val="28"/>
        </w:rPr>
        <w:t>、</w:t>
      </w:r>
      <w:r>
        <w:rPr>
          <w:rFonts w:ascii="Times New Roman" w:eastAsia="方正仿宋_GBK" w:hAnsi="Times New Roman"/>
          <w:sz w:val="28"/>
        </w:rPr>
        <w:t>离退休干部报刊费0.45万元。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spacing w:line="360" w:lineRule="auto"/>
        <w:ind w:firstLineChars="250" w:firstLine="70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“三公”经费预算安排</w:t>
      </w:r>
      <w:r>
        <w:rPr>
          <w:rFonts w:ascii="Times New Roman" w:eastAsia="方正仿宋_GBK" w:hAnsi="Times New Roman"/>
          <w:color w:val="000000"/>
          <w:sz w:val="28"/>
        </w:rPr>
        <w:t>87.3</w:t>
      </w:r>
      <w:r>
        <w:rPr>
          <w:rFonts w:ascii="Times New Roman" w:eastAsia="方正仿宋_GBK" w:hAnsi="Times New Roman" w:hint="eastAsia"/>
          <w:color w:val="000000"/>
          <w:sz w:val="28"/>
        </w:rPr>
        <w:t>万元，比2021年</w:t>
      </w:r>
      <w:r>
        <w:rPr>
          <w:rFonts w:ascii="Times New Roman" w:eastAsia="方正仿宋_GBK" w:hAnsi="Times New Roman" w:hint="eastAsia"/>
          <w:sz w:val="28"/>
        </w:rPr>
        <w:t>减少</w:t>
      </w:r>
      <w:r>
        <w:rPr>
          <w:rFonts w:ascii="Times New Roman" w:eastAsia="方正仿宋_GBK" w:hAnsi="Times New Roman"/>
          <w:sz w:val="28"/>
        </w:rPr>
        <w:t>26.4</w:t>
      </w:r>
      <w:r>
        <w:rPr>
          <w:rFonts w:ascii="Times New Roman" w:eastAsia="方正仿宋_GBK" w:hAnsi="Times New Roman" w:hint="eastAsia"/>
          <w:color w:val="000000"/>
          <w:sz w:val="28"/>
        </w:rPr>
        <w:t>万元。具体增减情况为：</w:t>
      </w:r>
    </w:p>
    <w:p>
      <w:pPr>
        <w:spacing w:line="360" w:lineRule="auto"/>
        <w:ind w:firstLineChars="200" w:firstLine="560"/>
        <w:jc w:val="left"/>
        <w:rPr>
          <w:rFonts w:eastAsia="方正仿宋_GBK" w:hint="eastAsia"/>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85</w:t>
      </w:r>
      <w:r>
        <w:rPr>
          <w:rFonts w:ascii="Times New Roman" w:eastAsia="方正仿宋_GBK" w:hAnsi="Times New Roman" w:hint="eastAsia"/>
          <w:color w:val="000000"/>
          <w:sz w:val="28"/>
        </w:rPr>
        <w:t>万元，比2021年</w:t>
      </w:r>
      <w:r>
        <w:rPr>
          <w:rFonts w:ascii="Times New Roman" w:eastAsia="方正仿宋_GBK" w:hAnsi="Times New Roman" w:hint="eastAsia"/>
          <w:sz w:val="28"/>
        </w:rPr>
        <w:t>减少</w:t>
      </w:r>
      <w:r>
        <w:rPr>
          <w:rFonts w:ascii="Times New Roman" w:eastAsia="方正仿宋_GBK" w:hAnsi="Times New Roman"/>
          <w:sz w:val="28"/>
        </w:rPr>
        <w:t>26.4</w:t>
      </w:r>
      <w:r>
        <w:rPr>
          <w:rFonts w:ascii="Times New Roman" w:eastAsia="方正仿宋_GBK" w:hAnsi="Times New Roman" w:hint="eastAsia"/>
          <w:sz w:val="28"/>
        </w:rPr>
        <w:t>万元，</w:t>
      </w:r>
      <w:r>
        <w:rPr>
          <w:rFonts w:eastAsia="方正仿宋_GBK" w:hint="eastAsia"/>
          <w:color w:val="000000"/>
          <w:sz w:val="28"/>
        </w:rPr>
        <w:t>其中：公务用车购置费为</w:t>
      </w:r>
      <w:r>
        <w:rPr>
          <w:rFonts w:eastAsia="方正仿宋_GBK" w:hint="eastAsia"/>
          <w:color w:val="000000"/>
          <w:sz w:val="28"/>
          <w:lang w:val="en-US" w:eastAsia="zh-CN"/>
        </w:rPr>
        <w:t>0</w:t>
      </w:r>
      <w:r>
        <w:rPr>
          <w:rFonts w:eastAsia="方正仿宋_GBK" w:hint="eastAsia"/>
          <w:color w:val="000000"/>
          <w:sz w:val="28"/>
        </w:rPr>
        <w:t>万元，比2021年减少</w:t>
      </w:r>
      <w:r>
        <w:rPr>
          <w:rFonts w:eastAsia="方正仿宋_GBK" w:hint="eastAsia"/>
          <w:color w:val="000000"/>
          <w:sz w:val="28"/>
          <w:lang w:val="en-US" w:eastAsia="zh-CN"/>
        </w:rPr>
        <w:t>26.4</w:t>
      </w:r>
      <w:r>
        <w:rPr>
          <w:rFonts w:eastAsia="方正仿宋_GBK" w:hint="eastAsia"/>
          <w:color w:val="000000"/>
          <w:sz w:val="28"/>
        </w:rPr>
        <w:t>万元，原因是</w:t>
      </w:r>
      <w:r>
        <w:rPr>
          <w:rFonts w:eastAsia="方正仿宋_GBK" w:hint="eastAsia"/>
          <w:color w:val="000000"/>
          <w:sz w:val="28"/>
          <w:lang w:val="en-US" w:eastAsia="zh-CN"/>
        </w:rPr>
        <w:t>2022年无公务用车购置经费</w:t>
      </w:r>
      <w:r>
        <w:rPr>
          <w:rFonts w:eastAsia="方正仿宋_GBK"/>
          <w:color w:val="000000"/>
          <w:sz w:val="28"/>
          <w:lang w:val="en-US" w:eastAsia="zh-CN"/>
        </w:rPr>
        <w:t>预算</w:t>
      </w:r>
      <w:r>
        <w:rPr>
          <w:rFonts w:eastAsia="方正仿宋_GBK" w:hint="eastAsia"/>
          <w:color w:val="000000"/>
          <w:sz w:val="28"/>
        </w:rPr>
        <w:t>；公务用车运行</w:t>
      </w:r>
      <w:r>
        <w:rPr>
          <w:rFonts w:eastAsia="方正仿宋_GBK" w:hint="eastAsia"/>
          <w:color w:val="000000"/>
          <w:sz w:val="28"/>
          <w:lang w:val="en-US" w:eastAsia="zh-CN"/>
        </w:rPr>
        <w:t>维护费85</w:t>
      </w:r>
      <w:r>
        <w:rPr>
          <w:rFonts w:eastAsia="方正仿宋_GBK" w:hint="eastAsia"/>
          <w:color w:val="000000"/>
          <w:sz w:val="28"/>
        </w:rPr>
        <w:t>万元，比</w:t>
      </w:r>
      <w:r>
        <w:rPr>
          <w:rFonts w:eastAsia="方正仿宋_GBK" w:hint="eastAsia"/>
          <w:color w:val="000000"/>
          <w:sz w:val="28"/>
          <w:lang w:val="en-US" w:eastAsia="zh-CN"/>
        </w:rPr>
        <w:t>2021</w:t>
      </w:r>
      <w:r>
        <w:rPr>
          <w:rFonts w:eastAsia="方正仿宋_GBK" w:hint="eastAsia"/>
          <w:color w:val="000000"/>
          <w:sz w:val="28"/>
        </w:rPr>
        <w:t>年增加</w:t>
      </w:r>
      <w:r>
        <w:rPr>
          <w:rFonts w:eastAsia="方正仿宋_GBK" w:hint="eastAsia"/>
          <w:color w:val="000000"/>
          <w:sz w:val="28"/>
          <w:lang w:val="en-US" w:eastAsia="zh-CN"/>
        </w:rPr>
        <w:t>0</w:t>
      </w:r>
      <w:r>
        <w:rPr>
          <w:rFonts w:eastAsia="方正仿宋_GBK" w:hint="eastAsia"/>
          <w:color w:val="000000"/>
          <w:sz w:val="28"/>
        </w:rPr>
        <w:t>万元，无增减变化</w:t>
      </w:r>
      <w:r>
        <w:rPr>
          <w:rFonts w:eastAsia="方正仿宋_GBK"/>
          <w:color w:val="000000"/>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（二）公务接待费</w:t>
      </w:r>
      <w:r>
        <w:rPr>
          <w:rFonts w:ascii="Times New Roman" w:eastAsia="方正仿宋_GBK" w:hAnsi="Times New Roman"/>
          <w:sz w:val="28"/>
        </w:rPr>
        <w:t>2.3</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万元，无增减变化</w:t>
      </w:r>
      <w:r>
        <w:rPr>
          <w:rFonts w:ascii="Times New Roman" w:eastAsia="方正仿宋_GBK" w:hAnsi="Times New Roman"/>
          <w:sz w:val="28"/>
        </w:rPr>
        <w:t>。</w:t>
      </w:r>
    </w:p>
    <w:p>
      <w:pPr>
        <w:spacing w:line="360" w:lineRule="auto"/>
        <w:ind w:firstLineChars="200" w:firstLine="560"/>
        <w:jc w:val="left"/>
        <w:rPr>
          <w:rFonts w:ascii="Times New Roman" w:eastAsia="方正仿宋_GBK" w:hAnsi="Times New Roman"/>
          <w:sz w:val="28"/>
        </w:rPr>
      </w:pPr>
      <w:r>
        <w:rPr>
          <w:rFonts w:ascii="Times New Roman" w:eastAsia="方正仿宋_GBK" w:hAnsi="Times New Roman" w:hint="eastAsia"/>
          <w:sz w:val="28"/>
        </w:rPr>
        <w:t>（三）因公出国（境）费</w:t>
      </w:r>
      <w:r>
        <w:rPr>
          <w:rFonts w:ascii="Times New Roman" w:eastAsia="方正仿宋_GBK" w:hAnsi="Times New Roman"/>
          <w:sz w:val="28"/>
        </w:rPr>
        <w:t>0</w:t>
      </w:r>
      <w:r>
        <w:rPr>
          <w:rFonts w:ascii="Times New Roman" w:eastAsia="方正仿宋_GBK" w:hAnsi="Times New Roman" w:hint="eastAsia"/>
          <w:sz w:val="28"/>
        </w:rPr>
        <w:t>万元，比2021年增加</w:t>
      </w:r>
      <w:r>
        <w:rPr>
          <w:rFonts w:ascii="Times New Roman" w:eastAsia="方正仿宋_GBK" w:hAnsi="Times New Roman"/>
          <w:sz w:val="28"/>
        </w:rPr>
        <w:t>0</w:t>
      </w:r>
      <w:r>
        <w:rPr>
          <w:rFonts w:ascii="Times New Roman" w:eastAsia="方正仿宋_GBK" w:hAnsi="Times New Roman" w:hint="eastAsia"/>
          <w:sz w:val="28"/>
        </w:rPr>
        <w:t>万元，无增减变化</w:t>
      </w:r>
      <w:r>
        <w:rPr>
          <w:rFonts w:ascii="Times New Roman" w:eastAsia="方正仿宋_GBK" w:hAnsi="Times New Roman"/>
          <w:sz w:val="28"/>
        </w:rPr>
        <w:t>。</w:t>
      </w: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2022年，我委将坚持以习近平新时代中国特色社会主义思想为指导，严格按照中央、省、市纪委监委和区委区政府的安排部署，忠实履行党章和宪法赋予的职责，坚定不移全面从严治党，切实发挥监督保障执行、促进完善发展作用，一体推进不敢腐、不能腐、不想腐，为加快建设“高质量发展示范区、生态宜居样板区”保驾护航。</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1、充分发挥党风廉政宣传教育基础性作用，浓厚全区廉荣腐耻氛围。</w:t>
      </w:r>
    </w:p>
    <w:p>
      <w:pPr>
        <w:pStyle w:val="30"/>
      </w:pPr>
      <w:r>
        <w:t>绩效目标：强化警示教育作用，进一步筑牢“不想腐”的思想防线，用党纪条规约束党员干部行为。</w:t>
      </w:r>
    </w:p>
    <w:p>
      <w:pPr>
        <w:pStyle w:val="30"/>
      </w:pPr>
      <w:r>
        <w:t>绩效指标：组织开展宣传教育活动按期完成率达到80%以上；活动参与率达到80%以上。</w:t>
      </w:r>
    </w:p>
    <w:p>
      <w:pPr>
        <w:pStyle w:val="30"/>
      </w:pPr>
      <w:r>
        <w:t>2、深入排查廉政风险点、明确监督重点、创新监督方式，更好的推进标本兼治。</w:t>
      </w:r>
    </w:p>
    <w:p>
      <w:pPr>
        <w:pStyle w:val="30"/>
      </w:pPr>
      <w:r>
        <w:t>绩效目标：及时发现问题，整改问题，健全制度，促进两个责任落地生根，从源头上遏制违纪违法行为的蔓延，积极构建“不能腐”的防范机制。</w:t>
      </w:r>
    </w:p>
    <w:p>
      <w:pPr>
        <w:pStyle w:val="30"/>
      </w:pPr>
      <w:r>
        <w:t>绩效指标：开展常态化全覆盖监督，组织协调重要监督检查活动，监督检查覆盖率达到100%。</w:t>
      </w:r>
    </w:p>
    <w:p>
      <w:pPr>
        <w:pStyle w:val="30"/>
      </w:pPr>
      <w:r>
        <w:t>3、维护党纪国法尊严，坚决惩处腐败分子，有效遏制腐败现象。</w:t>
      </w:r>
    </w:p>
    <w:p>
      <w:pPr>
        <w:pStyle w:val="30"/>
      </w:pPr>
      <w:r>
        <w:t>绩效目标：严肃查办违纪违法案件。</w:t>
      </w:r>
    </w:p>
    <w:p>
      <w:pPr>
        <w:pStyle w:val="30"/>
      </w:pPr>
      <w:r>
        <w:t>绩效指标：依法依规调查、处理党员、干部及监察对象各类违纪违法问题，违纪人员处理率达到100%。</w:t>
      </w:r>
    </w:p>
    <w:p>
      <w:pPr>
        <w:pStyle w:val="30"/>
      </w:pPr>
      <w:r>
        <w:t>4、不断提高纪检监察干部队伍的整体素质和战斗力，切实打造高素质反腐败铁军。</w:t>
      </w:r>
    </w:p>
    <w:p>
      <w:pPr>
        <w:pStyle w:val="30"/>
      </w:pPr>
      <w:r>
        <w:t>绩效目标：全面提升我区纪检监察干部队伍素质，打造敢于监督、善于监督、忠诚干净担当的干部队伍。</w:t>
      </w:r>
    </w:p>
    <w:p>
      <w:pPr>
        <w:pStyle w:val="30"/>
      </w:pPr>
      <w:r>
        <w:t>绩效指标：全年组织参加各类培训不少于20次；培训计划按期完成率达到80%以上；培训出勤率不低于80%。</w:t>
      </w:r>
    </w:p>
    <w:p>
      <w:pPr>
        <w:pStyle w:val="30"/>
      </w:pPr>
      <w:r>
        <w:t>5、对被巡察单位实施巡察监督，确保党委一个任期内完成巡察工作“全覆盖”。</w:t>
      </w:r>
    </w:p>
    <w:p>
      <w:pPr>
        <w:pStyle w:val="30"/>
      </w:pPr>
      <w:r>
        <w:t>绩效目标：发挥巡察利剑的作用，发现问题、形成震慑，确保充分发挥巡察标本兼治作用，实现巡察全覆盖。</w:t>
      </w:r>
    </w:p>
    <w:p>
      <w:pPr>
        <w:pStyle w:val="30"/>
      </w:pPr>
      <w:r>
        <w:t>绩效指标：确保党委一个任期内实现巡察工作100%全覆盖；问题整改率达到100%。</w:t>
      </w:r>
    </w:p>
    <w:p>
      <w:pPr>
        <w:pStyle w:val="30"/>
      </w:pPr>
      <w:r>
        <w:t>6、为案件查办、纪检监察业务、党风廉政建设等提供服务和保障。</w:t>
      </w:r>
    </w:p>
    <w:p>
      <w:pPr>
        <w:pStyle w:val="30"/>
      </w:pPr>
      <w:r>
        <w:t>绩效目标：保障机关各级会议顺利召开，机关基础设施、设备正常运转，机关信息化水平进一步提高，机关内部各项活动有序开展。</w:t>
      </w:r>
    </w:p>
    <w:p>
      <w:pPr>
        <w:pStyle w:val="30"/>
      </w:pPr>
      <w:r>
        <w:t>绩效指标：综合事务管理工作完成率达到100%；购置验收通过率达到100%；设备使用人员满意度达到95%以上。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1、完善制度建设。完善单位预算绩效管理制度、资金管理办法、工作保障制度等，为全年预算绩效目标的实现奠定制度基础。</w:t>
      </w:r>
    </w:p>
    <w:p>
      <w:pPr>
        <w:pStyle w:val="31"/>
      </w:pPr>
      <w:r>
        <w:t>2、加强支出管理。优化支出结构、编细编实预算、加快履行政府采购手续、尽快启动项目、及时支付资金，确保支出进度达标。</w:t>
      </w:r>
    </w:p>
    <w:p>
      <w:pPr>
        <w:pStyle w:val="31"/>
      </w:pPr>
      <w:r>
        <w:t>3、加强绩效运行监控。按要求开展绩效运行监控，发现问题及时采取措施，确保绩效目标如期保质实现。</w:t>
      </w:r>
    </w:p>
    <w:p>
      <w:pPr>
        <w:pStyle w:val="31"/>
      </w:pPr>
      <w:r>
        <w:t>4、做好绩效自评。严格按照要求开展上年度部门预算绩效自评和重点评价工作，对评价中发现的问题及时整改，调整优化支出结构，提高财政资金使用效益。</w:t>
      </w:r>
    </w:p>
    <w:p>
      <w:pPr>
        <w:pStyle w:val="31"/>
      </w:pPr>
      <w:r>
        <w:t>5、规范财务资产管理。完善单位相关财务管理制度，严格审批程序，加强固定资产登记、使用和报废处置管理，做到支出合理，物尽其用。</w:t>
      </w:r>
    </w:p>
    <w:p>
      <w:pPr>
        <w:pStyle w:val="31"/>
      </w:pPr>
      <w:r>
        <w:t>6、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31"/>
      </w:pPr>
      <w:r>
        <w:t>7、加强宣传培训。加强人员培训，提高本部门职工业务素质，强化预算绩效意识，进行预算绩效宣传，促进预算绩效管理水平进一步提升。加强调查研究，提出优化资金配置、提高资金使用效益的意见建议。</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1、办案经费绩效目标表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1.严肃查办违纪违法案件。</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办理案件数</w:t>
            </w:r>
          </w:p>
        </w:tc>
        <w:tc>
          <w:tcPr>
            <w:tcW w:w="2835" w:type="dxa"/>
            <w:tcBorders>
              <w:left w:val="single" w:sz="6" w:space="0" w:color="000000"/>
              <w:right w:val="single" w:sz="6" w:space="0" w:color="000000"/>
            </w:tcBorders>
            <w:vAlign w:val="center"/>
          </w:tcPr>
          <w:p>
            <w:pPr>
              <w:pStyle w:val="20"/>
            </w:pPr>
            <w:r>
              <w:t>实际立案数量。</w:t>
            </w:r>
          </w:p>
        </w:tc>
        <w:tc>
          <w:tcPr>
            <w:tcW w:w="2551" w:type="dxa"/>
            <w:tcBorders>
              <w:left w:val="single" w:sz="6" w:space="0" w:color="000000"/>
              <w:right w:val="single" w:sz="6" w:space="0" w:color="000000"/>
            </w:tcBorders>
            <w:vAlign w:val="center"/>
          </w:tcPr>
          <w:p>
            <w:pPr>
              <w:pStyle w:val="20"/>
            </w:pPr>
            <w:r>
              <w:t>≥60个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处理问题线索数</w:t>
            </w:r>
          </w:p>
        </w:tc>
        <w:tc>
          <w:tcPr>
            <w:tcW w:w="2835" w:type="dxa"/>
            <w:tcBorders>
              <w:left w:val="single" w:sz="6" w:space="0" w:color="000000"/>
              <w:right w:val="single" w:sz="6" w:space="0" w:color="000000"/>
            </w:tcBorders>
            <w:vAlign w:val="center"/>
          </w:tcPr>
          <w:p>
            <w:pPr>
              <w:pStyle w:val="20"/>
            </w:pPr>
            <w:r>
              <w:t>实际处理的问题线索数量。</w:t>
            </w:r>
          </w:p>
        </w:tc>
        <w:tc>
          <w:tcPr>
            <w:tcW w:w="2551" w:type="dxa"/>
            <w:tcBorders>
              <w:left w:val="single" w:sz="6" w:space="0" w:color="000000"/>
              <w:right w:val="single" w:sz="6" w:space="0" w:color="000000"/>
            </w:tcBorders>
            <w:vAlign w:val="center"/>
          </w:tcPr>
          <w:p>
            <w:pPr>
              <w:pStyle w:val="20"/>
            </w:pPr>
            <w:r>
              <w:t>≥150个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案件办结率</w:t>
            </w:r>
          </w:p>
        </w:tc>
        <w:tc>
          <w:tcPr>
            <w:tcW w:w="2835" w:type="dxa"/>
            <w:tcBorders>
              <w:left w:val="single" w:sz="6" w:space="0" w:color="000000"/>
              <w:right w:val="single" w:sz="6" w:space="0" w:color="000000"/>
            </w:tcBorders>
            <w:vAlign w:val="center"/>
          </w:tcPr>
          <w:p>
            <w:pPr>
              <w:pStyle w:val="20"/>
            </w:pPr>
            <w:r>
              <w:t>办结案件数量占立案案件总数的比率。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违纪人员处理率</w:t>
            </w:r>
          </w:p>
        </w:tc>
        <w:tc>
          <w:tcPr>
            <w:tcW w:w="2835" w:type="dxa"/>
            <w:tcBorders>
              <w:left w:val="single" w:sz="6" w:space="0" w:color="000000"/>
              <w:right w:val="single" w:sz="6" w:space="0" w:color="000000"/>
            </w:tcBorders>
            <w:vAlign w:val="center"/>
          </w:tcPr>
          <w:p>
            <w:pPr>
              <w:pStyle w:val="20"/>
            </w:pPr>
            <w:r>
              <w:t>年度内处理违纪人员的数量占立案人员数量的比率。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党政纪处分人数</w:t>
            </w:r>
          </w:p>
        </w:tc>
        <w:tc>
          <w:tcPr>
            <w:tcW w:w="2835" w:type="dxa"/>
            <w:tcBorders>
              <w:left w:val="single" w:sz="6" w:space="0" w:color="000000"/>
              <w:right w:val="single" w:sz="6" w:space="0" w:color="000000"/>
            </w:tcBorders>
            <w:vAlign w:val="center"/>
          </w:tcPr>
          <w:p>
            <w:pPr>
              <w:pStyle w:val="20"/>
            </w:pPr>
            <w:r>
              <w:t>年度内受党政纪处分的人数。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反腐败高压态势</w:t>
            </w:r>
          </w:p>
        </w:tc>
        <w:tc>
          <w:tcPr>
            <w:tcW w:w="2835" w:type="dxa"/>
            <w:tcBorders>
              <w:left w:val="single" w:sz="6" w:space="0" w:color="000000"/>
              <w:right w:val="single" w:sz="6" w:space="0" w:color="000000"/>
            </w:tcBorders>
            <w:vAlign w:val="center"/>
          </w:tcPr>
          <w:p>
            <w:pPr>
              <w:pStyle w:val="20"/>
            </w:pPr>
            <w:r>
              <w:t>巩固全区反腐败压倒性胜利</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调查中满意和较满意的人数占调查总人数的比率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2、档案室建设经费绩效目标表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1.完成档案室建设，推动档案工作实现高质量发展，更好地为全面从严治党、深入推进党风廉政建设和反</w:t>
            </w:r>
            <w:bookmarkStart w:id="20" w:name="_GoBack"/>
            <w:bookmarkEnd w:id="20"/>
            <w:r>
              <w:t>腐败斗争服务。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建设任务完成率</w:t>
            </w:r>
          </w:p>
        </w:tc>
        <w:tc>
          <w:tcPr>
            <w:tcW w:w="2835" w:type="dxa"/>
            <w:tcBorders>
              <w:left w:val="single" w:sz="6" w:space="0" w:color="000000"/>
              <w:right w:val="single" w:sz="6" w:space="0" w:color="000000"/>
            </w:tcBorders>
            <w:vAlign w:val="center"/>
          </w:tcPr>
          <w:p>
            <w:pPr>
              <w:pStyle w:val="20"/>
            </w:pPr>
            <w:r>
              <w:t>建设任务完成率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建设工程合格率</w:t>
            </w:r>
          </w:p>
        </w:tc>
        <w:tc>
          <w:tcPr>
            <w:tcW w:w="2835" w:type="dxa"/>
            <w:tcBorders>
              <w:left w:val="single" w:sz="6" w:space="0" w:color="000000"/>
              <w:right w:val="single" w:sz="6" w:space="0" w:color="000000"/>
            </w:tcBorders>
            <w:vAlign w:val="center"/>
          </w:tcPr>
          <w:p>
            <w:pPr>
              <w:pStyle w:val="20"/>
            </w:pPr>
            <w:r>
              <w:t>建设工程合格率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工程完成及时率</w:t>
            </w:r>
          </w:p>
        </w:tc>
        <w:tc>
          <w:tcPr>
            <w:tcW w:w="2835" w:type="dxa"/>
            <w:tcBorders>
              <w:left w:val="single" w:sz="6" w:space="0" w:color="000000"/>
              <w:right w:val="single" w:sz="6" w:space="0" w:color="000000"/>
            </w:tcBorders>
            <w:vAlign w:val="center"/>
          </w:tcPr>
          <w:p>
            <w:pPr>
              <w:pStyle w:val="20"/>
            </w:pPr>
            <w:r>
              <w:t>工程完成及时率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按期完成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项目实现功能</w:t>
            </w:r>
          </w:p>
        </w:tc>
        <w:tc>
          <w:tcPr>
            <w:tcW w:w="2835" w:type="dxa"/>
            <w:tcBorders>
              <w:left w:val="single" w:sz="6" w:space="0" w:color="000000"/>
              <w:right w:val="single" w:sz="6" w:space="0" w:color="000000"/>
            </w:tcBorders>
            <w:vAlign w:val="center"/>
          </w:tcPr>
          <w:p>
            <w:pPr>
              <w:pStyle w:val="20"/>
            </w:pPr>
            <w:r>
              <w:t>项目实现功能</w:t>
            </w:r>
          </w:p>
        </w:tc>
        <w:tc>
          <w:tcPr>
            <w:tcW w:w="2551" w:type="dxa"/>
            <w:tcBorders>
              <w:left w:val="single" w:sz="6" w:space="0" w:color="000000"/>
              <w:right w:val="single" w:sz="6" w:space="0" w:color="000000"/>
            </w:tcBorders>
            <w:vAlign w:val="center"/>
          </w:tcPr>
          <w:p>
            <w:pPr>
              <w:pStyle w:val="20"/>
            </w:pPr>
            <w:r>
              <w:t xml:space="preserve">实现功能 </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可持续性服务</w:t>
            </w:r>
          </w:p>
        </w:tc>
        <w:tc>
          <w:tcPr>
            <w:tcW w:w="2835" w:type="dxa"/>
            <w:tcBorders>
              <w:left w:val="single" w:sz="6" w:space="0" w:color="000000"/>
              <w:right w:val="single" w:sz="6" w:space="0" w:color="000000"/>
            </w:tcBorders>
            <w:vAlign w:val="center"/>
          </w:tcPr>
          <w:p>
            <w:pPr>
              <w:pStyle w:val="20"/>
            </w:pPr>
            <w:r>
              <w:t>可持续性服务</w:t>
            </w:r>
          </w:p>
        </w:tc>
        <w:tc>
          <w:tcPr>
            <w:tcW w:w="2551" w:type="dxa"/>
            <w:tcBorders>
              <w:left w:val="single" w:sz="6" w:space="0" w:color="000000"/>
              <w:right w:val="single" w:sz="6" w:space="0" w:color="000000"/>
            </w:tcBorders>
            <w:vAlign w:val="center"/>
          </w:tcPr>
          <w:p>
            <w:pPr>
              <w:pStyle w:val="20"/>
            </w:pPr>
            <w:r>
              <w:t>可持续服务</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3、机关信息系统维护费绩效目标表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1.保障机关信息系统正常运行，为纪检监察业务开展、案件查办、党风廉政建设等工作提供服务和保障。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系统故障率</w:t>
            </w:r>
          </w:p>
        </w:tc>
        <w:tc>
          <w:tcPr>
            <w:tcW w:w="2835" w:type="dxa"/>
            <w:tcBorders>
              <w:left w:val="single" w:sz="6" w:space="0" w:color="000000"/>
              <w:right w:val="single" w:sz="6" w:space="0" w:color="000000"/>
            </w:tcBorders>
            <w:vAlign w:val="center"/>
          </w:tcPr>
          <w:p>
            <w:pPr>
              <w:pStyle w:val="20"/>
            </w:pPr>
            <w:r>
              <w:t>系统出故障时间占总运行时间的比率（反向指标）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故障排除率</w:t>
            </w:r>
          </w:p>
        </w:tc>
        <w:tc>
          <w:tcPr>
            <w:tcW w:w="2835" w:type="dxa"/>
            <w:tcBorders>
              <w:left w:val="single" w:sz="6" w:space="0" w:color="000000"/>
              <w:right w:val="single" w:sz="6" w:space="0" w:color="000000"/>
            </w:tcBorders>
            <w:vAlign w:val="center"/>
          </w:tcPr>
          <w:p>
            <w:pPr>
              <w:pStyle w:val="20"/>
            </w:pPr>
            <w:r>
              <w:t>排除故障次数占故障发生次数的比率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业务处理及时率</w:t>
            </w:r>
          </w:p>
        </w:tc>
        <w:tc>
          <w:tcPr>
            <w:tcW w:w="2835" w:type="dxa"/>
            <w:tcBorders>
              <w:left w:val="single" w:sz="6" w:space="0" w:color="000000"/>
              <w:right w:val="single" w:sz="6" w:space="0" w:color="000000"/>
            </w:tcBorders>
            <w:vAlign w:val="center"/>
          </w:tcPr>
          <w:p>
            <w:pPr>
              <w:pStyle w:val="20"/>
            </w:pPr>
            <w:r>
              <w:t>及时处理业务数占总业务数的比率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年度内系统运行情况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2835" w:type="dxa"/>
            <w:tcBorders>
              <w:left w:val="single" w:sz="6" w:space="0" w:color="000000"/>
              <w:right w:val="single" w:sz="6" w:space="0" w:color="000000"/>
            </w:tcBorders>
            <w:vAlign w:val="center"/>
          </w:tcPr>
          <w:p>
            <w:pPr>
              <w:pStyle w:val="20"/>
            </w:pPr>
            <w:r>
              <w:t>系统的利用、使用率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受益职工数</w:t>
            </w:r>
          </w:p>
        </w:tc>
        <w:tc>
          <w:tcPr>
            <w:tcW w:w="2835" w:type="dxa"/>
            <w:tcBorders>
              <w:left w:val="single" w:sz="6" w:space="0" w:color="000000"/>
              <w:right w:val="single" w:sz="6" w:space="0" w:color="000000"/>
            </w:tcBorders>
            <w:vAlign w:val="center"/>
          </w:tcPr>
          <w:p>
            <w:pPr>
              <w:pStyle w:val="20"/>
            </w:pPr>
            <w:r>
              <w:t>单位收益职工的数量</w:t>
            </w:r>
          </w:p>
        </w:tc>
        <w:tc>
          <w:tcPr>
            <w:tcW w:w="2551" w:type="dxa"/>
            <w:tcBorders>
              <w:left w:val="single" w:sz="6" w:space="0" w:color="000000"/>
              <w:right w:val="single" w:sz="6" w:space="0" w:color="000000"/>
            </w:tcBorders>
            <w:vAlign w:val="center"/>
          </w:tcPr>
          <w:p>
            <w:pPr>
              <w:pStyle w:val="20"/>
            </w:pPr>
            <w:r>
              <w:t>≥100人</w:t>
            </w:r>
          </w:p>
        </w:tc>
        <w:tc>
          <w:tcPr>
            <w:tcW w:w="2268" w:type="dxa"/>
            <w:vAlign w:val="center"/>
          </w:tcPr>
          <w:p>
            <w:pPr>
              <w:pStyle w:val="20"/>
            </w:pPr>
            <w:r>
              <w:t>机关实际人数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系统可持续使用年限</w:t>
            </w:r>
          </w:p>
        </w:tc>
        <w:tc>
          <w:tcPr>
            <w:tcW w:w="2835" w:type="dxa"/>
            <w:tcBorders>
              <w:left w:val="single" w:sz="6" w:space="0" w:color="000000"/>
              <w:right w:val="single" w:sz="6" w:space="0" w:color="000000"/>
            </w:tcBorders>
            <w:vAlign w:val="center"/>
          </w:tcPr>
          <w:p>
            <w:pPr>
              <w:pStyle w:val="20"/>
            </w:pPr>
            <w:r>
              <w:t>系统可持续使用的年限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使用人员满意和较满意的数量占调查总人数的比例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4、劳务派遣人员工资（劳务费）绩效目标表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聘用的劳务派遣人数</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考勤正常率</w:t>
            </w:r>
          </w:p>
        </w:tc>
        <w:tc>
          <w:tcPr>
            <w:tcW w:w="2835" w:type="dxa"/>
            <w:tcBorders>
              <w:left w:val="single" w:sz="6" w:space="0" w:color="000000"/>
              <w:right w:val="single" w:sz="6" w:space="0" w:color="000000"/>
            </w:tcBorders>
            <w:vAlign w:val="center"/>
          </w:tcPr>
          <w:p>
            <w:pPr>
              <w:pStyle w:val="20"/>
            </w:pPr>
            <w:r>
              <w:t>人员正常出勤占应出勤天数的比率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出勤情况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最低工资标准</w:t>
            </w:r>
          </w:p>
        </w:tc>
        <w:tc>
          <w:tcPr>
            <w:tcW w:w="2835" w:type="dxa"/>
            <w:tcBorders>
              <w:left w:val="single" w:sz="6" w:space="0" w:color="000000"/>
              <w:right w:val="single" w:sz="6" w:space="0" w:color="000000"/>
            </w:tcBorders>
            <w:vAlign w:val="center"/>
          </w:tcPr>
          <w:p>
            <w:pPr>
              <w:pStyle w:val="20"/>
            </w:pPr>
            <w:r>
              <w:t>最低工资标准</w:t>
            </w:r>
          </w:p>
        </w:tc>
        <w:tc>
          <w:tcPr>
            <w:tcW w:w="2551" w:type="dxa"/>
            <w:tcBorders>
              <w:left w:val="single" w:sz="6" w:space="0" w:color="000000"/>
              <w:right w:val="single" w:sz="6" w:space="0" w:color="000000"/>
            </w:tcBorders>
            <w:vAlign w:val="center"/>
          </w:tcPr>
          <w:p>
            <w:pPr>
              <w:pStyle w:val="20"/>
            </w:pPr>
            <w:r>
              <w:t>1900元</w:t>
            </w:r>
          </w:p>
        </w:tc>
        <w:tc>
          <w:tcPr>
            <w:tcW w:w="2268" w:type="dxa"/>
            <w:vAlign w:val="center"/>
          </w:tcPr>
          <w:p>
            <w:pPr>
              <w:pStyle w:val="20"/>
            </w:pPr>
            <w:r>
              <w:t>聘用合同</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≥50%</w:t>
            </w:r>
          </w:p>
        </w:tc>
        <w:tc>
          <w:tcPr>
            <w:tcW w:w="2268" w:type="dxa"/>
            <w:vAlign w:val="center"/>
          </w:tcPr>
          <w:p>
            <w:pPr>
              <w:pStyle w:val="20"/>
            </w:pPr>
            <w:r>
              <w:t>实际消费水平</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≥14人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保障事业发展</w:t>
            </w:r>
          </w:p>
        </w:tc>
        <w:tc>
          <w:tcPr>
            <w:tcW w:w="2835" w:type="dxa"/>
            <w:tcBorders>
              <w:left w:val="single" w:sz="6" w:space="0" w:color="000000"/>
              <w:right w:val="single" w:sz="6" w:space="0" w:color="000000"/>
            </w:tcBorders>
            <w:vAlign w:val="center"/>
          </w:tcPr>
          <w:p>
            <w:pPr>
              <w:pStyle w:val="20"/>
            </w:pPr>
            <w:r>
              <w:t>保障各项工作正常运转</w:t>
            </w:r>
          </w:p>
        </w:tc>
        <w:tc>
          <w:tcPr>
            <w:tcW w:w="2551" w:type="dxa"/>
            <w:tcBorders>
              <w:left w:val="single" w:sz="6" w:space="0" w:color="000000"/>
              <w:right w:val="single" w:sz="6" w:space="0" w:color="000000"/>
            </w:tcBorders>
            <w:vAlign w:val="center"/>
          </w:tcPr>
          <w:p>
            <w:pPr>
              <w:pStyle w:val="20"/>
            </w:pPr>
            <w:r>
              <w:t>正常运转</w:t>
            </w:r>
          </w:p>
        </w:tc>
        <w:tc>
          <w:tcPr>
            <w:tcW w:w="2268" w:type="dxa"/>
            <w:vAlign w:val="center"/>
          </w:tcPr>
          <w:p>
            <w:pPr>
              <w:pStyle w:val="20"/>
            </w:pPr>
            <w:r>
              <w:t>机关运转情况</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5、培训经费绩效目标表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1.全面提升我区纪检监察干部队伍素质，打造敢于监督、善于监督、忠诚干净担当的干部队伍。</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培训班次</w:t>
            </w:r>
          </w:p>
        </w:tc>
        <w:tc>
          <w:tcPr>
            <w:tcW w:w="2835" w:type="dxa"/>
            <w:tcBorders>
              <w:left w:val="single" w:sz="6" w:space="0" w:color="000000"/>
              <w:right w:val="single" w:sz="6" w:space="0" w:color="000000"/>
            </w:tcBorders>
            <w:vAlign w:val="center"/>
          </w:tcPr>
          <w:p>
            <w:pPr>
              <w:pStyle w:val="20"/>
            </w:pPr>
            <w:r>
              <w:t>年度内组织培训的班次。</w:t>
            </w:r>
          </w:p>
        </w:tc>
        <w:tc>
          <w:tcPr>
            <w:tcW w:w="2551" w:type="dxa"/>
            <w:tcBorders>
              <w:left w:val="single" w:sz="6" w:space="0" w:color="000000"/>
              <w:right w:val="single" w:sz="6" w:space="0" w:color="000000"/>
            </w:tcBorders>
            <w:vAlign w:val="center"/>
          </w:tcPr>
          <w:p>
            <w:pPr>
              <w:pStyle w:val="20"/>
            </w:pPr>
            <w:r>
              <w:t>≥20次</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培训出勤率</w:t>
            </w:r>
          </w:p>
        </w:tc>
        <w:tc>
          <w:tcPr>
            <w:tcW w:w="2835" w:type="dxa"/>
            <w:tcBorders>
              <w:left w:val="single" w:sz="6" w:space="0" w:color="000000"/>
              <w:right w:val="single" w:sz="6" w:space="0" w:color="000000"/>
            </w:tcBorders>
            <w:vAlign w:val="center"/>
          </w:tcPr>
          <w:p>
            <w:pPr>
              <w:pStyle w:val="20"/>
            </w:pPr>
            <w:r>
              <w:t>培训出勤率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培训计划按期完成率</w:t>
            </w:r>
          </w:p>
        </w:tc>
        <w:tc>
          <w:tcPr>
            <w:tcW w:w="2835" w:type="dxa"/>
            <w:tcBorders>
              <w:left w:val="single" w:sz="6" w:space="0" w:color="000000"/>
              <w:right w:val="single" w:sz="6" w:space="0" w:color="000000"/>
            </w:tcBorders>
            <w:vAlign w:val="center"/>
          </w:tcPr>
          <w:p>
            <w:pPr>
              <w:pStyle w:val="20"/>
            </w:pPr>
            <w:r>
              <w:t>按期完成的培训计划占总培训计划的比率。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培训资料发放率</w:t>
            </w:r>
          </w:p>
        </w:tc>
        <w:tc>
          <w:tcPr>
            <w:tcW w:w="2835" w:type="dxa"/>
            <w:tcBorders>
              <w:left w:val="single" w:sz="6" w:space="0" w:color="000000"/>
              <w:right w:val="single" w:sz="6" w:space="0" w:color="000000"/>
            </w:tcBorders>
            <w:vAlign w:val="center"/>
          </w:tcPr>
          <w:p>
            <w:pPr>
              <w:pStyle w:val="20"/>
            </w:pPr>
            <w:r>
              <w:t>培训资料发放使用量占应发放量的比例（%）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培训覆盖率</w:t>
            </w:r>
          </w:p>
        </w:tc>
        <w:tc>
          <w:tcPr>
            <w:tcW w:w="2835" w:type="dxa"/>
            <w:tcBorders>
              <w:left w:val="single" w:sz="6" w:space="0" w:color="000000"/>
              <w:right w:val="single" w:sz="6" w:space="0" w:color="000000"/>
            </w:tcBorders>
            <w:vAlign w:val="center"/>
          </w:tcPr>
          <w:p>
            <w:pPr>
              <w:pStyle w:val="20"/>
            </w:pPr>
            <w:r>
              <w:t>实际参加培训人数占应参加培训人数的比率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参训职工能力提高</w:t>
            </w:r>
          </w:p>
        </w:tc>
        <w:tc>
          <w:tcPr>
            <w:tcW w:w="2835" w:type="dxa"/>
            <w:tcBorders>
              <w:left w:val="single" w:sz="6" w:space="0" w:color="000000"/>
              <w:right w:val="single" w:sz="6" w:space="0" w:color="000000"/>
            </w:tcBorders>
            <w:vAlign w:val="center"/>
          </w:tcPr>
          <w:p>
            <w:pPr>
              <w:pStyle w:val="20"/>
            </w:pPr>
            <w:r>
              <w:t>参加培训人员工作能力提升情况。</w:t>
            </w:r>
          </w:p>
        </w:tc>
        <w:tc>
          <w:tcPr>
            <w:tcW w:w="2551" w:type="dxa"/>
            <w:tcBorders>
              <w:left w:val="single" w:sz="6" w:space="0" w:color="000000"/>
              <w:right w:val="single" w:sz="6" w:space="0" w:color="000000"/>
            </w:tcBorders>
            <w:vAlign w:val="center"/>
          </w:tcPr>
          <w:p>
            <w:pPr>
              <w:pStyle w:val="20"/>
            </w:pPr>
            <w:r>
              <w:t>明显提高</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受训学员满意度</w:t>
            </w:r>
          </w:p>
        </w:tc>
        <w:tc>
          <w:tcPr>
            <w:tcW w:w="2835" w:type="dxa"/>
            <w:tcBorders>
              <w:left w:val="single" w:sz="6" w:space="0" w:color="000000"/>
              <w:right w:val="single" w:sz="6" w:space="0" w:color="000000"/>
            </w:tcBorders>
            <w:vAlign w:val="center"/>
          </w:tcPr>
          <w:p>
            <w:pPr>
              <w:pStyle w:val="20"/>
            </w:pPr>
            <w:r>
              <w:t>调查中满意和较满意的受训学员数量占调查总人数的比率。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6、青年路谈话点维修资金（以前年度）绩效目标表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1.完成谈话点维修工程，保障谈话点工作正常运转。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维修任务完成率（%）</w:t>
            </w:r>
          </w:p>
        </w:tc>
        <w:tc>
          <w:tcPr>
            <w:tcW w:w="2835" w:type="dxa"/>
            <w:tcBorders>
              <w:left w:val="single" w:sz="6" w:space="0" w:color="000000"/>
              <w:right w:val="single" w:sz="6" w:space="0" w:color="000000"/>
            </w:tcBorders>
            <w:vAlign w:val="center"/>
          </w:tcPr>
          <w:p>
            <w:pPr>
              <w:pStyle w:val="20"/>
            </w:pPr>
            <w:r>
              <w:t>维修任务完成率（%）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维修工程合格率</w:t>
            </w:r>
          </w:p>
        </w:tc>
        <w:tc>
          <w:tcPr>
            <w:tcW w:w="2835" w:type="dxa"/>
            <w:tcBorders>
              <w:left w:val="single" w:sz="6" w:space="0" w:color="000000"/>
              <w:right w:val="single" w:sz="6" w:space="0" w:color="000000"/>
            </w:tcBorders>
            <w:vAlign w:val="center"/>
          </w:tcPr>
          <w:p>
            <w:pPr>
              <w:pStyle w:val="20"/>
            </w:pPr>
            <w:r>
              <w:t>维修工程合格率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维修工程完成及时率</w:t>
            </w:r>
          </w:p>
        </w:tc>
        <w:tc>
          <w:tcPr>
            <w:tcW w:w="2835" w:type="dxa"/>
            <w:tcBorders>
              <w:left w:val="single" w:sz="6" w:space="0" w:color="000000"/>
              <w:right w:val="single" w:sz="6" w:space="0" w:color="000000"/>
            </w:tcBorders>
            <w:vAlign w:val="center"/>
          </w:tcPr>
          <w:p>
            <w:pPr>
              <w:pStyle w:val="20"/>
            </w:pPr>
            <w:r>
              <w:t>维修工程完成及时率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维修预算节支率</w:t>
            </w:r>
          </w:p>
        </w:tc>
        <w:tc>
          <w:tcPr>
            <w:tcW w:w="2835" w:type="dxa"/>
            <w:tcBorders>
              <w:left w:val="single" w:sz="6" w:space="0" w:color="000000"/>
              <w:right w:val="single" w:sz="6" w:space="0" w:color="000000"/>
            </w:tcBorders>
            <w:vAlign w:val="center"/>
          </w:tcPr>
          <w:p>
            <w:pPr>
              <w:pStyle w:val="20"/>
            </w:pPr>
            <w:r>
              <w:t>维修预算节支率</w:t>
            </w:r>
          </w:p>
        </w:tc>
        <w:tc>
          <w:tcPr>
            <w:tcW w:w="2551" w:type="dxa"/>
            <w:tcBorders>
              <w:left w:val="single" w:sz="6" w:space="0" w:color="000000"/>
              <w:right w:val="single" w:sz="6" w:space="0" w:color="000000"/>
            </w:tcBorders>
            <w:vAlign w:val="center"/>
          </w:tcPr>
          <w:p>
            <w:pPr>
              <w:pStyle w:val="20"/>
            </w:pPr>
            <w:r>
              <w:t>≥1%</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按期完成</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维修效果</w:t>
            </w:r>
          </w:p>
        </w:tc>
        <w:tc>
          <w:tcPr>
            <w:tcW w:w="2835" w:type="dxa"/>
            <w:tcBorders>
              <w:left w:val="single" w:sz="6" w:space="0" w:color="000000"/>
              <w:right w:val="single" w:sz="6" w:space="0" w:color="000000"/>
            </w:tcBorders>
            <w:vAlign w:val="center"/>
          </w:tcPr>
          <w:p>
            <w:pPr>
              <w:pStyle w:val="20"/>
            </w:pPr>
            <w:r>
              <w:t>维修效果</w:t>
            </w:r>
          </w:p>
        </w:tc>
        <w:tc>
          <w:tcPr>
            <w:tcW w:w="2551" w:type="dxa"/>
            <w:tcBorders>
              <w:left w:val="single" w:sz="6" w:space="0" w:color="000000"/>
              <w:right w:val="single" w:sz="6" w:space="0" w:color="000000"/>
            </w:tcBorders>
            <w:vAlign w:val="center"/>
          </w:tcPr>
          <w:p>
            <w:pPr>
              <w:pStyle w:val="20"/>
            </w:pPr>
            <w:r>
              <w:t>效果好</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维修工程良性运行</w:t>
            </w:r>
          </w:p>
        </w:tc>
        <w:tc>
          <w:tcPr>
            <w:tcW w:w="2835" w:type="dxa"/>
            <w:tcBorders>
              <w:left w:val="single" w:sz="6" w:space="0" w:color="000000"/>
              <w:right w:val="single" w:sz="6" w:space="0" w:color="000000"/>
            </w:tcBorders>
            <w:vAlign w:val="center"/>
          </w:tcPr>
          <w:p>
            <w:pPr>
              <w:pStyle w:val="20"/>
            </w:pPr>
            <w:r>
              <w:t>维修工程良性运行</w:t>
            </w:r>
          </w:p>
        </w:tc>
        <w:tc>
          <w:tcPr>
            <w:tcW w:w="2551" w:type="dxa"/>
            <w:tcBorders>
              <w:left w:val="single" w:sz="6" w:space="0" w:color="000000"/>
              <w:right w:val="single" w:sz="6" w:space="0" w:color="000000"/>
            </w:tcBorders>
            <w:vAlign w:val="center"/>
          </w:tcPr>
          <w:p>
            <w:pPr>
              <w:pStyle w:val="20"/>
            </w:pPr>
            <w:r>
              <w:t>良性运行</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职工对工程满意度</w:t>
            </w:r>
          </w:p>
        </w:tc>
        <w:tc>
          <w:tcPr>
            <w:tcW w:w="2835" w:type="dxa"/>
            <w:tcBorders>
              <w:left w:val="single" w:sz="6" w:space="0" w:color="000000"/>
              <w:right w:val="single" w:sz="6" w:space="0" w:color="000000"/>
            </w:tcBorders>
            <w:vAlign w:val="center"/>
          </w:tcPr>
          <w:p>
            <w:pPr>
              <w:pStyle w:val="20"/>
            </w:pPr>
            <w:r>
              <w:t>使用人员对维修工程满意度</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7、视频会议室相关费用绩效目标表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1.保障视频会议顺利召开。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系统故障率</w:t>
            </w:r>
          </w:p>
        </w:tc>
        <w:tc>
          <w:tcPr>
            <w:tcW w:w="2835" w:type="dxa"/>
            <w:tcBorders>
              <w:left w:val="single" w:sz="6" w:space="0" w:color="000000"/>
              <w:right w:val="single" w:sz="6" w:space="0" w:color="000000"/>
            </w:tcBorders>
            <w:vAlign w:val="center"/>
          </w:tcPr>
          <w:p>
            <w:pPr>
              <w:pStyle w:val="20"/>
            </w:pPr>
            <w:r>
              <w:t>系统出故障时间占总运行时间的比率（反向指标）</w:t>
            </w:r>
          </w:p>
        </w:tc>
        <w:tc>
          <w:tcPr>
            <w:tcW w:w="2551" w:type="dxa"/>
            <w:tcBorders>
              <w:left w:val="single" w:sz="6" w:space="0" w:color="000000"/>
              <w:right w:val="single" w:sz="6" w:space="0" w:color="000000"/>
            </w:tcBorders>
            <w:vAlign w:val="center"/>
          </w:tcPr>
          <w:p>
            <w:pPr>
              <w:pStyle w:val="20"/>
            </w:pPr>
            <w:r>
              <w:t>≤10%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故障排除率</w:t>
            </w:r>
          </w:p>
        </w:tc>
        <w:tc>
          <w:tcPr>
            <w:tcW w:w="2835" w:type="dxa"/>
            <w:tcBorders>
              <w:left w:val="single" w:sz="6" w:space="0" w:color="000000"/>
              <w:right w:val="single" w:sz="6" w:space="0" w:color="000000"/>
            </w:tcBorders>
            <w:vAlign w:val="center"/>
          </w:tcPr>
          <w:p>
            <w:pPr>
              <w:pStyle w:val="20"/>
            </w:pPr>
            <w:r>
              <w:t>排除故障次数占故障发生次数的比率</w:t>
            </w:r>
          </w:p>
        </w:tc>
        <w:tc>
          <w:tcPr>
            <w:tcW w:w="2551" w:type="dxa"/>
            <w:tcBorders>
              <w:left w:val="single" w:sz="6" w:space="0" w:color="000000"/>
              <w:right w:val="single" w:sz="6" w:space="0" w:color="000000"/>
            </w:tcBorders>
            <w:vAlign w:val="center"/>
          </w:tcPr>
          <w:p>
            <w:pPr>
              <w:pStyle w:val="20"/>
            </w:pPr>
            <w:r>
              <w:t>≥90%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业务处理及时率</w:t>
            </w:r>
          </w:p>
        </w:tc>
        <w:tc>
          <w:tcPr>
            <w:tcW w:w="2835" w:type="dxa"/>
            <w:tcBorders>
              <w:left w:val="single" w:sz="6" w:space="0" w:color="000000"/>
              <w:right w:val="single" w:sz="6" w:space="0" w:color="000000"/>
            </w:tcBorders>
            <w:vAlign w:val="center"/>
          </w:tcPr>
          <w:p>
            <w:pPr>
              <w:pStyle w:val="20"/>
            </w:pPr>
            <w:r>
              <w:t>及时处理业务数占总业务数的比率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综合利用率</w:t>
            </w:r>
          </w:p>
        </w:tc>
        <w:tc>
          <w:tcPr>
            <w:tcW w:w="2835" w:type="dxa"/>
            <w:tcBorders>
              <w:left w:val="single" w:sz="6" w:space="0" w:color="000000"/>
              <w:right w:val="single" w:sz="6" w:space="0" w:color="000000"/>
            </w:tcBorders>
            <w:vAlign w:val="center"/>
          </w:tcPr>
          <w:p>
            <w:pPr>
              <w:pStyle w:val="20"/>
            </w:pPr>
            <w:r>
              <w:t>系统的利用、使用率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受益职工数</w:t>
            </w:r>
          </w:p>
        </w:tc>
        <w:tc>
          <w:tcPr>
            <w:tcW w:w="2835" w:type="dxa"/>
            <w:tcBorders>
              <w:left w:val="single" w:sz="6" w:space="0" w:color="000000"/>
              <w:right w:val="single" w:sz="6" w:space="0" w:color="000000"/>
            </w:tcBorders>
            <w:vAlign w:val="center"/>
          </w:tcPr>
          <w:p>
            <w:pPr>
              <w:pStyle w:val="20"/>
            </w:pPr>
            <w:r>
              <w:t>单位收益职工的数量</w:t>
            </w:r>
          </w:p>
        </w:tc>
        <w:tc>
          <w:tcPr>
            <w:tcW w:w="2551" w:type="dxa"/>
            <w:tcBorders>
              <w:left w:val="single" w:sz="6" w:space="0" w:color="000000"/>
              <w:right w:val="single" w:sz="6" w:space="0" w:color="000000"/>
            </w:tcBorders>
            <w:vAlign w:val="center"/>
          </w:tcPr>
          <w:p>
            <w:pPr>
              <w:pStyle w:val="20"/>
            </w:pPr>
            <w:r>
              <w:t>≥100人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视频会议室可持续使用年限</w:t>
            </w:r>
          </w:p>
        </w:tc>
        <w:tc>
          <w:tcPr>
            <w:tcW w:w="2835" w:type="dxa"/>
            <w:tcBorders>
              <w:left w:val="single" w:sz="6" w:space="0" w:color="000000"/>
              <w:right w:val="single" w:sz="6" w:space="0" w:color="000000"/>
            </w:tcBorders>
            <w:vAlign w:val="center"/>
          </w:tcPr>
          <w:p>
            <w:pPr>
              <w:pStyle w:val="20"/>
            </w:pPr>
            <w:r>
              <w:t>视频会议室可持续使用年限</w:t>
            </w:r>
          </w:p>
        </w:tc>
        <w:tc>
          <w:tcPr>
            <w:tcW w:w="2551" w:type="dxa"/>
            <w:tcBorders>
              <w:left w:val="single" w:sz="6" w:space="0" w:color="000000"/>
              <w:right w:val="single" w:sz="6" w:space="0" w:color="000000"/>
            </w:tcBorders>
            <w:vAlign w:val="center"/>
          </w:tcPr>
          <w:p>
            <w:pPr>
              <w:pStyle w:val="20"/>
            </w:pPr>
            <w:r>
              <w:t>≥10年</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使用人员满意度</w:t>
            </w:r>
          </w:p>
        </w:tc>
        <w:tc>
          <w:tcPr>
            <w:tcW w:w="2835" w:type="dxa"/>
            <w:tcBorders>
              <w:left w:val="single" w:sz="6" w:space="0" w:color="000000"/>
              <w:right w:val="single" w:sz="6" w:space="0" w:color="000000"/>
            </w:tcBorders>
            <w:vAlign w:val="center"/>
          </w:tcPr>
          <w:p>
            <w:pPr>
              <w:pStyle w:val="20"/>
            </w:pPr>
            <w:r>
              <w:t>使用人员满意和较满意的数量占调查总人数的比例</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8、谈话室运行维护费绩效目标表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办理案件数</w:t>
            </w:r>
          </w:p>
        </w:tc>
        <w:tc>
          <w:tcPr>
            <w:tcW w:w="2835" w:type="dxa"/>
            <w:tcBorders>
              <w:left w:val="single" w:sz="6" w:space="0" w:color="000000"/>
              <w:right w:val="single" w:sz="6" w:space="0" w:color="000000"/>
            </w:tcBorders>
            <w:vAlign w:val="center"/>
          </w:tcPr>
          <w:p>
            <w:pPr>
              <w:pStyle w:val="20"/>
            </w:pPr>
            <w:r>
              <w:t>实际立案数量。</w:t>
            </w:r>
          </w:p>
        </w:tc>
        <w:tc>
          <w:tcPr>
            <w:tcW w:w="2551" w:type="dxa"/>
            <w:tcBorders>
              <w:left w:val="single" w:sz="6" w:space="0" w:color="000000"/>
              <w:right w:val="single" w:sz="6" w:space="0" w:color="000000"/>
            </w:tcBorders>
            <w:vAlign w:val="center"/>
          </w:tcPr>
          <w:p>
            <w:pPr>
              <w:pStyle w:val="20"/>
            </w:pPr>
            <w:r>
              <w:t>≥60个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处理问题线索数</w:t>
            </w:r>
          </w:p>
        </w:tc>
        <w:tc>
          <w:tcPr>
            <w:tcW w:w="2835" w:type="dxa"/>
            <w:tcBorders>
              <w:left w:val="single" w:sz="6" w:space="0" w:color="000000"/>
              <w:right w:val="single" w:sz="6" w:space="0" w:color="000000"/>
            </w:tcBorders>
            <w:vAlign w:val="center"/>
          </w:tcPr>
          <w:p>
            <w:pPr>
              <w:pStyle w:val="20"/>
            </w:pPr>
            <w:r>
              <w:t>实际处理的问题线索数量。</w:t>
            </w:r>
          </w:p>
        </w:tc>
        <w:tc>
          <w:tcPr>
            <w:tcW w:w="2551" w:type="dxa"/>
            <w:tcBorders>
              <w:left w:val="single" w:sz="6" w:space="0" w:color="000000"/>
              <w:right w:val="single" w:sz="6" w:space="0" w:color="000000"/>
            </w:tcBorders>
            <w:vAlign w:val="center"/>
          </w:tcPr>
          <w:p>
            <w:pPr>
              <w:pStyle w:val="20"/>
            </w:pPr>
            <w:r>
              <w:t>≥150个</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案件办结率</w:t>
            </w:r>
          </w:p>
        </w:tc>
        <w:tc>
          <w:tcPr>
            <w:tcW w:w="2835" w:type="dxa"/>
            <w:tcBorders>
              <w:left w:val="single" w:sz="6" w:space="0" w:color="000000"/>
              <w:right w:val="single" w:sz="6" w:space="0" w:color="000000"/>
            </w:tcBorders>
            <w:vAlign w:val="center"/>
          </w:tcPr>
          <w:p>
            <w:pPr>
              <w:pStyle w:val="20"/>
            </w:pPr>
            <w:r>
              <w:t>办结案件数量占立案案件总数的比率。</w:t>
            </w:r>
          </w:p>
        </w:tc>
        <w:tc>
          <w:tcPr>
            <w:tcW w:w="2551" w:type="dxa"/>
            <w:tcBorders>
              <w:left w:val="single" w:sz="6" w:space="0" w:color="000000"/>
              <w:right w:val="single" w:sz="6" w:space="0" w:color="000000"/>
            </w:tcBorders>
            <w:vAlign w:val="center"/>
          </w:tcPr>
          <w:p>
            <w:pPr>
              <w:pStyle w:val="20"/>
            </w:pPr>
            <w:r>
              <w:t>≥70%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违纪人员处理率</w:t>
            </w:r>
          </w:p>
        </w:tc>
        <w:tc>
          <w:tcPr>
            <w:tcW w:w="2835" w:type="dxa"/>
            <w:tcBorders>
              <w:left w:val="single" w:sz="6" w:space="0" w:color="000000"/>
              <w:right w:val="single" w:sz="6" w:space="0" w:color="000000"/>
            </w:tcBorders>
            <w:vAlign w:val="center"/>
          </w:tcPr>
          <w:p>
            <w:pPr>
              <w:pStyle w:val="20"/>
            </w:pPr>
            <w:r>
              <w:t>年度内处理违纪人员的数量占立案人员数量的比率。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党政纪处分人数</w:t>
            </w:r>
          </w:p>
        </w:tc>
        <w:tc>
          <w:tcPr>
            <w:tcW w:w="2835" w:type="dxa"/>
            <w:tcBorders>
              <w:left w:val="single" w:sz="6" w:space="0" w:color="000000"/>
              <w:right w:val="single" w:sz="6" w:space="0" w:color="000000"/>
            </w:tcBorders>
            <w:vAlign w:val="center"/>
          </w:tcPr>
          <w:p>
            <w:pPr>
              <w:pStyle w:val="20"/>
            </w:pPr>
            <w:r>
              <w:t>年度内受党政纪处分的人数。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反腐败高压态势</w:t>
            </w:r>
          </w:p>
        </w:tc>
        <w:tc>
          <w:tcPr>
            <w:tcW w:w="2835" w:type="dxa"/>
            <w:tcBorders>
              <w:left w:val="single" w:sz="6" w:space="0" w:color="000000"/>
              <w:right w:val="single" w:sz="6" w:space="0" w:color="000000"/>
            </w:tcBorders>
            <w:vAlign w:val="center"/>
          </w:tcPr>
          <w:p>
            <w:pPr>
              <w:pStyle w:val="20"/>
            </w:pPr>
            <w:r>
              <w:t>巩固全区反腐败压倒性胜利</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调查中满意和较满意的人数占调查总人数的比率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9、宣传教育费绩效目标表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组织参观学习人次</w:t>
            </w:r>
          </w:p>
        </w:tc>
        <w:tc>
          <w:tcPr>
            <w:tcW w:w="2835" w:type="dxa"/>
            <w:tcBorders>
              <w:left w:val="single" w:sz="6" w:space="0" w:color="000000"/>
              <w:right w:val="single" w:sz="6" w:space="0" w:color="000000"/>
            </w:tcBorders>
            <w:vAlign w:val="center"/>
          </w:tcPr>
          <w:p>
            <w:pPr>
              <w:pStyle w:val="20"/>
            </w:pPr>
            <w:r>
              <w:t>组织前往宣传教育基地参观的人次。</w:t>
            </w:r>
          </w:p>
        </w:tc>
        <w:tc>
          <w:tcPr>
            <w:tcW w:w="2551" w:type="dxa"/>
            <w:tcBorders>
              <w:left w:val="single" w:sz="6" w:space="0" w:color="000000"/>
              <w:right w:val="single" w:sz="6" w:space="0" w:color="000000"/>
            </w:tcBorders>
            <w:vAlign w:val="center"/>
          </w:tcPr>
          <w:p>
            <w:pPr>
              <w:pStyle w:val="20"/>
            </w:pPr>
            <w:r>
              <w:t>≥100人次</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教育活动覆盖率</w:t>
            </w:r>
          </w:p>
        </w:tc>
        <w:tc>
          <w:tcPr>
            <w:tcW w:w="2835" w:type="dxa"/>
            <w:tcBorders>
              <w:left w:val="single" w:sz="6" w:space="0" w:color="000000"/>
              <w:right w:val="single" w:sz="6" w:space="0" w:color="000000"/>
            </w:tcBorders>
            <w:vAlign w:val="center"/>
          </w:tcPr>
          <w:p>
            <w:pPr>
              <w:pStyle w:val="20"/>
            </w:pPr>
            <w:r>
              <w:t>实际参加活动人数占计划参加活动人数的比率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廉政教育按期完成率</w:t>
            </w:r>
          </w:p>
        </w:tc>
        <w:tc>
          <w:tcPr>
            <w:tcW w:w="2835" w:type="dxa"/>
            <w:tcBorders>
              <w:left w:val="single" w:sz="6" w:space="0" w:color="000000"/>
              <w:right w:val="single" w:sz="6" w:space="0" w:color="000000"/>
            </w:tcBorders>
            <w:vAlign w:val="center"/>
          </w:tcPr>
          <w:p>
            <w:pPr>
              <w:pStyle w:val="20"/>
            </w:pPr>
            <w:r>
              <w:t>按期完成教育计划占年初教育计划的比率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工作计划</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宣传活动持续影响人数</w:t>
            </w:r>
          </w:p>
        </w:tc>
        <w:tc>
          <w:tcPr>
            <w:tcW w:w="2835" w:type="dxa"/>
            <w:tcBorders>
              <w:left w:val="single" w:sz="6" w:space="0" w:color="000000"/>
              <w:right w:val="single" w:sz="6" w:space="0" w:color="000000"/>
            </w:tcBorders>
            <w:vAlign w:val="center"/>
          </w:tcPr>
          <w:p>
            <w:pPr>
              <w:pStyle w:val="20"/>
            </w:pPr>
            <w:r>
              <w:t>宣传活动通过媒体持续影响人数</w:t>
            </w:r>
          </w:p>
        </w:tc>
        <w:tc>
          <w:tcPr>
            <w:tcW w:w="2551" w:type="dxa"/>
            <w:tcBorders>
              <w:left w:val="single" w:sz="6" w:space="0" w:color="000000"/>
              <w:right w:val="single" w:sz="6" w:space="0" w:color="000000"/>
            </w:tcBorders>
            <w:vAlign w:val="center"/>
          </w:tcPr>
          <w:p>
            <w:pPr>
              <w:pStyle w:val="20"/>
            </w:pPr>
            <w:r>
              <w:t>≥200人</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报刊杂志续订率</w:t>
            </w:r>
          </w:p>
        </w:tc>
        <w:tc>
          <w:tcPr>
            <w:tcW w:w="2835" w:type="dxa"/>
            <w:tcBorders>
              <w:left w:val="single" w:sz="6" w:space="0" w:color="000000"/>
              <w:right w:val="single" w:sz="6" w:space="0" w:color="000000"/>
            </w:tcBorders>
            <w:vAlign w:val="center"/>
          </w:tcPr>
          <w:p>
            <w:pPr>
              <w:pStyle w:val="20"/>
            </w:pPr>
            <w:r>
              <w:t>续订纪检监察报刊杂志的单位数量较上年的比率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活动参与率</w:t>
            </w:r>
          </w:p>
        </w:tc>
        <w:tc>
          <w:tcPr>
            <w:tcW w:w="2835" w:type="dxa"/>
            <w:tcBorders>
              <w:left w:val="single" w:sz="6" w:space="0" w:color="000000"/>
              <w:right w:val="single" w:sz="6" w:space="0" w:color="000000"/>
            </w:tcBorders>
            <w:vAlign w:val="center"/>
          </w:tcPr>
          <w:p>
            <w:pPr>
              <w:pStyle w:val="20"/>
            </w:pPr>
            <w:r>
              <w:t>应参加活动人次占实际参加活动人次的比率。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参与活动对象满意度</w:t>
            </w:r>
          </w:p>
        </w:tc>
        <w:tc>
          <w:tcPr>
            <w:tcW w:w="2835" w:type="dxa"/>
            <w:tcBorders>
              <w:left w:val="single" w:sz="6" w:space="0" w:color="000000"/>
              <w:right w:val="single" w:sz="6" w:space="0" w:color="000000"/>
            </w:tcBorders>
            <w:vAlign w:val="center"/>
          </w:tcPr>
          <w:p>
            <w:pPr>
              <w:pStyle w:val="20"/>
            </w:pPr>
            <w:r>
              <w:t>活动中满意和较满意的人数占总参与人数的比率。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10、巡察工作经费绩效目标表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巡察单位数量</w:t>
            </w:r>
          </w:p>
        </w:tc>
        <w:tc>
          <w:tcPr>
            <w:tcW w:w="2835" w:type="dxa"/>
            <w:tcBorders>
              <w:left w:val="single" w:sz="6" w:space="0" w:color="000000"/>
              <w:right w:val="single" w:sz="6" w:space="0" w:color="000000"/>
            </w:tcBorders>
            <w:vAlign w:val="center"/>
          </w:tcPr>
          <w:p>
            <w:pPr>
              <w:pStyle w:val="20"/>
            </w:pPr>
            <w:r>
              <w:t>开展巡察的单位数量。</w:t>
            </w:r>
          </w:p>
        </w:tc>
        <w:tc>
          <w:tcPr>
            <w:tcW w:w="2551" w:type="dxa"/>
            <w:tcBorders>
              <w:left w:val="single" w:sz="6" w:space="0" w:color="000000"/>
              <w:right w:val="single" w:sz="6" w:space="0" w:color="000000"/>
            </w:tcBorders>
            <w:vAlign w:val="center"/>
          </w:tcPr>
          <w:p>
            <w:pPr>
              <w:pStyle w:val="20"/>
            </w:pPr>
            <w:r>
              <w:t>≥10家</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巡察监督覆盖率</w:t>
            </w:r>
          </w:p>
        </w:tc>
        <w:tc>
          <w:tcPr>
            <w:tcW w:w="2835" w:type="dxa"/>
            <w:tcBorders>
              <w:left w:val="single" w:sz="6" w:space="0" w:color="000000"/>
              <w:right w:val="single" w:sz="6" w:space="0" w:color="000000"/>
            </w:tcBorders>
            <w:vAlign w:val="center"/>
          </w:tcPr>
          <w:p>
            <w:pPr>
              <w:pStyle w:val="20"/>
            </w:pPr>
            <w:r>
              <w:t>实际开展巡察监督的对象数量占应巡察对象总数的比率。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巡察工作开展情况</w:t>
            </w:r>
          </w:p>
        </w:tc>
        <w:tc>
          <w:tcPr>
            <w:tcW w:w="2835" w:type="dxa"/>
            <w:tcBorders>
              <w:left w:val="single" w:sz="6" w:space="0" w:color="000000"/>
              <w:right w:val="single" w:sz="6" w:space="0" w:color="000000"/>
            </w:tcBorders>
            <w:vAlign w:val="center"/>
          </w:tcPr>
          <w:p>
            <w:pPr>
              <w:pStyle w:val="20"/>
            </w:pPr>
            <w:r>
              <w:t>巡察工作实际完成量占计划完成量的比率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控制在预算内</w:t>
            </w:r>
          </w:p>
        </w:tc>
        <w:tc>
          <w:tcPr>
            <w:tcW w:w="2835" w:type="dxa"/>
            <w:tcBorders>
              <w:left w:val="single" w:sz="6" w:space="0" w:color="000000"/>
              <w:right w:val="single" w:sz="6" w:space="0" w:color="000000"/>
            </w:tcBorders>
            <w:vAlign w:val="center"/>
          </w:tcPr>
          <w:p>
            <w:pPr>
              <w:pStyle w:val="20"/>
            </w:pPr>
            <w:r>
              <w:t>控制在预算内</w:t>
            </w:r>
          </w:p>
        </w:tc>
        <w:tc>
          <w:tcPr>
            <w:tcW w:w="2551" w:type="dxa"/>
            <w:tcBorders>
              <w:left w:val="single" w:sz="6" w:space="0" w:color="000000"/>
              <w:right w:val="single" w:sz="6" w:space="0" w:color="000000"/>
            </w:tcBorders>
            <w:vAlign w:val="center"/>
          </w:tcPr>
          <w:p>
            <w:pPr>
              <w:pStyle w:val="20"/>
            </w:pPr>
            <w:r>
              <w:t>预算内</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问题整改率</w:t>
            </w:r>
          </w:p>
        </w:tc>
        <w:tc>
          <w:tcPr>
            <w:tcW w:w="2835" w:type="dxa"/>
            <w:tcBorders>
              <w:left w:val="single" w:sz="6" w:space="0" w:color="000000"/>
              <w:right w:val="single" w:sz="6" w:space="0" w:color="000000"/>
            </w:tcBorders>
            <w:vAlign w:val="center"/>
          </w:tcPr>
          <w:p>
            <w:pPr>
              <w:pStyle w:val="20"/>
            </w:pPr>
            <w:r>
              <w:t>已整改问题数量占发现问题总数的比率。</w:t>
            </w:r>
          </w:p>
        </w:tc>
        <w:tc>
          <w:tcPr>
            <w:tcW w:w="2551" w:type="dxa"/>
            <w:tcBorders>
              <w:left w:val="single" w:sz="6" w:space="0" w:color="000000"/>
              <w:right w:val="single" w:sz="6" w:space="0" w:color="000000"/>
            </w:tcBorders>
            <w:vAlign w:val="center"/>
          </w:tcPr>
          <w:p>
            <w:pPr>
              <w:pStyle w:val="20"/>
            </w:pPr>
            <w:r>
              <w:t>≥80%</w:t>
            </w:r>
          </w:p>
        </w:tc>
        <w:tc>
          <w:tcPr>
            <w:tcW w:w="2268" w:type="dxa"/>
            <w:vAlign w:val="center"/>
          </w:tcPr>
          <w:p>
            <w:pPr>
              <w:pStyle w:val="20"/>
            </w:pPr>
            <w:r>
              <w:t>计划标准</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巡察形成震慑</w:t>
            </w:r>
          </w:p>
        </w:tc>
        <w:tc>
          <w:tcPr>
            <w:tcW w:w="2835" w:type="dxa"/>
            <w:tcBorders>
              <w:left w:val="single" w:sz="6" w:space="0" w:color="000000"/>
              <w:right w:val="single" w:sz="6" w:space="0" w:color="000000"/>
            </w:tcBorders>
            <w:vAlign w:val="center"/>
          </w:tcPr>
          <w:p>
            <w:pPr>
              <w:pStyle w:val="20"/>
            </w:pPr>
            <w:r>
              <w:t>巡察震慑效果</w:t>
            </w:r>
          </w:p>
        </w:tc>
        <w:tc>
          <w:tcPr>
            <w:tcW w:w="2551" w:type="dxa"/>
            <w:tcBorders>
              <w:left w:val="single" w:sz="6" w:space="0" w:color="000000"/>
              <w:right w:val="single" w:sz="6" w:space="0" w:color="000000"/>
            </w:tcBorders>
            <w:vAlign w:val="center"/>
          </w:tcPr>
          <w:p>
            <w:pPr>
              <w:pStyle w:val="20"/>
            </w:pPr>
            <w:r>
              <w:t>效果良好</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被巡察单位满意度</w:t>
            </w:r>
          </w:p>
        </w:tc>
        <w:tc>
          <w:tcPr>
            <w:tcW w:w="2835" w:type="dxa"/>
            <w:tcBorders>
              <w:left w:val="single" w:sz="6" w:space="0" w:color="000000"/>
              <w:right w:val="single" w:sz="6" w:space="0" w:color="000000"/>
            </w:tcBorders>
            <w:vAlign w:val="center"/>
          </w:tcPr>
          <w:p>
            <w:pPr>
              <w:pStyle w:val="20"/>
            </w:pPr>
            <w:r>
              <w:t>被巡察单位对巡查组作风纪律评估</w:t>
            </w:r>
          </w:p>
        </w:tc>
        <w:tc>
          <w:tcPr>
            <w:tcW w:w="2551" w:type="dxa"/>
            <w:tcBorders>
              <w:left w:val="single" w:sz="6" w:space="0" w:color="000000"/>
              <w:right w:val="single" w:sz="6" w:space="0" w:color="000000"/>
            </w:tcBorders>
            <w:vAlign w:val="center"/>
          </w:tcPr>
          <w:p>
            <w:pPr>
              <w:pStyle w:val="20"/>
            </w:pPr>
            <w:r>
              <w:t>≥95分</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ind w:left="0" w:firstLineChars="200" w:firstLine="560"/>
        <w:rPr>
          <w:rFonts w:eastAsia="方正仿宋_GBK"/>
          <w:color w:val="000000"/>
          <w:sz w:val="28"/>
        </w:rPr>
      </w:pPr>
      <w:r>
        <w:rPr>
          <w:rFonts w:eastAsia="方正仿宋_GBK" w:hint="eastAsia"/>
          <w:color w:val="000000"/>
          <w:sz w:val="28"/>
        </w:rPr>
        <w:t>2022年此项目无数据</w:t>
      </w:r>
      <w:r>
        <w:rPr>
          <w:rFonts w:eastAsia="方正仿宋_GBK"/>
          <w:color w:val="000000"/>
          <w:sz w:val="28"/>
        </w:rPr>
        <w:t>。</w:t>
      </w:r>
    </w:p>
    <w:p>
      <w:pPr>
        <w:spacing w:before="0" w:after="0" w:line="500" w:lineRule="exact"/>
        <w:ind w:firstLine="560"/>
        <w:jc w:val="left"/>
        <w:outlineLvl w:val="9"/>
      </w:pPr>
      <w:r>
        <w:rPr>
          <w:rFonts w:ascii="Times New Roman" w:eastAsia="方正仿宋_GBK" w:cs="Times New Roman" w:hAnsi="Times New Roman"/>
          <w:b w:val="0"/>
          <w:color w:val="000000"/>
          <w:sz w:val="28"/>
        </w:rPr>
        <w:t>2022年，中国共产党唐山市丰南区纪律检查委员会本级安排政府采购预算0.00万元。具体内容见下表。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中国共产党唐山市丰南区纪律检查委员会本级上年末固定资产金额为644.32万元（详见下表）。本年度拟购置固定资产总额为131.22万元。</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314001中国共产党唐山市丰南区纪律检查委员会本级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spacing w:line="300" w:lineRule="exact"/>
              <w:jc w:val="left"/>
              <w:rPr>
                <w:rFonts w:eastAsia="方正仿宋_GBK"/>
                <w:color w:val="000000"/>
              </w:rPr>
            </w:pPr>
            <w:r>
              <w:rPr>
                <w:rFonts w:eastAsia="方正仿宋_GBK" w:hint="eastAsia"/>
                <w:color w:val="000000"/>
              </w:rPr>
              <w:t>固定资产</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方正书宋_GBK" w:eastAsia="方正书宋_GBK" w:hint="eastAsia"/>
                <w:color w:val="000000"/>
                <w14:textFill>
                  <w14:solidFill>
                    <w14:srgbClr w14:val="000000"/>
                  </w14:solidFill>
                </w14:textFill>
              </w:rPr>
              <w:softHyphen/>
            </w:r>
            <w:r>
              <w:rPr>
                <w:rFonts w:ascii="仿宋" w:eastAsia="仿宋" w:cs="宋体" w:hint="eastAsia"/>
                <w:color w:val="000000"/>
                <w:kern w:val="0"/>
                <w:sz w:val="32"/>
                <w:szCs w:val="32"/>
                <w14:textFill>
                  <w14:solidFill>
                    <w14:srgbClr w14:val="000000"/>
                  </w14:solidFill>
                </w14:textFill>
              </w:rPr>
              <w:t>—</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644.32</w:t>
            </w:r>
          </w:p>
        </w:tc>
      </w:tr>
      <w:tr>
        <w:tc>
          <w:tcPr>
            <w:tcW w:w="7370" w:type="dxa"/>
            <w:vAlign w:val="center"/>
          </w:tcPr>
          <w:p>
            <w:pPr>
              <w:spacing w:line="300" w:lineRule="exact"/>
              <w:jc w:val="left"/>
              <w:rPr>
                <w:rFonts w:eastAsia="方正仿宋_GBK"/>
                <w:color w:val="000000"/>
              </w:rPr>
            </w:pPr>
            <w:r>
              <w:rPr>
                <w:rFonts w:eastAsia="方正仿宋_GBK" w:hint="eastAsia"/>
                <w:color w:val="000000"/>
              </w:rPr>
              <w:t>一、房屋（平方米）</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30</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2</w:t>
            </w:r>
          </w:p>
        </w:tc>
      </w:tr>
      <w:tr>
        <w:tc>
          <w:tcPr>
            <w:tcW w:w="7370" w:type="dxa"/>
            <w:vAlign w:val="center"/>
          </w:tcPr>
          <w:p>
            <w:pPr>
              <w:spacing w:line="300" w:lineRule="exact"/>
              <w:jc w:val="left"/>
              <w:rPr>
                <w:rFonts w:eastAsia="方正仿宋_GBK"/>
                <w:color w:val="000000"/>
              </w:rPr>
            </w:pPr>
            <w:r>
              <w:rPr>
                <w:rFonts w:eastAsia="方正仿宋_GBK" w:hint="eastAsia"/>
                <w:color w:val="000000"/>
              </w:rPr>
              <w:t>二、车辆（台、辆）</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17</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hint="eastAsia"/>
                <w:color w:val="000000"/>
                <w:sz w:val="24"/>
              </w:rPr>
              <w:t>206.33</w:t>
            </w:r>
          </w:p>
        </w:tc>
      </w:tr>
      <w:tr>
        <w:trPr>
          <w:trHeight w:val="565"/>
        </w:trPr>
        <w:tc>
          <w:tcPr>
            <w:tcW w:w="7370" w:type="dxa"/>
            <w:vAlign w:val="center"/>
          </w:tcPr>
          <w:p>
            <w:pPr>
              <w:spacing w:line="300" w:lineRule="exact"/>
              <w:jc w:val="left"/>
              <w:rPr>
                <w:rFonts w:eastAsia="方正仿宋_GBK"/>
                <w:color w:val="000000"/>
              </w:rPr>
            </w:pPr>
            <w:r>
              <w:rPr>
                <w:rFonts w:eastAsia="方正仿宋_GBK" w:hint="eastAsia"/>
                <w:color w:val="000000"/>
              </w:rPr>
              <w:t>三、其他固定资产</w:t>
            </w:r>
          </w:p>
        </w:tc>
        <w:tc>
          <w:tcPr>
            <w:tcW w:w="2835" w:type="dxa"/>
            <w:tcBorders>
              <w:left w:val="single" w:sz="6" w:space="0" w:color="000000"/>
              <w:right w:val="single" w:sz="6" w:space="0" w:color="000000"/>
            </w:tcBorders>
            <w:vAlign w:val="center"/>
          </w:tcPr>
          <w:p>
            <w:pPr>
              <w:pStyle w:val="21"/>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1759</w:t>
            </w:r>
          </w:p>
        </w:tc>
        <w:tc>
          <w:tcPr>
            <w:tcW w:w="2835" w:type="dxa"/>
            <w:vAlign w:val="center"/>
          </w:tcPr>
          <w:p>
            <w:pPr>
              <w:pStyle w:val="19"/>
              <w:rPr>
                <w:rFonts w:ascii="Times New Roman" w:eastAsia="方正仿宋_GBK" w:cs="Times New Roman" w:hAnsi="Times New Roman"/>
                <w:color w:val="000000"/>
                <w:sz w:val="24"/>
              </w:rPr>
            </w:pPr>
            <w:r>
              <w:rPr>
                <w:rFonts w:ascii="Times New Roman" w:eastAsia="方正仿宋_GBK" w:cs="Times New Roman" w:hAnsi="Times New Roman"/>
                <w:color w:val="000000"/>
                <w:sz w:val="24"/>
              </w:rPr>
              <w:t>435.99</w:t>
            </w:r>
          </w:p>
        </w:tc>
      </w:tr>
    </w:tbl>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line="500" w:lineRule="exact"/>
        <w:ind w:firstLineChars="200" w:firstLine="640"/>
        <w:jc w:val="left"/>
        <w:rPr>
          <w:rFonts w:ascii="黑体" w:eastAsia="黑体" w:cs="黑体"/>
          <w:color w:val="000000"/>
          <w:sz w:val="32"/>
        </w:rPr>
      </w:pPr>
      <w:r>
        <w:rPr>
          <w:rFonts w:ascii="黑体" w:eastAsia="黑体" w:cs="黑体"/>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预算国有资本经营预算财政拨款支出表，此表无数据，因本单位不涉及国有资本经营，因此无数据。</w:t>
      </w:r>
    </w:p>
    <w:p>
      <w:pPr>
        <w:spacing w:before="10" w:after="10"/>
        <w:ind w:firstLine="640"/>
        <w:outlineLvl w:val="5"/>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4DA806C-4868-448F-A7AB-CB887703D82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218</TotalTime>
  <Application>Yozo_Office27021597764231179</Application>
  <Pages>71</Pages>
  <Words>0</Words>
  <Characters>24207</Characters>
  <Lines>0</Lines>
  <Paragraphs>397</Paragraphs>
  <CharactersWithSpaces>32276</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2022-02-25T02:16:24Z</cp:lastPrinted>
  <dcterms:created xsi:type="dcterms:W3CDTF">2022-02-24T15:10:29Z</dcterms:created>
  <dcterms:modified xsi:type="dcterms:W3CDTF">2024-07-24T02:41:14Z</dcterms:modified>
</cp:coreProperties>
</file>