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宋体" w:cs="Times New Roman"/>
          <w:b/>
          <w:sz w:val="32"/>
          <w:szCs w:val="32"/>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pPr>
        <w:jc w:val="center"/>
        <w:rPr>
          <w:rFonts w:ascii="宋体" w:eastAsia="仿宋" w:cs="Times New Roman" w:hAnsi="宋体"/>
          <w:b/>
          <w:sz w:val="32"/>
          <w:szCs w:val="32"/>
        </w:rPr>
      </w:pPr>
      <w:r>
        <w:rPr>
          <w:rFonts w:ascii="宋体" w:eastAsia="仿宋" w:cs="Times New Roman" w:hAnsi="宋体"/>
          <w:b/>
          <w:sz w:val="32"/>
          <w:szCs w:val="32"/>
        </w:rPr>
        <w:t>（2024年度）</w:t>
      </w:r>
    </w:p>
    <w:p>
      <w:pPr>
        <w:rPr>
          <w:rFonts w:ascii="宋体" w:eastAsia="仿宋" w:cs="Times New Roman" w:hAnsi="宋体"/>
          <w:b/>
          <w:sz w:val="32"/>
          <w:szCs w:val="32"/>
        </w:rPr>
      </w:pPr>
    </w:p>
    <w:p>
      <w:pPr>
        <w:rPr>
          <w:rFonts w:ascii="宋体" w:eastAsia="仿宋" w:cs="Times New Roman" w:hAnsi="宋体"/>
          <w:b/>
          <w:sz w:val="32"/>
          <w:szCs w:val="32"/>
        </w:rPr>
      </w:pPr>
    </w:p>
    <w:p>
      <w:pPr>
        <w:ind w:firstLineChars="100" w:firstLine="320"/>
        <w:rPr>
          <w:rFonts w:ascii="宋体" w:eastAsia="仿宋" w:cs="Times New Roman" w:hAnsi="宋体"/>
          <w:b/>
          <w:sz w:val="32"/>
          <w:szCs w:val="32"/>
        </w:rPr>
      </w:pPr>
      <w:r>
        <w:rPr>
          <w:rFonts w:ascii="宋体" w:eastAsia="仿宋" w:cs="Times New Roman" w:hAnsi="宋体"/>
          <w:b/>
          <w:sz w:val="32"/>
          <w:szCs w:val="32"/>
        </w:rPr>
        <w:t>评价方式：</w:t>
      </w:r>
      <w:r>
        <w:rPr>
          <w:rFonts w:ascii="宋体" w:eastAsia="仿宋" w:cs="Times New Roman" w:hAnsi="宋体"/>
          <w:b/>
          <w:sz w:val="32"/>
          <w:szCs w:val="32"/>
        </w:rPr>
        <w:sym w:font="Wingdings 2" w:char="F052"/>
      </w:r>
      <w:r>
        <w:rPr>
          <w:rFonts w:ascii="宋体" w:eastAsia="仿宋" w:cs="Times New Roman" w:hAnsi="宋体"/>
          <w:b/>
          <w:sz w:val="32"/>
          <w:szCs w:val="32"/>
        </w:rPr>
        <w:t>直接组织评价        □委托评价</w:t>
      </w:r>
    </w:p>
    <w:p>
      <w:pPr>
        <w:rPr>
          <w:rFonts w:ascii="宋体" w:eastAsia="仿宋" w:cs="Times New Roman" w:hAnsi="宋体"/>
          <w:b/>
          <w:sz w:val="32"/>
          <w:szCs w:val="32"/>
        </w:rPr>
      </w:pPr>
    </w:p>
    <w:p>
      <w:pPr>
        <w:rPr>
          <w:rFonts w:ascii="宋体" w:eastAsia="仿宋" w:cs="Times New Roman" w:hAnsi="宋体"/>
          <w:b/>
          <w:sz w:val="32"/>
          <w:szCs w:val="32"/>
        </w:rPr>
      </w:pPr>
    </w:p>
    <w:p>
      <w:pPr>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jc w:val="center"/>
        <w:rPr>
          <w:rFonts w:ascii="宋体" w:eastAsia="仿宋" w:cs="Times New Roman" w:hAnsi="宋体"/>
          <w:b/>
          <w:sz w:val="32"/>
          <w:szCs w:val="32"/>
          <w:u w:val="single"/>
        </w:rPr>
      </w:pPr>
      <w:r>
        <w:rPr>
          <w:rFonts w:ascii="宋体" w:eastAsia="仿宋" w:cs="Times New Roman" w:hAnsi="宋体"/>
          <w:b/>
          <w:sz w:val="32"/>
          <w:szCs w:val="32"/>
        </w:rPr>
        <w:t>部门名称：</w:t>
      </w:r>
      <w:r>
        <w:rPr>
          <w:rFonts w:ascii="宋体" w:eastAsia="仿宋" w:cs="Times New Roman" w:hAnsi="宋体" w:hint="eastAsia"/>
          <w:b/>
          <w:sz w:val="32"/>
          <w:szCs w:val="32"/>
          <w:u w:val="single"/>
        </w:rPr>
        <w:t xml:space="preserve"> 唐山市丰南区信访局 （加盖公章）</w:t>
      </w:r>
    </w:p>
    <w:p>
      <w:pPr>
        <w:ind w:firstLineChars="350" w:firstLine="1120"/>
        <w:rPr>
          <w:rFonts w:ascii="宋体" w:eastAsia="仿宋" w:cs="Times New Roman" w:hAnsi="宋体"/>
          <w:b/>
          <w:sz w:val="32"/>
          <w:szCs w:val="32"/>
          <w:u w:val="single"/>
        </w:rPr>
      </w:pPr>
      <w:r>
        <w:rPr>
          <w:rFonts w:ascii="宋体" w:eastAsia="仿宋" w:cs="Times New Roman" w:hAnsi="宋体"/>
          <w:b/>
          <w:sz w:val="32"/>
          <w:szCs w:val="32"/>
        </w:rPr>
        <w:t>联系电话：</w:t>
      </w:r>
      <w:r>
        <w:rPr>
          <w:rFonts w:ascii="宋体" w:eastAsia="仿宋" w:cs="Times New Roman" w:hAnsi="宋体"/>
          <w:b/>
          <w:sz w:val="32"/>
          <w:szCs w:val="32"/>
          <w:u w:val="single"/>
        </w:rPr>
        <w:t>0315-8189822</w:t>
      </w:r>
      <w:bookmarkStart w:id="0" w:name="_GoBack"/>
      <w:bookmarkEnd w:id="0"/>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：202</w:t>
      </w:r>
      <w:r>
        <w:rPr>
          <w:rFonts w:ascii="宋体" w:eastAsia="仿宋" w:cs="Times New Roman" w:hAnsi="宋体"/>
          <w:b/>
          <w:sz w:val="32"/>
          <w:szCs w:val="32"/>
        </w:rPr>
        <w:t>5年 2月20日</w:t>
      </w:r>
    </w:p>
    <w:p>
      <w:pPr>
        <w:jc w:val="center"/>
        <w:rPr>
          <w:rFonts w:ascii="宋体" w:eastAsia="仿宋" w:cs="Times New Roman" w:hAnsi="宋体"/>
          <w:b/>
          <w:sz w:val="32"/>
          <w:szCs w:val="32"/>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jc w:val="center"/>
        <w:rPr>
          <w:rFonts w:ascii="宋体" w:cs="Times New Roman"/>
          <w:b/>
          <w:sz w:val="32"/>
          <w:szCs w:val="32"/>
        </w:rPr>
      </w:pPr>
    </w:p>
    <w:p>
      <w:pPr>
        <w:numPr>
          <w:ilvl w:val="0"/>
          <w:numId w:val="1"/>
        </w:numPr>
        <w:ind w:left="0" w:firstLineChars="200" w:firstLine="640"/>
        <w:rPr>
          <w:rFonts w:ascii="宋体" w:eastAsia="黑体" w:cs="Times New Roman" w:hAnsi="宋体"/>
          <w:b/>
          <w:sz w:val="32"/>
          <w:szCs w:val="32"/>
        </w:rPr>
      </w:pPr>
      <w:r>
        <w:rPr>
          <w:rFonts w:ascii="宋体" w:eastAsia="黑体" w:cs="Times New Roman" w:hAnsi="宋体"/>
          <w:b/>
          <w:sz w:val="32"/>
          <w:szCs w:val="32"/>
        </w:rPr>
        <w:t>部门</w:t>
      </w:r>
      <w:r>
        <w:rPr>
          <w:rFonts w:ascii="宋体" w:eastAsia="黑体" w:cs="Times New Roman" w:hAnsi="宋体" w:hint="eastAsia"/>
          <w:b/>
          <w:sz w:val="32"/>
          <w:szCs w:val="32"/>
        </w:rPr>
        <w:t>整体</w:t>
      </w:r>
      <w:r>
        <w:rPr>
          <w:rFonts w:ascii="宋体" w:eastAsia="黑体" w:cs="Times New Roman" w:hAnsi="宋体"/>
          <w:b/>
          <w:sz w:val="32"/>
          <w:szCs w:val="32"/>
        </w:rPr>
        <w:t>概况</w:t>
      </w:r>
    </w:p>
    <w:p>
      <w:pPr>
        <w:ind w:left="0" w:firstLineChars="200" w:firstLine="640"/>
        <w:rPr>
          <w:rFonts w:ascii="仿宋_GB2312" w:eastAsia="仿宋_GB2312" w:cs="宋体" w:hint="eastAsia"/>
          <w:sz w:val="32"/>
          <w:szCs w:val="32"/>
        </w:rPr>
      </w:pPr>
      <w:r>
        <w:rPr>
          <w:rFonts w:ascii="宋体" w:eastAsia="仿宋" w:cs="Times New Roman" w:hAnsi="宋体"/>
          <w:b/>
          <w:sz w:val="32"/>
          <w:szCs w:val="32"/>
        </w:rPr>
        <w:t>（一）</w:t>
      </w:r>
      <w:r>
        <w:rPr>
          <w:rFonts w:ascii="宋体" w:eastAsia="仿宋" w:cs="Times New Roman" w:hAnsi="宋体" w:hint="eastAsia"/>
          <w:b/>
          <w:sz w:val="32"/>
          <w:szCs w:val="32"/>
        </w:rPr>
        <w:t>部门主要职责职能及人员情况</w:t>
      </w:r>
    </w:p>
    <w:p>
      <w:pPr>
        <w:snapToGrid w:val="0"/>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主要</w:t>
      </w:r>
      <w:r>
        <w:rPr>
          <w:rFonts w:ascii="仿宋_GB2312" w:eastAsia="仿宋_GB2312"/>
          <w:sz w:val="32"/>
          <w:szCs w:val="32"/>
        </w:rPr>
        <w:t>职责</w:t>
      </w:r>
      <w:r>
        <w:rPr>
          <w:rFonts w:ascii="仿宋_GB2312" w:eastAsia="仿宋_GB2312" w:hint="eastAsia"/>
          <w:sz w:val="32"/>
          <w:szCs w:val="32"/>
        </w:rPr>
        <w:t>职能</w:t>
      </w:r>
      <w:r>
        <w:rPr>
          <w:rFonts w:ascii="仿宋_GB2312" w:eastAsia="仿宋_GB2312"/>
          <w:sz w:val="32"/>
          <w:szCs w:val="32"/>
        </w:rPr>
        <w:t>：</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 xml:space="preserve"> 研究提出全区信访工作思路，拟订信访工作</w:t>
      </w:r>
      <w:r>
        <w:rPr>
          <w:rFonts w:ascii="仿宋_GB2312" w:eastAsia="仿宋_GB2312"/>
          <w:sz w:val="32"/>
          <w:szCs w:val="32"/>
        </w:rPr>
        <w:t>计划</w:t>
      </w:r>
      <w:r>
        <w:rPr>
          <w:rFonts w:ascii="仿宋_GB2312" w:eastAsia="仿宋_GB2312" w:hint="eastAsia"/>
          <w:sz w:val="32"/>
          <w:szCs w:val="32"/>
        </w:rPr>
        <w:t>。</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办理人民群众来信，接待群众来访，受理群众网上投诉，查办信访案件，负责人民群众建议征集工作。</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 xml:space="preserve"> 调查研究和综合分析全区信访形势及信访工作状况</w:t>
      </w:r>
      <w:r>
        <w:rPr>
          <w:rFonts w:ascii="仿宋_GB2312" w:eastAsia="仿宋_GB2312"/>
          <w:sz w:val="32"/>
          <w:szCs w:val="32"/>
        </w:rPr>
        <w:t>，</w:t>
      </w:r>
      <w:r>
        <w:rPr>
          <w:rFonts w:ascii="仿宋_GB2312" w:eastAsia="仿宋_GB2312" w:hint="eastAsia"/>
          <w:sz w:val="32"/>
          <w:szCs w:val="32"/>
        </w:rPr>
        <w:t>提出改进和加强信访工作的意见和建议。</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4、</w:t>
      </w:r>
      <w:r>
        <w:rPr>
          <w:rFonts w:ascii="仿宋_GB2312" w:eastAsia="仿宋_GB2312" w:hint="eastAsia"/>
          <w:sz w:val="32"/>
          <w:szCs w:val="32"/>
        </w:rPr>
        <w:t>参与组织、协调、指导全区社会治安综合治理和维护社会政治稳定工作，协助保障国家、省、市和区重大政治活动顺利进行，参与处理影响社会政治稳定的突发性、群体性事件。</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 xml:space="preserve"> 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6、</w:t>
      </w:r>
      <w:r>
        <w:rPr>
          <w:rFonts w:ascii="仿宋_GB2312" w:eastAsia="仿宋_GB2312" w:hint="eastAsia"/>
          <w:sz w:val="32"/>
          <w:szCs w:val="32"/>
        </w:rPr>
        <w:t>协助国家信访局、省、市信访局处理属地群众进京、赴省、去市上访工作，综合协调处理跨地区、跨部门、跨行业的重要信访问题，协助公安机关维护区委、区政府机关正常工作秩序。</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7、</w:t>
      </w:r>
      <w:r>
        <w:rPr>
          <w:rFonts w:ascii="仿宋_GB2312" w:eastAsia="仿宋_GB2312" w:hint="eastAsia"/>
          <w:sz w:val="32"/>
          <w:szCs w:val="32"/>
        </w:rPr>
        <w:t xml:space="preserve"> 负责省、市、区级领导和区直部门领导公开接访和包联案件的组织协调工作。</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8、</w:t>
      </w:r>
      <w:r>
        <w:rPr>
          <w:rFonts w:ascii="仿宋_GB2312" w:eastAsia="仿宋_GB2312" w:hint="eastAsia"/>
          <w:sz w:val="32"/>
          <w:szCs w:val="32"/>
        </w:rPr>
        <w:t>承担唐山市丰南区信访工作联席会议的日常工作，督促落实联席会议决定的事项。</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9、</w:t>
      </w:r>
      <w:r>
        <w:rPr>
          <w:rFonts w:ascii="仿宋_GB2312" w:eastAsia="仿宋_GB2312" w:hint="eastAsia"/>
          <w:sz w:val="32"/>
          <w:szCs w:val="32"/>
        </w:rPr>
        <w:t>完成区委、区政府以及国家、省、市信访局交办的其他任务。</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人员情况</w:t>
      </w:r>
      <w:r>
        <w:rPr>
          <w:rFonts w:ascii="仿宋_GB2312" w:eastAsia="仿宋_GB2312"/>
          <w:sz w:val="32"/>
          <w:szCs w:val="32"/>
        </w:rPr>
        <w:t>：</w:t>
      </w:r>
    </w:p>
    <w:p>
      <w:pPr>
        <w:spacing w:line="560" w:lineRule="exact"/>
        <w:ind w:firstLineChars="200" w:firstLine="640"/>
        <w:rPr>
          <w:rFonts w:ascii="仿宋_GB2312" w:eastAsia="仿宋_GB2312" w:hint="eastAsia"/>
          <w:sz w:val="32"/>
          <w:szCs w:val="32"/>
        </w:rPr>
      </w:pPr>
      <w:r>
        <w:rPr>
          <w:rFonts w:ascii="仿宋_GB2312" w:eastAsia="仿宋_GB2312"/>
          <w:sz w:val="32"/>
          <w:szCs w:val="32"/>
        </w:rPr>
        <w:t>我</w:t>
      </w:r>
      <w:r>
        <w:rPr>
          <w:rFonts w:ascii="仿宋_GB2312" w:eastAsia="仿宋_GB2312" w:hint="eastAsia"/>
          <w:sz w:val="32"/>
          <w:szCs w:val="32"/>
        </w:rPr>
        <w:t>部门的基本性质为行政单位，设行政编制12名，年末在职</w:t>
      </w:r>
      <w:r>
        <w:rPr>
          <w:rFonts w:ascii="仿宋_GB2312" w:eastAsia="仿宋_GB2312"/>
          <w:sz w:val="32"/>
          <w:szCs w:val="32"/>
        </w:rPr>
        <w:t>12</w:t>
      </w:r>
      <w:r>
        <w:rPr>
          <w:rFonts w:ascii="仿宋_GB2312" w:eastAsia="仿宋_GB2312" w:hint="eastAsia"/>
          <w:sz w:val="32"/>
          <w:szCs w:val="32"/>
        </w:rPr>
        <w:t>人。经区委区政府及编制部门批准，下设正股级科室信访稳定综合协调中心，中心有全额事业编制13名,年末在职在编人员1</w:t>
      </w:r>
      <w:r>
        <w:rPr>
          <w:rFonts w:ascii="仿宋_GB2312" w:eastAsia="仿宋_GB2312"/>
          <w:sz w:val="32"/>
          <w:szCs w:val="32"/>
        </w:rPr>
        <w:t>2</w:t>
      </w:r>
      <w:r>
        <w:rPr>
          <w:rFonts w:ascii="仿宋_GB2312" w:eastAsia="仿宋_GB2312" w:hint="eastAsia"/>
          <w:sz w:val="32"/>
          <w:szCs w:val="32"/>
        </w:rPr>
        <w:t>人。人事代理人员</w:t>
      </w:r>
      <w:r>
        <w:rPr>
          <w:rFonts w:ascii="仿宋_GB2312" w:eastAsia="仿宋_GB2312"/>
          <w:sz w:val="32"/>
          <w:szCs w:val="32"/>
        </w:rPr>
        <w:t>4</w:t>
      </w:r>
      <w:r>
        <w:rPr>
          <w:rFonts w:ascii="仿宋_GB2312" w:eastAsia="仿宋_GB2312" w:hint="eastAsia"/>
          <w:sz w:val="32"/>
          <w:szCs w:val="32"/>
        </w:rPr>
        <w:t>人，</w:t>
      </w:r>
      <w:r>
        <w:rPr>
          <w:rFonts w:ascii="仿宋_GB2312" w:eastAsia="仿宋_GB2312"/>
          <w:sz w:val="32"/>
          <w:szCs w:val="32"/>
        </w:rPr>
        <w:t>非在编合同制人员1人，</w:t>
      </w:r>
      <w:r>
        <w:rPr>
          <w:rFonts w:ascii="仿宋_GB2312" w:eastAsia="仿宋_GB2312" w:hint="eastAsia"/>
          <w:sz w:val="32"/>
          <w:szCs w:val="32"/>
        </w:rPr>
        <w:t>劳务派遣人员</w:t>
      </w:r>
      <w:r>
        <w:rPr>
          <w:rFonts w:ascii="仿宋_GB2312" w:eastAsia="仿宋_GB2312"/>
          <w:sz w:val="32"/>
          <w:szCs w:val="32"/>
        </w:rPr>
        <w:t>13</w:t>
      </w:r>
      <w:r>
        <w:rPr>
          <w:rFonts w:ascii="仿宋_GB2312" w:eastAsia="仿宋_GB2312" w:hint="eastAsia"/>
          <w:sz w:val="32"/>
          <w:szCs w:val="32"/>
        </w:rPr>
        <w:t>人。</w:t>
      </w:r>
    </w:p>
    <w:p>
      <w:pPr>
        <w:ind w:firstLineChars="200" w:firstLine="640"/>
        <w:rPr>
          <w:rFonts w:ascii="宋体" w:eastAsia="仿宋" w:cs="Times New Roman" w:hAnsi="宋体"/>
          <w:b/>
          <w:sz w:val="32"/>
          <w:szCs w:val="32"/>
        </w:rPr>
      </w:pPr>
      <w:r>
        <w:rPr>
          <w:rFonts w:ascii="宋体" w:eastAsia="仿宋" w:cs="Times New Roman" w:hAnsi="宋体" w:hint="eastAsia"/>
          <w:b/>
          <w:sz w:val="32"/>
          <w:szCs w:val="32"/>
        </w:rPr>
        <w:t>（二）部门预算执行情况等</w:t>
      </w:r>
    </w:p>
    <w:p>
      <w:pPr>
        <w:spacing w:line="540" w:lineRule="exact"/>
        <w:ind w:firstLineChars="200" w:firstLine="640"/>
        <w:rPr>
          <w:rFonts w:ascii="仿宋_GB2312" w:eastAsia="仿宋_GB2312" w:cs="Times New Roman" w:hAnsi="宋体" w:hint="eastAsia"/>
          <w:sz w:val="32"/>
          <w:szCs w:val="32"/>
        </w:rPr>
      </w:pPr>
      <w:r>
        <w:rPr>
          <w:rFonts w:ascii="仿宋_GB2312" w:eastAsia="仿宋_GB2312" w:cs="Times New Roman" w:hAnsi="宋体" w:hint="eastAsia"/>
          <w:sz w:val="32"/>
          <w:szCs w:val="32"/>
        </w:rPr>
        <w:t>本部门202</w:t>
      </w:r>
      <w:r>
        <w:rPr>
          <w:rFonts w:ascii="仿宋_GB2312" w:eastAsia="仿宋_GB2312" w:cs="Times New Roman" w:hAnsi="宋体"/>
          <w:sz w:val="32"/>
          <w:szCs w:val="32"/>
        </w:rPr>
        <w:t>4</w:t>
      </w:r>
      <w:r>
        <w:rPr>
          <w:rFonts w:ascii="仿宋_GB2312" w:eastAsia="仿宋_GB2312" w:cs="Times New Roman" w:hAnsi="宋体" w:hint="eastAsia"/>
          <w:sz w:val="32"/>
          <w:szCs w:val="32"/>
        </w:rPr>
        <w:t>年度申请预算资金</w:t>
      </w:r>
      <w:r>
        <w:rPr>
          <w:rFonts w:ascii="仿宋_GB2312" w:eastAsia="仿宋_GB2312" w:cs="Times New Roman" w:hAnsi="宋体"/>
          <w:sz w:val="32"/>
          <w:szCs w:val="32"/>
        </w:rPr>
        <w:t>737.56</w:t>
      </w:r>
      <w:r>
        <w:rPr>
          <w:rFonts w:ascii="仿宋_GB2312" w:eastAsia="仿宋_GB2312" w:cs="Times New Roman" w:hAnsi="宋体" w:hint="eastAsia"/>
          <w:sz w:val="32"/>
          <w:szCs w:val="32"/>
        </w:rPr>
        <w:t>万元，其中：共同财政事权转移支付0万元（包含中央0万元、省0万元、市0万元），专项转移支付0万元（包含中央0万元、省0万元、市0万元），债券资金0万元；实际支出</w:t>
      </w:r>
      <w:r>
        <w:rPr>
          <w:rFonts w:ascii="仿宋_GB2312" w:eastAsia="仿宋_GB2312" w:cs="Times New Roman" w:hAnsi="宋体"/>
          <w:sz w:val="32"/>
          <w:szCs w:val="32"/>
        </w:rPr>
        <w:t>737.56</w:t>
      </w:r>
      <w:r>
        <w:rPr>
          <w:rFonts w:ascii="仿宋_GB2312" w:eastAsia="仿宋_GB2312" w:cs="Times New Roman" w:hAnsi="宋体" w:hint="eastAsia"/>
          <w:sz w:val="32"/>
          <w:szCs w:val="32"/>
        </w:rPr>
        <w:t>万元，其中：共同财政事权转移支付0万元（包含中央0万元、省</w:t>
      </w:r>
      <w:r>
        <w:rPr>
          <w:rFonts w:ascii="仿宋_GB2312" w:eastAsia="仿宋_GB2312" w:cs="Times New Roman" w:hAnsi="宋体"/>
          <w:sz w:val="32"/>
          <w:szCs w:val="32"/>
        </w:rPr>
        <w:t>0</w:t>
      </w:r>
      <w:r>
        <w:rPr>
          <w:rFonts w:ascii="仿宋_GB2312" w:eastAsia="仿宋_GB2312" w:cs="Times New Roman" w:hAnsi="宋体" w:hint="eastAsia"/>
          <w:sz w:val="32"/>
          <w:szCs w:val="32"/>
        </w:rPr>
        <w:t>万元、市0万元），专项转移支付0万元（包含中央0万元、省0万元、市0万元），债券资金0万元；预算执行率100%。其中：项目4个（与部门开展项目自评个数相同），金额合计</w:t>
      </w:r>
      <w:r>
        <w:rPr>
          <w:rFonts w:ascii="仿宋_GB2312" w:eastAsia="仿宋_GB2312" w:cs="Times New Roman" w:hAnsi="宋体"/>
          <w:sz w:val="32"/>
          <w:szCs w:val="32"/>
        </w:rPr>
        <w:t>252.74</w:t>
      </w:r>
      <w:r>
        <w:rPr>
          <w:rFonts w:ascii="仿宋_GB2312" w:eastAsia="仿宋_GB2312" w:cs="Times New Roman" w:hAnsi="宋体" w:hint="eastAsia"/>
          <w:sz w:val="32"/>
          <w:szCs w:val="32"/>
        </w:rPr>
        <w:t>万元（与部门开展项目自评金额合计相同），实际支出</w:t>
      </w:r>
      <w:r>
        <w:rPr>
          <w:rFonts w:ascii="仿宋_GB2312" w:eastAsia="仿宋_GB2312" w:cs="Times New Roman" w:hAnsi="宋体"/>
          <w:sz w:val="32"/>
          <w:szCs w:val="32"/>
        </w:rPr>
        <w:t>252.74</w:t>
      </w:r>
      <w:r>
        <w:rPr>
          <w:rFonts w:ascii="仿宋_GB2312" w:eastAsia="仿宋_GB2312" w:cs="Times New Roman" w:hAnsi="宋体" w:hint="eastAsia"/>
          <w:sz w:val="32"/>
          <w:szCs w:val="32"/>
        </w:rPr>
        <w:t>万元，执行率为100%。</w:t>
      </w:r>
    </w:p>
    <w:p>
      <w:pPr>
        <w:ind w:left="0" w:firstLineChars="200" w:firstLine="640"/>
        <w:rPr>
          <w:rFonts w:ascii="宋体" w:eastAsia="黑体" w:cs="Times New Roman" w:hAnsi="宋体"/>
          <w:b/>
          <w:sz w:val="32"/>
          <w:szCs w:val="32"/>
        </w:rPr>
      </w:pPr>
      <w:r>
        <w:rPr>
          <w:rFonts w:ascii="宋体" w:eastAsia="黑体" w:cs="Times New Roman" w:hAnsi="宋体"/>
          <w:b/>
          <w:sz w:val="32"/>
          <w:szCs w:val="32"/>
        </w:rPr>
        <w:t>二、绩效评价组织情况</w:t>
      </w:r>
    </w:p>
    <w:p>
      <w:pPr>
        <w:ind w:firstLineChars="200" w:firstLine="640"/>
        <w:rPr>
          <w:rFonts w:ascii="仿宋" w:eastAsia="仿宋" w:cs="仿宋" w:hint="eastAsia"/>
          <w:b/>
          <w:bCs/>
          <w:sz w:val="32"/>
          <w:szCs w:val="32"/>
        </w:rPr>
      </w:pPr>
      <w:r>
        <w:rPr>
          <w:rFonts w:ascii="仿宋" w:eastAsia="仿宋" w:cs="仿宋" w:hint="eastAsia"/>
          <w:b/>
          <w:bCs/>
          <w:sz w:val="32"/>
          <w:szCs w:val="32"/>
        </w:rPr>
        <w:t>部门整体绩效目标：</w:t>
      </w:r>
    </w:p>
    <w:p>
      <w:pPr>
        <w:ind w:firstLineChars="200" w:firstLine="640"/>
        <w:rPr>
          <w:rFonts w:ascii="宋体" w:eastAsia="仿宋" w:cs="Times New Roman" w:hAnsi="宋体" w:hint="eastAsia"/>
          <w:sz w:val="32"/>
          <w:szCs w:val="32"/>
        </w:rPr>
      </w:pPr>
      <w:r>
        <w:rPr>
          <w:rFonts w:ascii="宋体" w:eastAsia="仿宋" w:cs="Times New Roman" w:hAnsi="宋体" w:hint="eastAsia"/>
          <w:sz w:val="32"/>
          <w:szCs w:val="32"/>
        </w:rPr>
        <w:t>（一）办理人民群众来信、来访、网上投诉，负责信访事项督查、复查复核、听证，负责上级以及区委区政府交办的其他事项。</w:t>
      </w:r>
    </w:p>
    <w:p>
      <w:pPr>
        <w:ind w:firstLineChars="200" w:firstLine="640"/>
        <w:rPr>
          <w:rFonts w:ascii="宋体" w:eastAsia="仿宋" w:cs="Times New Roman" w:hAnsi="宋体" w:hint="eastAsia"/>
          <w:sz w:val="32"/>
          <w:szCs w:val="32"/>
        </w:rPr>
      </w:pPr>
      <w:r>
        <w:rPr>
          <w:rFonts w:ascii="宋体" w:eastAsia="仿宋" w:cs="Times New Roman" w:hAnsi="宋体" w:hint="eastAsia"/>
          <w:sz w:val="32"/>
          <w:szCs w:val="32"/>
        </w:rPr>
        <w:t>(二)调查研究和综合分析全区信访形势，拟定全区信访工作方针政策，提出改进和加强信访工作的意见和建议，督促检查和指导全区信访工作开展，加强信访业务培训，做好机关日常工作。</w:t>
      </w:r>
    </w:p>
    <w:p>
      <w:pPr>
        <w:ind w:firstLineChars="200" w:firstLine="640"/>
        <w:rPr>
          <w:rFonts w:ascii="宋体" w:eastAsia="仿宋" w:cs="Times New Roman" w:hAnsi="宋体" w:hint="eastAsia"/>
          <w:sz w:val="32"/>
          <w:szCs w:val="32"/>
        </w:rPr>
      </w:pPr>
      <w:r>
        <w:rPr>
          <w:rFonts w:ascii="宋体" w:eastAsia="仿宋" w:cs="Times New Roman" w:hAnsi="宋体" w:hint="eastAsia"/>
          <w:sz w:val="32"/>
          <w:szCs w:val="32"/>
        </w:rPr>
        <w:t>（三）做好全区信访矛盾隐患排查化解工作，做好重大时期和敏感期的信访值班劝返、应急处置和信访维稳工作。</w:t>
      </w:r>
    </w:p>
    <w:p>
      <w:pPr>
        <w:ind w:firstLineChars="200" w:firstLine="640"/>
        <w:rPr>
          <w:rFonts w:ascii="宋体" w:cs="Times New Roman" w:hint="eastAsia"/>
          <w:sz w:val="32"/>
          <w:szCs w:val="32"/>
        </w:rPr>
      </w:pPr>
      <w:r>
        <w:rPr>
          <w:rFonts w:ascii="宋体" w:eastAsia="仿宋" w:cs="Times New Roman" w:hAnsi="宋体" w:hint="eastAsia"/>
          <w:sz w:val="32"/>
          <w:szCs w:val="32"/>
        </w:rPr>
        <w:t>（四）督导检查和指导全区群众工作开展情况，完善群众工作站、室建设，组织区乡两级领导开展接访和部门联合接访调处工作，及时就地解决问题。</w:t>
      </w:r>
    </w:p>
    <w:p>
      <w:pPr>
        <w:spacing w:after="0" w:line="560" w:lineRule="exact"/>
        <w:ind w:firstLineChars="200" w:firstLine="640"/>
        <w:rPr>
          <w:rFonts w:ascii="宋体" w:eastAsia="仿宋" w:cs="Times New Roman" w:hAnsi="宋体" w:hint="eastAsia"/>
          <w:bCs/>
          <w:sz w:val="32"/>
          <w:szCs w:val="32"/>
        </w:rPr>
      </w:pPr>
      <w:r>
        <w:rPr>
          <w:rFonts w:ascii="宋体" w:eastAsia="仿宋" w:cs="Times New Roman" w:hAnsi="宋体"/>
          <w:bCs/>
          <w:sz w:val="32"/>
          <w:szCs w:val="32"/>
        </w:rPr>
        <w:t>我部门成立了以魏凤武局长为组长，其他班子成员为副组长，各股室负责人为成</w:t>
      </w:r>
      <w:r>
        <w:rPr>
          <w:rFonts w:ascii="宋体" w:eastAsia="仿宋" w:cs="Times New Roman" w:hAnsi="宋体" w:hint="eastAsia"/>
          <w:bCs/>
          <w:sz w:val="32"/>
          <w:szCs w:val="32"/>
        </w:rPr>
        <w:t>员的绩效自评工作领导小组，</w:t>
      </w:r>
      <w:r>
        <w:rPr>
          <w:rFonts w:ascii="宋体" w:eastAsia="仿宋" w:cs="Times New Roman" w:hAnsi="宋体"/>
          <w:bCs/>
          <w:sz w:val="32"/>
          <w:szCs w:val="32"/>
        </w:rPr>
        <w:t>以直接组织评价的方式，根据部门整体支出绩效评价指标体系，</w:t>
      </w:r>
      <w:r>
        <w:rPr>
          <w:rFonts w:ascii="宋体" w:eastAsia="仿宋" w:cs="Times New Roman" w:hAnsi="宋体" w:hint="eastAsia"/>
          <w:bCs/>
          <w:sz w:val="32"/>
          <w:szCs w:val="32"/>
        </w:rPr>
        <w:t>对预算配置、预算执行、预算管理、预算绩效开展、职责履行、履职效益进行绩效评价</w:t>
      </w:r>
      <w:r>
        <w:rPr>
          <w:rFonts w:ascii="宋体" w:eastAsia="仿宋" w:cs="Times New Roman" w:hAnsi="宋体"/>
          <w:bCs/>
          <w:sz w:val="32"/>
          <w:szCs w:val="32"/>
        </w:rPr>
        <w:t>，</w:t>
      </w:r>
      <w:r>
        <w:rPr>
          <w:rFonts w:ascii="宋体" w:eastAsia="仿宋" w:cs="Times New Roman" w:hAnsi="宋体" w:hint="eastAsia"/>
          <w:bCs/>
          <w:sz w:val="32"/>
          <w:szCs w:val="32"/>
        </w:rPr>
        <w:t>得出评价结论，形成绩效评价报告。</w:t>
      </w:r>
    </w:p>
    <w:p>
      <w:pPr>
        <w:ind w:firstLineChars="200" w:firstLine="640"/>
        <w:rPr>
          <w:rFonts w:ascii="宋体" w:eastAsia="黑体" w:cs="Times New Roman" w:hAnsi="宋体"/>
          <w:b/>
          <w:sz w:val="32"/>
          <w:szCs w:val="32"/>
        </w:rPr>
      </w:pPr>
      <w:r>
        <w:rPr>
          <w:rFonts w:ascii="宋体" w:eastAsia="黑体" w:cs="Times New Roman" w:hAnsi="宋体"/>
          <w:b/>
          <w:sz w:val="32"/>
          <w:szCs w:val="32"/>
        </w:rPr>
        <w:t>三、</w:t>
      </w:r>
      <w:r>
        <w:rPr>
          <w:rFonts w:ascii="宋体" w:eastAsia="黑体" w:cs="Times New Roman" w:hAnsi="宋体" w:hint="eastAsia"/>
          <w:b/>
          <w:sz w:val="32"/>
          <w:szCs w:val="32"/>
        </w:rPr>
        <w:t>部门绩效管理开展的整体绩效实现情况</w:t>
      </w:r>
    </w:p>
    <w:p>
      <w:pPr>
        <w:ind w:leftChars="76" w:left="160" w:firstLineChars="150" w:firstLine="480"/>
        <w:rPr>
          <w:rFonts w:ascii="仿宋_GB2312" w:eastAsia="仿宋_GB2312" w:cs="宋体" w:hint="eastAsia"/>
          <w:sz w:val="32"/>
          <w:szCs w:val="32"/>
        </w:rPr>
      </w:pPr>
      <w:r>
        <w:rPr>
          <w:rFonts w:ascii="仿宋_GB2312" w:eastAsia="仿宋_GB2312" w:cs="宋体"/>
          <w:sz w:val="32"/>
          <w:szCs w:val="32"/>
        </w:rPr>
        <w:t>为切实做好2024年度部门整体支出绩效自评工作，提高财政资金使用效益和管理水平，</w:t>
      </w:r>
      <w:r>
        <w:rPr>
          <w:rFonts w:ascii="仿宋_GB2312" w:eastAsia="仿宋_GB2312" w:cs="宋体" w:hint="eastAsia"/>
          <w:sz w:val="32"/>
          <w:szCs w:val="32"/>
        </w:rPr>
        <w:t>按照区财政局《</w:t>
      </w:r>
      <w:r>
        <w:rPr>
          <w:rFonts w:ascii="仿宋" w:eastAsia="仿宋" w:cs="仿宋" w:hint="eastAsia"/>
          <w:b w:val="0"/>
          <w:color w:val="333333"/>
          <w:sz w:val="32"/>
          <w:szCs w:val="32"/>
          <w:lang w:bidi="ar-SA"/>
        </w:rPr>
        <w:t>关于做好2024年度预算部门绩效自评工作的通知</w:t>
      </w:r>
      <w:r>
        <w:rPr>
          <w:rFonts w:ascii="仿宋_GB2312" w:eastAsia="仿宋_GB2312" w:cs="宋体" w:hint="eastAsia"/>
          <w:sz w:val="32"/>
          <w:szCs w:val="32"/>
        </w:rPr>
        <w:t>》的文件要求，我局领导高度重视此项工作，</w:t>
      </w:r>
      <w:r>
        <w:rPr>
          <w:rFonts w:ascii="仿宋_GB2312" w:eastAsia="仿宋_GB2312" w:cs="宋体"/>
          <w:sz w:val="32"/>
          <w:szCs w:val="32"/>
        </w:rPr>
        <w:t>采取成立</w:t>
      </w:r>
      <w:r>
        <w:rPr>
          <w:rFonts w:ascii="仿宋_GB2312" w:eastAsia="仿宋_GB2312" w:cs="宋体" w:hint="eastAsia"/>
          <w:sz w:val="32"/>
          <w:szCs w:val="32"/>
        </w:rPr>
        <w:t>绩效自评工作组</w:t>
      </w:r>
      <w:r>
        <w:rPr>
          <w:rFonts w:ascii="仿宋_GB2312" w:eastAsia="仿宋_GB2312" w:cs="宋体"/>
          <w:sz w:val="32"/>
          <w:szCs w:val="32"/>
        </w:rPr>
        <w:t>的形式</w:t>
      </w:r>
      <w:r>
        <w:rPr>
          <w:rFonts w:ascii="仿宋_GB2312" w:eastAsia="仿宋_GB2312" w:cs="宋体" w:hint="eastAsia"/>
          <w:sz w:val="32"/>
          <w:szCs w:val="32"/>
        </w:rPr>
        <w:t>，明确职责分工，本着客观、公正、公开的原则，</w:t>
      </w:r>
      <w:r>
        <w:rPr>
          <w:rFonts w:ascii="仿宋_GB2312" w:eastAsia="仿宋_GB2312" w:cs="宋体"/>
          <w:sz w:val="32"/>
          <w:szCs w:val="32"/>
        </w:rPr>
        <w:t>既要将项目实施中存在的问题如实反映，又要分析所取得的成绩，客观公正地实施自评。</w:t>
      </w:r>
      <w:r>
        <w:rPr>
          <w:rFonts w:ascii="仿宋_GB2312" w:eastAsia="仿宋_GB2312" w:cs="宋体" w:hint="eastAsia"/>
          <w:sz w:val="32"/>
          <w:szCs w:val="32"/>
        </w:rPr>
        <w:t>根据部门整体支出绩效评价指标体系，对预算配置、预算执行、预算管理、预算绩效开展、职责履行、履职效益等方面开展绩效自评，切实反映部门整体支出的绩效水平，确保自评，切实反映部门整体支出的绩效水平，确保自评结果全面、真实、准确、客观，绩效自评完成情况如下：</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1、预算配置：在职人员控制率为100%，得4分；“三公经费”变动率等于0，得4分。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2、预算执行：预算完成率为100%，得7分；预算控制率为</w:t>
      </w:r>
      <w:r>
        <w:rPr>
          <w:rFonts w:ascii="仿宋_GB2312" w:eastAsia="仿宋_GB2312" w:cs="宋体"/>
          <w:sz w:val="32"/>
          <w:szCs w:val="32"/>
        </w:rPr>
        <w:t>17.12</w:t>
      </w:r>
      <w:r>
        <w:rPr>
          <w:rFonts w:ascii="仿宋_GB2312" w:eastAsia="仿宋_GB2312" w:cs="宋体" w:hint="eastAsia"/>
          <w:sz w:val="32"/>
          <w:szCs w:val="32"/>
        </w:rPr>
        <w:t>%，得5分。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3、预算管理：公用经费控制率100%，得6分；“三公经费”控制率100%，得6分；政府采购执行率100%，得5分；资金使用合规，支出符合国家财经法规和财务管理制度规定，资金拨付有完整的审批程序和手续，项目支出按规定经过评估认证，支出符合部门预算批复的用途，资金使用无截留、挤占、挪用、虚列支出等情况，得5分；按规定内容、规定时限公开预决算信息，基础数据信息和会计信息资料真实、完整，基础数据信息和汇集信息资料准确，得6分；建立内部财务管理制度、内部控制制度、会计核算制度等管理制度，有本部门厉行节约制度，相关管理制度合法、合规、完整，相关管理制度得到有效执行，有考核制度，得8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4、预算绩效开展：绩效目标符合规定格式要求，内容完整，充分体现“干什么”、“干到什么程度”，目标量化、具体，得8分；项目绩效自评覆盖率为100%，得8分。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5、职责履行：部门重点工作办结率为100%，得8分。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6、履职效益：绩效目标的实现。202</w:t>
      </w:r>
      <w:r>
        <w:rPr>
          <w:rFonts w:ascii="仿宋_GB2312" w:eastAsia="仿宋_GB2312" w:cs="宋体"/>
          <w:sz w:val="32"/>
          <w:szCs w:val="32"/>
        </w:rPr>
        <w:t>4</w:t>
      </w:r>
      <w:r>
        <w:rPr>
          <w:rFonts w:ascii="仿宋_GB2312" w:eastAsia="仿宋_GB2312" w:cs="宋体" w:hint="eastAsia"/>
          <w:sz w:val="32"/>
          <w:szCs w:val="32"/>
        </w:rPr>
        <w:t>年，</w:t>
      </w:r>
      <w:r>
        <w:rPr>
          <w:rFonts w:ascii="仿宋_GB2312" w:eastAsia="仿宋_GB2312" w:cs="宋体" w:hint="eastAsia"/>
          <w:sz w:val="32"/>
          <w:szCs w:val="32"/>
          <w:lang w:val="en-US" w:eastAsia="zh-CN"/>
        </w:rPr>
        <w:t>在区委区政府正确领导下，在区信访工作联席会议靠前指挥下，</w:t>
      </w:r>
      <w:r>
        <w:rPr>
          <w:rFonts w:ascii="仿宋_GB2312" w:eastAsia="仿宋_GB2312" w:cs="宋体" w:hint="eastAsia"/>
          <w:sz w:val="32"/>
          <w:szCs w:val="32"/>
          <w:lang w:eastAsia="zh-CN"/>
        </w:rPr>
        <w:t>深入排查化解矛盾隐患，集中治理重复信访化解信访积案，全力整治信访突出问题，扎实做好信访维稳工作，工作主动、措施有力、成效明显，维护了和谐稳定的社会环境</w:t>
      </w:r>
      <w:r>
        <w:rPr>
          <w:rFonts w:ascii="仿宋_GB2312" w:eastAsia="仿宋_GB2312" w:cs="宋体" w:hint="eastAsia"/>
          <w:sz w:val="32"/>
          <w:szCs w:val="32"/>
        </w:rPr>
        <w:t>，得6分；机关工作整体满意度高，区委年度考核结果为优秀，得6分；社会公众服务对象满意度为90%以上，得6分。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我部门项目依据充分，项目立项规范，绩效目标合理，绩效指标明确。严格遵守项目库管理办法，对项目的实施实行项目管理责任制。项目资金到位及时，符合部门预算批复的用途，资金利用率均达到100%，最大限度地发挥了资金效益。财务控制有效，会计核算规范。各项工作的顺利推进，满足了信访事业发展的需要，进一步提升综合事务管理保障水平，社会大众对信访各项工作满意度高，项目的绩效目标基本实现。202</w:t>
      </w:r>
      <w:r>
        <w:rPr>
          <w:rFonts w:ascii="仿宋_GB2312" w:eastAsia="仿宋_GB2312" w:cs="宋体"/>
          <w:sz w:val="32"/>
          <w:szCs w:val="32"/>
        </w:rPr>
        <w:t>4</w:t>
      </w:r>
      <w:r>
        <w:rPr>
          <w:rFonts w:ascii="仿宋_GB2312" w:eastAsia="仿宋_GB2312" w:cs="宋体" w:hint="eastAsia"/>
          <w:sz w:val="32"/>
          <w:szCs w:val="32"/>
        </w:rPr>
        <w:t>年度部门整体支出绩效自评得分98分，绩效评价等级为优秀。</w:t>
      </w:r>
    </w:p>
    <w:p>
      <w:pPr>
        <w:ind w:firstLineChars="200" w:firstLine="640"/>
        <w:rPr>
          <w:rFonts w:ascii="宋体" w:eastAsia="黑体" w:cs="Times New Roman" w:hAnsi="宋体"/>
          <w:b/>
          <w:sz w:val="32"/>
          <w:szCs w:val="32"/>
        </w:rPr>
      </w:pPr>
      <w:r>
        <w:rPr>
          <w:rFonts w:ascii="宋体" w:eastAsia="黑体" w:cs="Times New Roman" w:hAnsi="宋体"/>
          <w:b/>
          <w:sz w:val="32"/>
          <w:szCs w:val="32"/>
        </w:rPr>
        <w:t>四、存在的问题和建议</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（1）存在的问题</w:t>
      </w:r>
    </w:p>
    <w:p>
      <w:pPr>
        <w:spacing w:line="560" w:lineRule="exact"/>
        <w:ind w:firstLineChars="200" w:firstLine="640"/>
        <w:rPr>
          <w:rFonts w:ascii="仿宋_GB2312" w:eastAsia="仿宋_GB2312" w:cs="宋体" w:hint="eastAsia"/>
          <w:sz w:val="32"/>
          <w:szCs w:val="32"/>
          <w:lang w:bidi="ar-SA"/>
        </w:rPr>
      </w:pPr>
      <w:r>
        <w:rPr>
          <w:rFonts w:ascii="仿宋_GB2312" w:eastAsia="仿宋_GB2312" w:cs="宋体" w:hint="eastAsia"/>
          <w:sz w:val="32"/>
          <w:szCs w:val="32"/>
          <w:lang w:bidi="ar-SA"/>
        </w:rPr>
        <w:t>我部门在绩效管理中，发现项目绩效指标不够细化，绩效指标与某些具体工作内容没有实现有效匹配,在指标值的清晰性、可衡量性方面不能实现全面准确的体现。</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（2）相关建议</w:t>
      </w:r>
    </w:p>
    <w:p>
      <w:pPr>
        <w:ind w:firstLineChars="200" w:firstLine="640"/>
        <w:rPr>
          <w:rFonts w:ascii="仿宋_GB2312" w:eastAsia="仿宋_GB2312" w:cs="宋体" w:hint="eastAsia"/>
          <w:sz w:val="32"/>
          <w:szCs w:val="32"/>
        </w:rPr>
      </w:pPr>
      <w:r>
        <w:rPr>
          <w:rFonts w:ascii="仿宋_GB2312" w:eastAsia="仿宋_GB2312" w:cs="宋体" w:hint="eastAsia"/>
          <w:sz w:val="32"/>
          <w:szCs w:val="32"/>
          <w:lang w:bidi="ar-SA"/>
        </w:rPr>
        <w:t>我部门将加强绩效管理，完善项目绩效指标的设定，力求在细化分解项目绩效目标方面更加科学合理，争取通过清晰、可衡量的指标值予以体现。</w:t>
      </w:r>
    </w:p>
    <w:p>
      <w:pPr>
        <w:ind w:firstLineChars="200" w:firstLine="640"/>
        <w:rPr>
          <w:rFonts w:ascii="宋体" w:eastAsia="黑体" w:cs="Times New Roman" w:hAnsi="宋体"/>
          <w:b/>
          <w:bCs/>
          <w:sz w:val="32"/>
          <w:szCs w:val="32"/>
        </w:rPr>
      </w:pPr>
      <w:r>
        <w:rPr>
          <w:rFonts w:ascii="宋体" w:eastAsia="黑体" w:cs="Times New Roman" w:hAnsi="宋体"/>
          <w:b/>
          <w:bCs/>
          <w:sz w:val="32"/>
          <w:szCs w:val="32"/>
        </w:rPr>
        <w:t>五、</w:t>
      </w:r>
      <w:r>
        <w:rPr>
          <w:rFonts w:ascii="宋体" w:eastAsia="黑体" w:cs="Times New Roman" w:hAnsi="宋体" w:hint="eastAsia"/>
          <w:b/>
          <w:bCs/>
          <w:sz w:val="32"/>
          <w:szCs w:val="32"/>
        </w:rPr>
        <w:t>其他需要说明的问题</w:t>
      </w:r>
    </w:p>
    <w:p>
      <w:pPr>
        <w:ind w:firstLineChars="200" w:firstLine="640"/>
        <w:rPr>
          <w:rFonts w:ascii="宋体" w:eastAsia="仿宋" w:cs="宋体" w:hAnsi="宋体" w:hint="eastAsia"/>
          <w:b/>
          <w:bCs/>
          <w:spacing w:val="6"/>
          <w:kern w:val="0"/>
          <w:sz w:val="32"/>
          <w:szCs w:val="32"/>
        </w:rPr>
      </w:pPr>
      <w:r>
        <w:rPr>
          <w:rFonts w:ascii="仿宋_GB2312" w:eastAsia="仿宋_GB2312" w:cs="宋体" w:hAnsi="宋体" w:hint="eastAsia"/>
          <w:sz w:val="32"/>
          <w:szCs w:val="32"/>
        </w:rPr>
        <w:t>无。</w:t>
      </w:r>
    </w:p>
    <w:sectPr>
      <w:footerReference w:type="default" r:id="rId2"/>
      <w:footerReference w:type="even" r:id="rId3"/>
      <w:pgSz w:w="11906" w:h="16838"/>
      <w:pgMar w:top="1757" w:right="1474" w:bottom="1531" w:left="1587" w:header="851" w:footer="992" w:gutter="0"/>
      <w:pgNumType w:start="1"/>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auto"/>
    <w:pitch w:val="variable"/>
    <w:sig w:usb0="00000A87" w:usb1="00000000" w:usb2="00000000" w:usb3="00000000" w:csb0="400001BF" w:csb1="DFF70000"/>
  </w:font>
  <w:font w:name="仿宋">
    <w:panose1 w:val="02010609060101010101"/>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exact" w:h="199"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p>
  <w:p>
    <w:pPr>
      <w:pStyle w:val="15"/>
      <w:framePr w:w="0" w:hRule="exact" w:h="199"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p>
  <w:p>
    <w:pPr>
      <w:pStyle w:val="1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CF1037F-32BE-4EB6-92C1-D4FBCD9C49B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8935</TotalTime>
  <Application>Yozo_Office27021597764231179</Application>
  <Pages>7</Pages>
  <Words>0</Words>
  <Characters>2145</Characters>
  <Lines>0</Lines>
  <Paragraphs>62</Paragraphs>
  <CharactersWithSpaces>2860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6</cp:revision>
  <cp:lastPrinted>2024-05-17T03:08:56Z</cp:lastPrinted>
  <dcterms:created xsi:type="dcterms:W3CDTF">2020-08-25T07:30:00Z</dcterms:created>
  <dcterms:modified xsi:type="dcterms:W3CDTF">2025-02-24T01:34:04Z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2052-10.8.2.6948</vt:lpwstr>
  </property>
</Properties>
</file>