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  <w:r>
        <w:rPr>
          <w:rFonts w:ascii="仿宋_GB2312" w:eastAsia="仿宋_GB2312" w:hint="eastAsia"/>
          <w:sz w:val="72"/>
          <w:szCs w:val="72"/>
        </w:rPr>
        <w:t>唐山市丰南区殡仪馆</w:t>
      </w: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  <w:r>
        <w:rPr>
          <w:rFonts w:ascii="仿宋_GB2312" w:eastAsia="仿宋_GB2312" w:hint="eastAsia"/>
          <w:sz w:val="72"/>
          <w:szCs w:val="72"/>
        </w:rPr>
        <w:t>2021年部门预算公开</w:t>
      </w: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  <w:sectPr>
          <w:headerReference w:type="default" r:id="rId2"/>
          <w:pgSz w:w="11906" w:h="16838"/>
          <w:pgMar w:top="1985" w:right="1531" w:bottom="1701" w:left="1531" w:header="851" w:footer="992" w:gutter="0"/>
          <w:docGrid w:type="lines" w:linePitch="312" w:charSpace="-2048"/>
        </w:sectPr>
      </w:pPr>
      <w:r>
        <w:rPr>
          <w:rFonts w:ascii="仿宋_GB2312" w:eastAsia="仿宋_GB2312" w:hint="eastAsia"/>
          <w:sz w:val="44"/>
          <w:szCs w:val="44"/>
        </w:rPr>
        <w:t>2021年3月</w:t>
      </w:r>
    </w:p>
    <w:p>
      <w:pPr>
        <w:jc w:val="both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2021年单位预算公开目录</w:t>
      </w:r>
    </w:p>
    <w:p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>
      <w:pPr>
        <w:ind w:firstLineChars="200" w:firstLine="64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 2021年单位预算公开有关事项的说明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一、单位职责及机构设置情况</w:t>
      </w:r>
    </w:p>
    <w:p>
      <w:pPr>
        <w:tabs>
          <w:tab w:val="left" w:pos="4820"/>
        </w:tabs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二、单位预算安排的总体情况</w:t>
      </w:r>
    </w:p>
    <w:p>
      <w:pPr>
        <w:autoSpaceDE w:val="0"/>
        <w:autoSpaceDN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三、机关运行经费安排情况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五、绩效预算信息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六、政府采购预算信息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七、国有资产信息</w:t>
      </w:r>
    </w:p>
    <w:p>
      <w:pPr>
        <w:autoSpaceDE w:val="0"/>
        <w:autoSpaceDN w:val="0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八、名词解释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九、其他需要说明的事项</w:t>
      </w:r>
    </w:p>
    <w:p>
      <w:pPr>
        <w:ind w:firstLineChars="200" w:firstLine="64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 2021年单位预算公开报表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一、单位预算收支总表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二、单位预算收入总表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三、单位预算支出总表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四、单位预算财政拨款收支总表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五、单位预算一般公共预算财政拨款支出表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六、单位预算一般公共预算财政拨款基本支出表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七、单位预算政府基金预算财政拨款支出表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八、单位预算国有资本经营预算财政拨款支出表</w:t>
      </w: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九、单位预算财政拨款“三公”经费支出表</w:t>
      </w:r>
    </w:p>
    <w:p>
      <w:pPr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 w:hint="eastAsia"/>
        </w:rPr>
      </w:pPr>
    </w:p>
    <w:p>
      <w:pPr>
        <w:spacing w:line="560" w:lineRule="exact"/>
        <w:ind w:left="0"/>
        <w:rPr>
          <w:rFonts w:ascii="仿宋_GB2312" w:eastAsia="仿宋_GB2312" w:hint="eastAsia"/>
          <w:sz w:val="32"/>
          <w:szCs w:val="32"/>
        </w:rPr>
        <w:sectPr>
          <w:footerReference w:type="default" r:id="rId3"/>
          <w:pgSz w:w="11906" w:h="16838"/>
          <w:pgMar w:top="1985" w:right="1531" w:bottom="1701" w:left="1531" w:header="851" w:footer="992" w:gutter="0"/>
          <w:docGrid w:type="lines" w:linePitch="312" w:charSpace="0"/>
        </w:sectPr>
      </w:pPr>
    </w:p>
    <w:p>
      <w:pPr>
        <w:spacing w:line="560" w:lineRule="exact"/>
        <w:ind w:left="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唐山市丰南区殡仪馆</w:t>
      </w:r>
    </w:p>
    <w:p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2021年单位预算公开有关事项的说明</w:t>
      </w:r>
    </w:p>
    <w:p>
      <w:pPr>
        <w:spacing w:line="560" w:lineRule="exact"/>
        <w:ind w:firstLine="200"/>
        <w:jc w:val="center"/>
        <w:rPr>
          <w:rFonts w:ascii="仿宋_GB2312" w:eastAsia="仿宋_GB2312" w:hint="eastAsia"/>
          <w:b/>
          <w:sz w:val="44"/>
          <w:szCs w:val="44"/>
        </w:rPr>
      </w:pPr>
    </w:p>
    <w:p>
      <w:pPr>
        <w:spacing w:line="560" w:lineRule="exact"/>
        <w:ind w:firstLineChars="208" w:firstLine="66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按照《预算法》、《河北省预决算公开操作规程实施细则》规定，现将</w:t>
      </w:r>
      <w:r>
        <w:rPr>
          <w:rFonts w:ascii="仿宋_GB2312" w:eastAsia="仿宋_GB2312" w:hint="eastAsia"/>
          <w:color w:val="000000"/>
          <w:sz w:val="32"/>
          <w:szCs w:val="32"/>
        </w:rPr>
        <w:t>丰南区殡仪馆2</w:t>
      </w:r>
      <w:r>
        <w:rPr>
          <w:rFonts w:ascii="仿宋_GB2312" w:eastAsia="仿宋_GB2312" w:hint="eastAsia"/>
          <w:sz w:val="32"/>
          <w:szCs w:val="32"/>
        </w:rPr>
        <w:t>021年单位预算公开如下：</w:t>
      </w:r>
    </w:p>
    <w:p>
      <w:pPr>
        <w:numPr>
          <w:ilvl w:val="0"/>
          <w:numId w:val="1"/>
        </w:numPr>
        <w:adjustRightInd/>
        <w:snapToGrid/>
        <w:spacing w:after="0" w:line="560" w:lineRule="exact"/>
        <w:ind w:left="0" w:firstLineChars="200" w:firstLine="640"/>
        <w:jc w:val="both"/>
        <w:textAlignment w:val="baseline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单位职责及机构设置情况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1、单位职责：</w:t>
      </w:r>
      <w:r>
        <w:rPr>
          <w:rFonts w:ascii="仿宋_GB2312" w:eastAsia="仿宋_GB2312" w:hint="eastAsia"/>
          <w:color w:val="000000"/>
          <w:sz w:val="32"/>
          <w:szCs w:val="32"/>
        </w:rPr>
        <w:t>负责县区内遗体的接送、火化、骨灰寄存等殡葬工作。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2、</w:t>
      </w:r>
      <w:r>
        <w:rPr>
          <w:rFonts w:ascii="仿宋_GB2312" w:eastAsia="仿宋_GB2312" w:hint="eastAsia"/>
          <w:b/>
          <w:sz w:val="32"/>
          <w:szCs w:val="32"/>
        </w:rPr>
        <w:t>机构设置：</w:t>
      </w:r>
      <w:r>
        <w:rPr>
          <w:rFonts w:ascii="仿宋_GB2312" w:eastAsia="仿宋_GB2312" w:hint="eastAsia"/>
          <w:color w:val="000000"/>
          <w:sz w:val="32"/>
          <w:szCs w:val="32"/>
        </w:rPr>
        <w:t>我单位为民政局下属单位，是自收自支股级事业单位，设4个内设机构：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业务室：负责丧属的接待，殡葬收费，发放火化证、开具死亡证明等业务。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车队：负责故者遗体的接运。</w:t>
      </w:r>
    </w:p>
    <w:p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办公室：负责食堂，院内卫生等后勤事务。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火化组：负责遗体火化、整容等业务。</w:t>
      </w:r>
    </w:p>
    <w:p>
      <w:pPr>
        <w:spacing w:line="560" w:lineRule="exact"/>
        <w:ind w:leftChars="85" w:left="187" w:firstLine="5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机构设置：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1056"/>
        <w:gridCol w:w="1189"/>
        <w:gridCol w:w="2702"/>
      </w:tblGrid>
      <w:tr>
        <w:trPr>
          <w:trHeight w:val="500"/>
          <w:tblHeader/>
        </w:trPr>
        <w:tc>
          <w:tcPr>
            <w:tcW w:w="38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单位名称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单位性质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单位规格</w:t>
            </w:r>
          </w:p>
        </w:tc>
        <w:tc>
          <w:tcPr>
            <w:tcW w:w="2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经费保障形式</w:t>
            </w:r>
          </w:p>
        </w:tc>
      </w:tr>
      <w:tr>
        <w:trPr>
          <w:trHeight w:val="466"/>
          <w:tblHeader/>
        </w:trPr>
        <w:tc>
          <w:tcPr>
            <w:tcW w:w="3875" w:type="dxa"/>
            <w:vMerge/>
            <w:vAlign w:val="center"/>
          </w:tcPr>
          <w:p/>
        </w:tc>
        <w:tc>
          <w:tcPr>
            <w:tcW w:w="1056" w:type="dxa"/>
            <w:vMerge/>
            <w:vAlign w:val="center"/>
          </w:tcPr>
          <w:p/>
        </w:tc>
        <w:tc>
          <w:tcPr>
            <w:tcW w:w="1189" w:type="dxa"/>
            <w:vMerge/>
            <w:vAlign w:val="center"/>
          </w:tcPr>
          <w:p/>
        </w:tc>
        <w:tc>
          <w:tcPr>
            <w:tcW w:w="2702" w:type="dxa"/>
            <w:vMerge/>
            <w:vAlign w:val="center"/>
          </w:tcPr>
          <w:p/>
        </w:tc>
      </w:tr>
      <w:tr>
        <w:trPr>
          <w:trHeight w:val="694"/>
        </w:trPr>
        <w:tc>
          <w:tcPr>
            <w:tcW w:w="3875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/>
                <w:szCs w:val="24"/>
              </w:rPr>
              <w:t>唐山市丰南区殡仪馆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/>
                <w:szCs w:val="24"/>
              </w:rPr>
              <w:t>事业单位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/>
                <w:szCs w:val="24"/>
              </w:rPr>
              <w:t>股级</w:t>
            </w:r>
          </w:p>
        </w:tc>
        <w:tc>
          <w:tcPr>
            <w:tcW w:w="270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/>
                <w:szCs w:val="24"/>
              </w:rPr>
              <w:t>自收自支</w:t>
            </w:r>
          </w:p>
        </w:tc>
      </w:tr>
    </w:tbl>
    <w:p>
      <w:pPr>
        <w:spacing w:line="560" w:lineRule="exact"/>
        <w:ind w:leftChars="85" w:left="187" w:firstLine="5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3、人员构成</w:t>
      </w:r>
    </w:p>
    <w:p>
      <w:pPr>
        <w:spacing w:line="560" w:lineRule="exact"/>
        <w:ind w:leftChars="85" w:left="187"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我单位实有在职12人全部为工勤编制，离退休人员14人</w:t>
      </w:r>
      <w:r>
        <w:rPr>
          <w:rFonts w:ascii="仿宋_GB2312" w:eastAsia="仿宋_GB2312"/>
          <w:sz w:val="32"/>
          <w:szCs w:val="32"/>
        </w:rPr>
        <w:t>，遗属2人，</w:t>
      </w:r>
      <w:r>
        <w:rPr>
          <w:rFonts w:ascii="仿宋_GB2312" w:eastAsia="仿宋_GB2312" w:hint="eastAsia"/>
          <w:sz w:val="32"/>
          <w:szCs w:val="32"/>
        </w:rPr>
        <w:t>劳务派遣24人.</w:t>
      </w:r>
    </w:p>
    <w:p>
      <w:pPr>
        <w:ind w:firstLine="640"/>
        <w:rPr>
          <w:rFonts w:ascii="方正仿宋_GBK" w:eastAsia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cs="方正仿宋_GBK" w:hint="eastAsia"/>
          <w:b/>
          <w:bCs/>
          <w:sz w:val="32"/>
          <w:szCs w:val="32"/>
        </w:rPr>
        <w:t>二、单位预算安排的总体情况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1、收入预算说明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2021年单位收入预算708.4万元，其中：一般公共预算拨款708.4万元，政府性基金预算拨款0万元，国有资本经营预算拨款0万元，财政专户核拨0万元，其它来源收入0万元。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2、支出预算说明 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2021年支出预算708.4万元，其中：人员经费支出174.55万元，日常公用经费支出208.85万元；项目支出325万元，主要用于殡仪馆的各项运营支出。</w:t>
      </w:r>
    </w:p>
    <w:p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3、单位预算较上年增减情况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2021年收入预算较2020年</w:t>
      </w:r>
      <w:r>
        <w:rPr>
          <w:rFonts w:ascii="仿宋_GB2312" w:eastAsia="仿宋_GB2312" w:hint="eastAsia"/>
          <w:color w:val="000000"/>
          <w:sz w:val="32"/>
          <w:szCs w:val="32"/>
        </w:rPr>
        <w:t>增长80.39万元，主要是2021年项目收入预算较大。</w:t>
      </w:r>
    </w:p>
    <w:p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2021年支出预算较2020年增长80.39万元，其中：基本支出增长0.15万元，；项目支出增长80.24万元，主要是项目支出更新，新增了配电改造工程项目，翻建1号平</w:t>
      </w:r>
      <w:r>
        <w:rPr>
          <w:rFonts w:ascii="仿宋_GB2312" w:eastAsia="仿宋_GB2312" w:hint="eastAsia"/>
          <w:sz w:val="32"/>
          <w:szCs w:val="32"/>
        </w:rPr>
        <w:t>板火化炉项目，使项目支出有所增长。</w:t>
      </w:r>
    </w:p>
    <w:p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三、机关运行经费安排情况</w:t>
      </w: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2021年机关运行经费208.85万元，包括办公费15万元，电费13万元，差旅费1万元，物业管理费4万元，维修费3万元，专用材料费35万元，专用燃料费15万元，劳务费105.85万元，其他交通费用17万元。</w:t>
      </w:r>
    </w:p>
    <w:p>
      <w:pPr>
        <w:autoSpaceDE w:val="0"/>
        <w:autoSpaceDN w:val="0"/>
        <w:spacing w:line="560" w:lineRule="exact"/>
        <w:ind w:firstLineChars="225" w:firstLine="720"/>
        <w:rPr>
          <w:rFonts w:ascii="仿宋_GB2312" w:eastAsia="仿宋_GB2312" w:hint="eastAsia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四、财政拨款“三公”经费预算情况及增减变化原因</w:t>
      </w:r>
    </w:p>
    <w:p>
      <w:pPr>
        <w:spacing w:line="56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2021年，财政拨款“三公”经费预算安排0万元，与2020年相比无增减变化，其中：</w:t>
      </w:r>
      <w:r>
        <w:rPr>
          <w:rFonts w:ascii="仿宋_GB2312" w:eastAsia="仿宋_GB2312" w:cs="Arial Unicode MS" w:hint="eastAsia"/>
          <w:sz w:val="32"/>
          <w:szCs w:val="32"/>
        </w:rPr>
        <w:t>①</w:t>
      </w:r>
      <w:r>
        <w:rPr>
          <w:rFonts w:ascii="仿宋_GB2312" w:eastAsia="仿宋_GB2312" w:hint="eastAsia"/>
          <w:sz w:val="32"/>
          <w:szCs w:val="32"/>
        </w:rPr>
        <w:t>因公出国（境）费0万元，与2020年相比无增减变化；</w:t>
      </w:r>
      <w:r>
        <w:rPr>
          <w:rFonts w:ascii="仿宋_GB2312" w:eastAsia="仿宋_GB2312" w:cs="Arial Unicode MS" w:hint="eastAsia"/>
          <w:sz w:val="32"/>
          <w:szCs w:val="32"/>
        </w:rPr>
        <w:t>②</w:t>
      </w:r>
      <w:r>
        <w:rPr>
          <w:rFonts w:ascii="仿宋_GB2312" w:eastAsia="仿宋_GB2312" w:hint="eastAsia"/>
          <w:sz w:val="32"/>
          <w:szCs w:val="32"/>
        </w:rPr>
        <w:t>公务用车购置及运行费0万元，其中：公务用车购置费为0万元，与2020年相比无增减变化；公务用车运行费0万元，与2020年相比无增减变化；</w:t>
      </w:r>
      <w:r>
        <w:rPr>
          <w:rFonts w:ascii="仿宋_GB2312" w:eastAsia="仿宋_GB2312" w:cs="Arial Unicode MS" w:hint="eastAsia"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公务接待费0万元，与2020年相比无增减变化。</w:t>
      </w:r>
    </w:p>
    <w:p>
      <w:pPr>
        <w:autoSpaceDE w:val="0"/>
        <w:autoSpaceDN w:val="0"/>
        <w:spacing w:line="560" w:lineRule="exact"/>
        <w:ind w:left="198" w:firstLineChars="200" w:firstLine="640"/>
        <w:rPr>
          <w:rFonts w:ascii="仿宋_GB2312" w:eastAsia="仿宋_GB2312" w:hint="eastAsia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五、绩效预算信息</w:t>
      </w:r>
    </w:p>
    <w:p>
      <w:pPr>
        <w:spacing w:line="560" w:lineRule="exact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第一部分 部门整体绩效目标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总体绩效目标：</w:t>
      </w:r>
      <w:r>
        <w:rPr>
          <w:rFonts w:eastAsia="方正仿宋_GBK"/>
          <w:sz w:val="28"/>
        </w:rPr>
        <w:t>殡葬设施满足群众基本需求和环境保护标准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（二）分项绩效目标：</w:t>
      </w:r>
      <w:r>
        <w:rPr>
          <w:rFonts w:eastAsia="方正仿宋_GBK"/>
          <w:sz w:val="28"/>
        </w:rPr>
        <w:t>逐步改造殡葬服务设施，殡葬设施满足群众基本需求和环境保护标准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spacing w:line="500" w:lineRule="exact"/>
        <w:ind w:firstLineChars="200" w:firstLine="640"/>
        <w:rPr>
          <w:rFonts w:eastAsia="方正仿宋_GBK"/>
          <w:sz w:val="28"/>
        </w:rPr>
      </w:pPr>
      <w:r>
        <w:rPr>
          <w:rFonts w:ascii="仿宋_GB2312" w:eastAsia="仿宋_GB2312" w:hint="eastAsia"/>
          <w:sz w:val="32"/>
          <w:szCs w:val="32"/>
        </w:rPr>
        <w:t>（三）工作保障措施：</w:t>
      </w:r>
    </w:p>
    <w:p>
      <w:pPr>
        <w:spacing w:line="500" w:lineRule="exact"/>
        <w:ind w:firstLineChars="200" w:firstLine="560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加强培训，服务能力。殡仪馆工作人员等开展业务技能专项培训，不断提高基层民政队伍素质和服务能力。 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 专项资金绩效目标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无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预算项目绩效目标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方正仿宋_GBK" w:eastAsia="方正仿宋_GBK" w:hint="eastAsia"/>
          <w:b/>
          <w:sz w:val="28"/>
        </w:rPr>
        <w:t>殡仪馆整体翻建1号平板火化炉</w:t>
      </w:r>
      <w:r>
        <w:rPr>
          <w:rFonts w:ascii="仿宋_GB2312" w:eastAsia="仿宋_GB2312" w:hint="eastAsia"/>
          <w:sz w:val="32"/>
          <w:szCs w:val="32"/>
        </w:rPr>
        <w:t>（项目）绩效目标表</w:t>
      </w:r>
    </w:p>
    <w:tbl>
      <w:tblPr>
        <w:jc w:val="center"/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775"/>
      </w:tblGrid>
      <w:tr>
        <w:trPr>
          <w:trHeight w:val="780"/>
        </w:trPr>
        <w:tc>
          <w:tcPr>
            <w:tcW w:w="1660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7775" w:type="dxa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保障完成火化任务</w:t>
            </w:r>
          </w:p>
        </w:tc>
      </w:tr>
    </w:tbl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07"/>
        <w:gridCol w:w="1102"/>
        <w:gridCol w:w="2891"/>
        <w:gridCol w:w="1276"/>
        <w:gridCol w:w="1701"/>
      </w:tblGrid>
      <w:tr>
        <w:trPr>
          <w:cantSplit/>
          <w:trHeight w:val="584"/>
          <w:tblHeader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购置数量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购置合同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购置验收通过率（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购置质量验收合格的数量占购置总数量的比率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完成及时性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工作及时完成度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公共服务水平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稳步提升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稳步提升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服务专业化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提升民政服务专业化程度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显著提升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使用人员满意度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问卷调查</w:t>
            </w:r>
          </w:p>
        </w:tc>
      </w:tr>
    </w:tbl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方正仿宋_GBK" w:eastAsia="方正仿宋_GBK" w:hint="eastAsia"/>
          <w:b/>
          <w:sz w:val="28"/>
        </w:rPr>
        <w:t>采购未付-殡仪馆维修改造工程（以前年度）</w:t>
      </w:r>
      <w:r>
        <w:rPr>
          <w:rFonts w:ascii="仿宋_GB2312" w:eastAsia="仿宋_GB2312" w:hint="eastAsia"/>
          <w:sz w:val="32"/>
          <w:szCs w:val="32"/>
        </w:rPr>
        <w:t>（项目）绩效目标表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775"/>
      </w:tblGrid>
      <w:tr>
        <w:trPr>
          <w:trHeight w:val="780"/>
        </w:trPr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077" w:type="dxa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殡仪馆改造工程，完善配套设施</w:t>
            </w:r>
          </w:p>
        </w:tc>
      </w:tr>
    </w:tbl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07"/>
        <w:gridCol w:w="1102"/>
        <w:gridCol w:w="2891"/>
        <w:gridCol w:w="1276"/>
        <w:gridCol w:w="1701"/>
      </w:tblGrid>
      <w:tr>
        <w:trPr>
          <w:cantSplit/>
          <w:trHeight w:val="584"/>
          <w:tblHeader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工程完工占应完工比例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竣工报告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验收通过率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验收合格占总工程比例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招标采购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政府招标采购压缩成本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是否政府采购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采购手续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公共服务水平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稳步提升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稳步提升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服务专业化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提升民政服务专业化程度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显著提升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使用人员满意度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问卷调查</w:t>
            </w:r>
          </w:p>
        </w:tc>
      </w:tr>
    </w:tbl>
    <w:p>
      <w:pPr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方正仿宋_GBK" w:eastAsia="方正仿宋_GBK" w:hint="eastAsia"/>
          <w:b/>
          <w:sz w:val="28"/>
        </w:rPr>
        <w:t>殡仪馆配电改造工程</w:t>
      </w:r>
      <w:r>
        <w:rPr>
          <w:rFonts w:ascii="仿宋_GB2312" w:eastAsia="仿宋_GB2312" w:hint="eastAsia"/>
          <w:sz w:val="32"/>
          <w:szCs w:val="32"/>
        </w:rPr>
        <w:t>（项目）绩效目标表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775"/>
      </w:tblGrid>
      <w:tr>
        <w:trPr>
          <w:trHeight w:val="780"/>
        </w:trPr>
        <w:tc>
          <w:tcPr>
            <w:tcW w:w="1335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077" w:type="dxa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保障殡仪馆火化工作正常运行</w:t>
            </w:r>
          </w:p>
        </w:tc>
      </w:tr>
    </w:tbl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07"/>
        <w:gridCol w:w="1102"/>
        <w:gridCol w:w="2891"/>
        <w:gridCol w:w="1276"/>
        <w:gridCol w:w="1701"/>
      </w:tblGrid>
      <w:tr>
        <w:trPr>
          <w:cantSplit/>
          <w:trHeight w:val="584"/>
          <w:tblHeader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工程完工占应完工比例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竣工报告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验收合格占总工程比例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工作及时率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工作完成的及时程度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验收报告</w:t>
            </w:r>
          </w:p>
        </w:tc>
      </w:tr>
      <w:tr>
        <w:trPr>
          <w:cantSplit/>
          <w:trHeight w:val="510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公共服务水平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稳步提升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稳步提升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Merge/>
            <w:vAlign w:val="center"/>
          </w:tcPr>
          <w:p/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服务专业化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提升民政服务专业化程度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显著提升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</w:p>
        </w:tc>
      </w:tr>
      <w:tr>
        <w:trPr>
          <w:cantSplit/>
          <w:trHeight w:val="510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问卷调查</w:t>
            </w:r>
          </w:p>
        </w:tc>
      </w:tr>
    </w:tbl>
    <w:p>
      <w:pPr>
        <w:autoSpaceDE w:val="0"/>
        <w:autoSpaceDN w:val="0"/>
        <w:spacing w:line="560" w:lineRule="exact"/>
        <w:ind w:firstLineChars="250" w:firstLine="80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六、政府采购预算信息</w:t>
      </w:r>
    </w:p>
    <w:p>
      <w:pPr>
        <w:spacing w:line="560" w:lineRule="exact"/>
        <w:ind w:leftChars="85" w:left="187" w:firstLineChars="218" w:firstLine="69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2021年部门预算共计安排政府采购项目2个,涉及金额190万元。其中：货物类1个,涉及金额40万元,主要包括1套火化炉；工程类1个,涉及金额150万元,主要包括新增配电线路工程。</w:t>
      </w:r>
    </w:p>
    <w:p>
      <w:pPr>
        <w:outlineLvl w:val="1"/>
        <w:rPr>
          <w:rFonts w:hint="eastAsia"/>
          <w:sz w:val="32"/>
        </w:rPr>
      </w:pPr>
      <w:r>
        <w:rPr>
          <w:rFonts w:ascii="仿宋_GB2312" w:eastAsia="仿宋_GB2312" w:hint="eastAsia"/>
          <w:sz w:val="32"/>
          <w:szCs w:val="32"/>
        </w:rPr>
        <w:t>列表如下：</w:t>
      </w:r>
    </w:p>
    <w:p>
      <w:pPr>
        <w:jc w:val="center"/>
        <w:outlineLvl w:val="1"/>
        <w:rPr>
          <w:rFonts w:hint="eastAsia"/>
          <w:sz w:val="32"/>
        </w:rPr>
      </w:pPr>
      <w:r>
        <w:rPr>
          <w:rFonts w:ascii="方正小标宋_GBK" w:eastAsia="方正小标宋_GBK" w:hint="eastAsia"/>
          <w:sz w:val="32"/>
        </w:rPr>
        <w:t>单位政府采购预算</w:t>
      </w:r>
    </w:p>
    <w:tbl>
      <w:tblPr>
        <w:jc w:val="center"/>
        <w:tblW w:w="9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87"/>
        <w:gridCol w:w="567"/>
        <w:gridCol w:w="993"/>
        <w:gridCol w:w="708"/>
        <w:gridCol w:w="426"/>
        <w:gridCol w:w="811"/>
        <w:gridCol w:w="890"/>
        <w:gridCol w:w="992"/>
        <w:gridCol w:w="613"/>
        <w:gridCol w:w="710"/>
        <w:gridCol w:w="567"/>
        <w:gridCol w:w="426"/>
      </w:tblGrid>
      <w:tr>
        <w:trPr>
          <w:cantSplit/>
          <w:tblHeader/>
        </w:trPr>
        <w:tc>
          <w:tcPr>
            <w:tcW w:w="55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412</w:t>
            </w:r>
            <w:r>
              <w:rPr>
                <w:rFonts w:ascii="方正小标宋_GBK" w:eastAsia="方正小标宋_GBK" w:hint="eastAsia"/>
                <w:sz w:val="24"/>
              </w:rPr>
              <w:t>唐山市丰南区殡仪馆</w:t>
            </w:r>
          </w:p>
        </w:tc>
        <w:tc>
          <w:tcPr>
            <w:tcW w:w="419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>
        <w:trPr>
          <w:cantSplit/>
          <w:tblHeader/>
        </w:trPr>
        <w:tc>
          <w:tcPr>
            <w:tcW w:w="205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政府采购项目来源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采购物品名称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政府采购目录序号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计量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单位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数量</w:t>
            </w:r>
          </w:p>
        </w:tc>
        <w:tc>
          <w:tcPr>
            <w:tcW w:w="811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单价</w:t>
            </w:r>
          </w:p>
        </w:tc>
        <w:tc>
          <w:tcPr>
            <w:tcW w:w="4198" w:type="dxa"/>
            <w:gridSpan w:val="6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政府采购金额（当年部门预算安排资金）</w:t>
            </w:r>
          </w:p>
        </w:tc>
      </w:tr>
      <w:tr>
        <w:trPr>
          <w:cantSplit/>
          <w:tblHeader/>
        </w:trPr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预算资金</w:t>
            </w: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/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/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/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/>
        </w:tc>
        <w:tc>
          <w:tcPr>
            <w:tcW w:w="811" w:type="dxa"/>
            <w:vMerge/>
            <w:shd w:val="clear" w:color="auto" w:fill="auto"/>
            <w:noWrap/>
            <w:vAlign w:val="center"/>
          </w:tcPr>
          <w:p/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单位资金</w:t>
            </w:r>
          </w:p>
        </w:tc>
      </w:tr>
      <w:tr>
        <w:trPr>
          <w:cantSplit/>
        </w:trPr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190.00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190.00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rPr>
          <w:cantSplit/>
        </w:trPr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唐山市丰南区殡仪馆小计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/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190.00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rPr>
          <w:cantSplit/>
        </w:trPr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殡仪馆配电改造工程项目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配电线路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A030505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150.00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150.00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rPr>
          <w:cantSplit/>
        </w:trPr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殡仪馆整体翻建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号平板火化炉项目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火化设备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A032901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台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七、国有资产信息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我单位2020年底固定资产</w:t>
      </w:r>
      <w:r>
        <w:rPr>
          <w:rFonts w:ascii="仿宋_GB2312" w:eastAsia="仿宋_GB2312" w:hint="eastAsia"/>
          <w:color w:val="000000"/>
          <w:sz w:val="32"/>
          <w:szCs w:val="32"/>
        </w:rPr>
        <w:t>1425.66</w:t>
      </w:r>
      <w:r>
        <w:rPr>
          <w:rFonts w:ascii="仿宋_GB2312" w:eastAsia="仿宋_GB2312" w:hint="eastAsia"/>
          <w:sz w:val="32"/>
          <w:szCs w:val="32"/>
        </w:rPr>
        <w:t>万元，其中其中房屋3905平米，价值475.69万元，车辆11辆，价值118.02万元，</w:t>
      </w:r>
      <w:r>
        <w:rPr>
          <w:rFonts w:ascii="仿宋_GB2312" w:eastAsia="仿宋_GB2312" w:hint="eastAsia"/>
          <w:color w:val="000000"/>
          <w:sz w:val="32"/>
          <w:szCs w:val="32"/>
        </w:rPr>
        <w:t>火化炉尾气处理设备3台，价值176.8万元、遗物焚烧炉1台，价值82万元、12生肖焚烧炉一组，价值78万元。</w:t>
      </w:r>
    </w:p>
    <w:tbl>
      <w:tblPr>
        <w:jc w:val="left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689"/>
        <w:gridCol w:w="4131"/>
      </w:tblGrid>
      <w:tr>
        <w:trPr>
          <w:trHeight w:val="84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cs="宋体" w:hAnsi="宋体" w:hint="eastAsia"/>
                <w:b/>
                <w:bCs/>
                <w:sz w:val="32"/>
                <w:szCs w:val="32"/>
              </w:rPr>
              <w:t>部门固定资产占用情况表</w:t>
            </w:r>
          </w:p>
        </w:tc>
      </w:tr>
      <w:tr>
        <w:trPr>
          <w:trHeight w:val="612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编制部门：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 w:hAnsi="宋体" w:hint="eastAsia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截止时间：2020年12月31日</w:t>
            </w:r>
          </w:p>
        </w:tc>
      </w:tr>
      <w:tr>
        <w:trPr>
          <w:trHeight w:val="3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bCs/>
              </w:rPr>
            </w:pPr>
            <w:r>
              <w:rPr>
                <w:rFonts w:ascii="宋体" w:cs="宋体" w:hAnsi="宋体" w:hint="eastAsia"/>
                <w:b/>
                <w:bCs/>
              </w:rPr>
              <w:t>项目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bCs/>
              </w:rPr>
            </w:pPr>
            <w:r>
              <w:rPr>
                <w:rFonts w:ascii="宋体" w:cs="宋体" w:hAnsi="宋体" w:hint="eastAsia"/>
                <w:b/>
                <w:bCs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b/>
                <w:bCs/>
              </w:rPr>
            </w:pPr>
            <w:r>
              <w:rPr>
                <w:rFonts w:ascii="宋体" w:cs="宋体" w:hAnsi="宋体" w:hint="eastAsia"/>
                <w:b/>
                <w:bCs/>
              </w:rPr>
              <w:t>价值（金额单位：万元）</w:t>
            </w:r>
          </w:p>
        </w:tc>
      </w:tr>
      <w:tr>
        <w:trPr>
          <w:trHeight w:val="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  <w:color w:val="000000"/>
              </w:rPr>
            </w:pPr>
            <w:r>
              <w:rPr>
                <w:rFonts w:eastAsia="仿宋"/>
                <w:color w:val="000000"/>
              </w:rPr>
              <w:t>1425.66</w:t>
            </w:r>
          </w:p>
        </w:tc>
      </w:tr>
      <w:tr>
        <w:trPr>
          <w:trHeight w:val="5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eastAsia="仿宋" w:hint="eastAsia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</w:rPr>
            </w:pPr>
            <w:r>
              <w:rPr>
                <w:rFonts w:eastAsia="仿宋"/>
              </w:rPr>
              <w:t>3905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475.69</w:t>
            </w:r>
          </w:p>
        </w:tc>
      </w:tr>
      <w:tr>
        <w:trPr>
          <w:trHeight w:val="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</w:rPr>
            </w:pPr>
            <w:r>
              <w:rPr>
                <w:rFonts w:eastAsia="仿宋"/>
              </w:rPr>
              <w:t>72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  <w:color w:val="000000"/>
              </w:rPr>
            </w:pPr>
            <w:r>
              <w:rPr>
                <w:rFonts w:eastAsia="仿宋"/>
                <w:color w:val="000000"/>
              </w:rPr>
              <w:t>2.46</w:t>
            </w:r>
          </w:p>
        </w:tc>
      </w:tr>
      <w:tr>
        <w:trPr>
          <w:trHeight w:val="4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  <w:r>
              <w:rPr>
                <w:rFonts w:eastAsia="仿宋" w:hint="eastAsia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</w:rPr>
            </w:pPr>
            <w:r>
              <w:rPr>
                <w:rFonts w:eastAsia="仿宋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</w:rPr>
            </w:pPr>
            <w:r>
              <w:rPr>
                <w:rFonts w:eastAsia="仿宋"/>
              </w:rPr>
              <w:t>118.02</w:t>
            </w:r>
          </w:p>
        </w:tc>
      </w:tr>
      <w:tr>
        <w:trPr>
          <w:trHeight w:val="69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  <w:r>
              <w:rPr>
                <w:rFonts w:eastAsia="仿宋" w:hint="eastAsia"/>
              </w:rPr>
              <w:t>、单价在</w:t>
            </w:r>
            <w:r>
              <w:rPr>
                <w:rFonts w:eastAsia="仿宋"/>
              </w:rPr>
              <w:t>20</w:t>
            </w:r>
            <w:r>
              <w:rPr>
                <w:rFonts w:eastAsia="仿宋" w:hint="eastAsia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</w:rPr>
            </w:pPr>
            <w:r>
              <w:rPr>
                <w:rFonts w:eastAsia="仿宋"/>
              </w:rPr>
              <w:t>488.21</w:t>
            </w:r>
          </w:p>
        </w:tc>
      </w:tr>
      <w:tr>
        <w:trPr>
          <w:trHeight w:val="3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  <w:r>
              <w:rPr>
                <w:rFonts w:eastAsia="仿宋" w:hint="eastAsia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—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 w:hint="eastAsia"/>
              </w:rPr>
            </w:pPr>
            <w:r>
              <w:rPr>
                <w:rFonts w:eastAsia="仿宋"/>
              </w:rPr>
              <w:t>343.74</w:t>
            </w:r>
          </w:p>
        </w:tc>
      </w:tr>
    </w:tbl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2021年我单位拟翻新1号平板火化炉，新增配电线路。</w:t>
      </w:r>
    </w:p>
    <w:p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八、专业名词解释</w:t>
      </w: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基本支出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为保障机构正常运转，完成日常工作任务，而发生的人员支出和公用支出。</w:t>
      </w: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为完成特定行政任务和事业发展目标而发生的费用。    </w:t>
      </w:r>
    </w:p>
    <w:p>
      <w:pPr>
        <w:spacing w:line="560" w:lineRule="exact"/>
        <w:ind w:firstLine="60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九、其他情况说明</w:t>
      </w:r>
    </w:p>
    <w:p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单位预算政府性基金预算财政拨款支出表，此表无数据，因本单位不涉及政府性基金，因此无数据；</w:t>
      </w:r>
    </w:p>
    <w:p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单位预算国有资本经营预算财政拨款支出表，此表无数据，因本单位不涉及国有资本经营，因此无数据。</w:t>
      </w:r>
    </w:p>
    <w:p>
      <w:pPr>
        <w:spacing w:line="220" w:lineRule="atLeast"/>
      </w:pPr>
    </w:p>
    <w:sectPr>
      <w:pgSz w:w="11906" w:h="16838"/>
      <w:pgMar w:top="2098" w:right="1531" w:bottom="1984" w:left="1531" w:header="851" w:footer="992" w:gutter="0"/>
      <w:pgNumType w:start="3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书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pitch w:val="variable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430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9.0pt;height:10.35903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7064522"/>
    <w:multiLevelType w:val="singleLevel"/>
    <w:tmpl w:val="E0665A02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adjustRightInd/>
      <w:snapToGrid w:val="0"/>
      <w:spacing w:after="0"/>
    </w:pPr>
    <w:rPr>
      <w:rFonts w:ascii="Times New Roman" w:eastAsia="宋体" w:cs="Times New Roman" w:hAnsi="Times New Roman"/>
      <w:kern w:val="2"/>
      <w:sz w:val="18"/>
      <w:szCs w:val="20"/>
    </w:rPr>
  </w:style>
  <w:style w:type="paragraph" w:styleId="16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93</TotalTime>
  <Application>Yozo_Office27021597764231179</Application>
  <Pages>1</Pages>
  <Words>1</Words>
  <Characters>7</Characters>
  <Lines>1</Lines>
  <Paragraphs>0</Paragraphs>
  <CharactersWithSpaces>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lenovo</cp:lastModifiedBy>
  <cp:revision>2</cp:revision>
  <dcterms:created xsi:type="dcterms:W3CDTF">2008-09-11T17:20:00Z</dcterms:created>
  <dcterms:modified xsi:type="dcterms:W3CDTF">2021-05-16T04:41:51Z</dcterms:modified>
</cp:coreProperties>
</file>