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>
      <w:pPr>
        <w:spacing w:line="580" w:lineRule="exact"/>
        <w:ind w:left="0"/>
        <w:jc w:val="center"/>
        <w:rPr>
          <w:rFonts w:ascii="方正楷体简体" w:eastAsia="方正楷体简体" w:hint="eastAsia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 xml:space="preserve">（  </w:t>
      </w:r>
      <w:r>
        <w:rPr>
          <w:rFonts w:ascii="方正楷体简体" w:eastAsia="方正楷体简体"/>
          <w:sz w:val="30"/>
          <w:szCs w:val="30"/>
        </w:rPr>
        <w:t>2024</w:t>
      </w:r>
      <w:r>
        <w:rPr>
          <w:rFonts w:ascii="方正楷体简体" w:eastAsia="方正楷体简体" w:hint="eastAsia"/>
          <w:sz w:val="30"/>
          <w:szCs w:val="30"/>
        </w:rPr>
        <w:t xml:space="preserve"> 年度）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  <w:bookmarkStart w:id="0" w:name="_GoBack"/>
      <w:bookmarkEnd w:id="0"/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>唐山市丰南区残疾人联合会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2025年2月</w:t>
      </w:r>
      <w:r>
        <w:rPr>
          <w:rFonts w:eastAsia="方正仿宋简体" w:hint="eastAsia"/>
          <w:sz w:val="30"/>
          <w:szCs w:val="30"/>
          <w:lang w:val="en-US" w:eastAsia="zh-CN"/>
        </w:rPr>
        <w:t xml:space="preserve">  </w:t>
      </w:r>
      <w:r>
        <w:rPr>
          <w:rFonts w:eastAsia="方正仿宋简体"/>
          <w:sz w:val="30"/>
          <w:szCs w:val="30"/>
        </w:rPr>
        <w:t>日　</w:t>
      </w: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jc w:val="center"/>
        <w:rPr>
          <w:rFonts w:eastAsia="方正楷体简体" w:hint="eastAsia"/>
          <w:sz w:val="30"/>
          <w:szCs w:val="30"/>
        </w:rPr>
      </w:pPr>
    </w:p>
    <w:p>
      <w:pPr>
        <w:spacing w:line="580" w:lineRule="exact"/>
        <w:ind w:firstLineChars="200" w:firstLine="428"/>
        <w:rPr>
          <w:rFonts w:eastAsia="方正仿宋简体" w:hint="eastAsia"/>
          <w:sz w:val="30"/>
          <w:szCs w:val="30"/>
        </w:rPr>
      </w:pPr>
      <w:r>
        <w:t> </w:t>
      </w:r>
    </w:p>
    <w:p>
      <w:pPr>
        <w:spacing w:line="58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一、绩效自评工作组织开展情况</w:t>
      </w:r>
    </w:p>
    <w:p>
      <w:pPr>
        <w:pStyle w:val="15"/>
        <w:widowControl/>
        <w:spacing w:line="360" w:lineRule="atLeast"/>
        <w:ind w:firstLineChars="200" w:firstLine="648"/>
        <w:jc w:val="left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  <w:lang w:eastAsia="zh-CN"/>
        </w:rPr>
        <w:t>收</w:t>
      </w:r>
      <w:r>
        <w:rPr>
          <w:rFonts w:ascii="仿宋" w:eastAsia="仿宋" w:cs="仿宋" w:hint="eastAsia"/>
          <w:sz w:val="32"/>
          <w:szCs w:val="32"/>
        </w:rPr>
        <w:t>到区财政局下发的《唐山市丰南区财政局关于全面开展20</w:t>
      </w:r>
      <w:r>
        <w:rPr>
          <w:rFonts w:ascii="仿宋" w:eastAsia="仿宋" w:cs="仿宋"/>
          <w:sz w:val="32"/>
          <w:szCs w:val="32"/>
        </w:rPr>
        <w:t>2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4</w:t>
      </w:r>
      <w:r>
        <w:rPr>
          <w:rFonts w:ascii="仿宋" w:eastAsia="仿宋" w:cs="仿宋" w:hint="eastAsia"/>
          <w:sz w:val="32"/>
          <w:szCs w:val="32"/>
        </w:rPr>
        <w:t>年度财政支出绩效评价工作的通知》（丰财监【202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5</w:t>
      </w:r>
      <w:r>
        <w:rPr>
          <w:rFonts w:ascii="仿宋" w:eastAsia="仿宋" w:cs="仿宋" w:hint="eastAsia"/>
          <w:sz w:val="32"/>
          <w:szCs w:val="32"/>
        </w:rPr>
        <w:t>】</w:t>
      </w:r>
      <w:r>
        <w:rPr>
          <w:rFonts w:ascii="仿宋" w:eastAsia="仿宋" w:cs="仿宋"/>
          <w:sz w:val="32"/>
          <w:szCs w:val="32"/>
        </w:rPr>
        <w:t>1</w:t>
      </w:r>
      <w:r>
        <w:rPr>
          <w:rFonts w:ascii="仿宋" w:eastAsia="仿宋" w:cs="仿宋" w:hint="eastAsia"/>
          <w:sz w:val="32"/>
          <w:szCs w:val="32"/>
        </w:rPr>
        <w:t>号）</w:t>
      </w:r>
      <w:r>
        <w:rPr>
          <w:rFonts w:ascii="仿宋" w:eastAsia="仿宋" w:cs="仿宋"/>
          <w:sz w:val="32"/>
          <w:szCs w:val="32"/>
        </w:rPr>
        <w:t>后</w:t>
      </w:r>
      <w:r>
        <w:rPr>
          <w:rFonts w:ascii="仿宋" w:eastAsia="仿宋" w:cs="仿宋" w:hint="eastAsia"/>
          <w:sz w:val="32"/>
          <w:szCs w:val="32"/>
        </w:rPr>
        <w:t>，我单位领导高度重视，</w:t>
      </w:r>
      <w:r>
        <w:rPr>
          <w:rFonts w:ascii="仿宋" w:eastAsia="仿宋" w:cs="仿宋" w:hint="eastAsia"/>
          <w:color w:val="333333"/>
          <w:sz w:val="32"/>
          <w:szCs w:val="32"/>
        </w:rPr>
        <w:t>第一时间召开中层以上人员专题会议，统一思想认识，通过积极开展绩效评价工作，增强支出绩效意识，提高绩效评价的质量，切实提高财政资金的使用效益。按照财政支出项目绩效全覆盖的要求，明确项目绩效评价的范围为20</w:t>
      </w:r>
      <w:r>
        <w:rPr>
          <w:rFonts w:ascii="仿宋" w:eastAsia="仿宋" w:cs="仿宋"/>
          <w:color w:val="333333"/>
          <w:sz w:val="32"/>
          <w:szCs w:val="32"/>
        </w:rPr>
        <w:t>2</w:t>
      </w:r>
      <w:r>
        <w:rPr>
          <w:rFonts w:ascii="仿宋" w:eastAsia="仿宋" w:cs="仿宋" w:hint="eastAsia"/>
          <w:color w:val="333333"/>
          <w:sz w:val="32"/>
          <w:szCs w:val="32"/>
          <w:lang w:val="en-US" w:eastAsia="zh-CN"/>
        </w:rPr>
        <w:t>4</w:t>
      </w:r>
      <w:r>
        <w:rPr>
          <w:rFonts w:ascii="仿宋" w:eastAsia="仿宋" w:cs="仿宋" w:hint="eastAsia"/>
          <w:color w:val="333333"/>
          <w:sz w:val="32"/>
          <w:szCs w:val="32"/>
        </w:rPr>
        <w:t>年度部门管理或使用的所有专项资金和项目支出。要求各业务科室与财务有效配合，积极开展项目梳理，认真落实评价工作,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并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  <w:t>制定了全面实施财政支出项目绩效评价工作方案、流程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。</w:t>
      </w:r>
      <w:r>
        <w:rPr>
          <w:rFonts w:ascii="仿宋" w:eastAsia="仿宋" w:cs="仿宋" w:hint="eastAsia"/>
          <w:color w:val="333333"/>
          <w:sz w:val="32"/>
          <w:szCs w:val="32"/>
        </w:rPr>
        <w:t>20</w:t>
      </w:r>
      <w:r>
        <w:rPr>
          <w:rFonts w:ascii="仿宋" w:eastAsia="仿宋" w:cs="仿宋"/>
          <w:color w:val="333333"/>
          <w:sz w:val="32"/>
          <w:szCs w:val="32"/>
        </w:rPr>
        <w:t>2</w:t>
      </w:r>
      <w:r>
        <w:rPr>
          <w:rFonts w:ascii="仿宋" w:eastAsia="仿宋" w:cs="仿宋" w:hint="eastAsia"/>
          <w:color w:val="333333"/>
          <w:sz w:val="32"/>
          <w:szCs w:val="32"/>
          <w:lang w:val="en-US" w:eastAsia="zh-CN"/>
        </w:rPr>
        <w:t>4</w:t>
      </w:r>
      <w:r>
        <w:rPr>
          <w:rFonts w:ascii="仿宋" w:eastAsia="仿宋" w:cs="仿宋" w:hint="eastAsia"/>
          <w:color w:val="333333"/>
          <w:sz w:val="32"/>
          <w:szCs w:val="32"/>
        </w:rPr>
        <w:t>年我单位涉及自评项目共</w:t>
      </w:r>
      <w:r>
        <w:rPr>
          <w:rFonts w:ascii="仿宋" w:eastAsia="仿宋" w:cs="仿宋"/>
          <w:color w:val="333333"/>
          <w:sz w:val="32"/>
          <w:szCs w:val="32"/>
        </w:rPr>
        <w:t>4</w:t>
      </w:r>
      <w:r>
        <w:rPr>
          <w:rFonts w:ascii="仿宋" w:eastAsia="仿宋" w:cs="仿宋" w:hint="eastAsia"/>
          <w:color w:val="333333"/>
          <w:sz w:val="32"/>
          <w:szCs w:val="32"/>
          <w:lang w:val="en-US" w:eastAsia="zh-CN"/>
        </w:rPr>
        <w:t>7</w:t>
      </w:r>
      <w:r>
        <w:rPr>
          <w:rFonts w:ascii="仿宋" w:eastAsia="仿宋" w:cs="仿宋" w:hint="eastAsia"/>
          <w:color w:val="333333"/>
          <w:sz w:val="32"/>
          <w:szCs w:val="32"/>
        </w:rPr>
        <w:t>个，其中区级预算项目</w:t>
      </w:r>
      <w:r>
        <w:rPr>
          <w:rFonts w:ascii="仿宋" w:eastAsia="仿宋" w:cs="仿宋" w:hint="eastAsia"/>
          <w:color w:val="333333"/>
          <w:sz w:val="32"/>
          <w:szCs w:val="32"/>
          <w:lang w:val="en-US" w:eastAsia="zh-CN"/>
        </w:rPr>
        <w:t>18</w:t>
      </w:r>
      <w:r>
        <w:rPr>
          <w:rFonts w:ascii="仿宋" w:eastAsia="仿宋" w:cs="仿宋" w:hint="eastAsia"/>
          <w:color w:val="333333"/>
          <w:sz w:val="32"/>
          <w:szCs w:val="32"/>
        </w:rPr>
        <w:t>个，上级</w:t>
      </w:r>
      <w:r>
        <w:rPr>
          <w:rFonts w:ascii="仿宋" w:eastAsia="仿宋" w:cs="仿宋"/>
          <w:color w:val="333333"/>
          <w:sz w:val="32"/>
          <w:szCs w:val="32"/>
        </w:rPr>
        <w:t>2</w:t>
      </w:r>
      <w:r>
        <w:rPr>
          <w:rFonts w:ascii="仿宋" w:eastAsia="仿宋" w:cs="仿宋" w:hint="eastAsia"/>
          <w:color w:val="333333"/>
          <w:sz w:val="32"/>
          <w:szCs w:val="32"/>
          <w:lang w:val="en-US" w:eastAsia="zh-CN"/>
        </w:rPr>
        <w:t>9</w:t>
      </w:r>
      <w:r>
        <w:rPr>
          <w:rFonts w:ascii="仿宋" w:eastAsia="仿宋" w:cs="仿宋" w:hint="eastAsia"/>
          <w:color w:val="333333"/>
          <w:sz w:val="32"/>
          <w:szCs w:val="32"/>
        </w:rPr>
        <w:t>个，</w:t>
      </w:r>
      <w:r>
        <w:rPr>
          <w:rFonts w:ascii="仿宋" w:eastAsia="仿宋" w:cs="仿宋"/>
          <w:sz w:val="32"/>
          <w:szCs w:val="32"/>
        </w:rPr>
        <w:t>预算</w:t>
      </w:r>
      <w:r>
        <w:rPr>
          <w:rFonts w:ascii="仿宋" w:eastAsia="仿宋" w:cs="仿宋" w:hint="eastAsia"/>
          <w:sz w:val="32"/>
          <w:szCs w:val="32"/>
        </w:rPr>
        <w:t>资金</w:t>
      </w:r>
      <w:r>
        <w:rPr>
          <w:rFonts w:ascii="仿宋" w:eastAsia="仿宋" w:cs="仿宋"/>
          <w:sz w:val="32"/>
          <w:szCs w:val="32"/>
          <w:lang w:val="en-US" w:eastAsia="zh-CN"/>
        </w:rPr>
        <w:t>1003.02</w:t>
      </w:r>
      <w:r>
        <w:rPr>
          <w:rFonts w:ascii="仿宋" w:eastAsia="仿宋" w:cs="仿宋" w:hint="eastAsia"/>
          <w:sz w:val="32"/>
          <w:szCs w:val="32"/>
        </w:rPr>
        <w:t>万元，</w:t>
      </w:r>
      <w:r>
        <w:rPr>
          <w:rFonts w:ascii="仿宋" w:eastAsia="仿宋" w:cs="仿宋"/>
          <w:sz w:val="32"/>
          <w:szCs w:val="32"/>
        </w:rPr>
        <w:t>其中：共同事权转移支付资金</w:t>
      </w:r>
      <w:r>
        <w:rPr>
          <w:rFonts w:ascii="仿宋" w:eastAsia="仿宋" w:cs="仿宋"/>
          <w:sz w:val="32"/>
          <w:szCs w:val="32"/>
          <w:lang w:val="en-US" w:eastAsia="zh-CN"/>
        </w:rPr>
        <w:t>324.25</w:t>
      </w:r>
      <w:r>
        <w:rPr>
          <w:rFonts w:ascii="仿宋" w:eastAsia="仿宋" w:cs="仿宋"/>
          <w:sz w:val="32"/>
          <w:szCs w:val="32"/>
        </w:rPr>
        <w:t>万元（包含中央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74.18</w:t>
      </w:r>
      <w:r>
        <w:rPr>
          <w:rFonts w:ascii="仿宋" w:eastAsia="仿宋" w:cs="仿宋"/>
          <w:sz w:val="32"/>
          <w:szCs w:val="32"/>
        </w:rPr>
        <w:t>万元、省级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130.94</w:t>
      </w:r>
      <w:r>
        <w:rPr>
          <w:rFonts w:ascii="仿宋" w:eastAsia="仿宋" w:cs="仿宋"/>
          <w:sz w:val="32"/>
          <w:szCs w:val="32"/>
        </w:rPr>
        <w:t>万元、市级</w:t>
      </w:r>
      <w:r>
        <w:rPr>
          <w:rFonts w:ascii="仿宋" w:eastAsia="仿宋" w:cs="仿宋"/>
          <w:sz w:val="32"/>
          <w:szCs w:val="32"/>
          <w:lang w:val="en-US" w:eastAsia="zh-CN"/>
        </w:rPr>
        <w:t>119.13</w:t>
      </w:r>
      <w:r>
        <w:rPr>
          <w:rFonts w:ascii="仿宋" w:eastAsia="仿宋" w:cs="仿宋"/>
          <w:sz w:val="32"/>
          <w:szCs w:val="32"/>
        </w:rPr>
        <w:t>万元），专项转移支付资金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63.03</w:t>
      </w:r>
      <w:r>
        <w:rPr>
          <w:rFonts w:ascii="仿宋" w:eastAsia="仿宋" w:cs="仿宋"/>
          <w:sz w:val="32"/>
          <w:szCs w:val="32"/>
        </w:rPr>
        <w:t>万元（包含中央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63.03</w:t>
      </w:r>
      <w:r>
        <w:rPr>
          <w:rFonts w:ascii="仿宋" w:eastAsia="仿宋" w:cs="仿宋"/>
          <w:sz w:val="32"/>
          <w:szCs w:val="32"/>
        </w:rPr>
        <w:t>万元）；区级资金</w:t>
      </w:r>
      <w:r>
        <w:rPr>
          <w:rFonts w:ascii="仿宋" w:eastAsia="仿宋" w:cs="仿宋"/>
          <w:sz w:val="32"/>
          <w:szCs w:val="32"/>
          <w:lang w:val="en-US" w:eastAsia="zh-CN"/>
        </w:rPr>
        <w:t>615.74</w:t>
      </w:r>
      <w:r>
        <w:rPr>
          <w:rFonts w:ascii="仿宋" w:eastAsia="仿宋" w:cs="仿宋"/>
          <w:sz w:val="32"/>
          <w:szCs w:val="32"/>
        </w:rPr>
        <w:t>万元。实际</w:t>
      </w:r>
      <w:r>
        <w:rPr>
          <w:rFonts w:ascii="仿宋" w:eastAsia="仿宋" w:cs="仿宋" w:hint="eastAsia"/>
          <w:sz w:val="32"/>
          <w:szCs w:val="32"/>
        </w:rPr>
        <w:t>支出</w:t>
      </w:r>
      <w:r>
        <w:rPr>
          <w:rFonts w:ascii="仿宋" w:eastAsia="仿宋" w:cs="仿宋"/>
          <w:sz w:val="32"/>
          <w:szCs w:val="32"/>
        </w:rPr>
        <w:t>资金</w:t>
      </w:r>
      <w:r>
        <w:rPr>
          <w:rFonts w:ascii="仿宋" w:eastAsia="仿宋" w:cs="仿宋"/>
          <w:sz w:val="32"/>
          <w:szCs w:val="32"/>
          <w:lang w:val="en-US" w:eastAsia="zh-CN"/>
        </w:rPr>
        <w:t>929.05</w:t>
      </w:r>
      <w:r>
        <w:rPr>
          <w:rFonts w:ascii="仿宋" w:eastAsia="仿宋" w:cs="仿宋" w:hint="eastAsia"/>
          <w:sz w:val="32"/>
          <w:szCs w:val="32"/>
        </w:rPr>
        <w:t>万元</w:t>
      </w:r>
      <w:r>
        <w:rPr>
          <w:rFonts w:ascii="仿宋" w:eastAsia="仿宋" w:cs="仿宋"/>
          <w:sz w:val="32"/>
          <w:szCs w:val="32"/>
        </w:rPr>
        <w:t>，其中：共同事权转移支付资金</w:t>
      </w:r>
      <w:r>
        <w:rPr>
          <w:rFonts w:ascii="仿宋" w:eastAsia="仿宋" w:cs="仿宋"/>
          <w:sz w:val="32"/>
          <w:szCs w:val="32"/>
          <w:lang w:val="en-US" w:eastAsia="zh-CN"/>
        </w:rPr>
        <w:t>324.25</w:t>
      </w:r>
      <w:r>
        <w:rPr>
          <w:rFonts w:ascii="仿宋" w:eastAsia="仿宋" w:cs="仿宋"/>
          <w:sz w:val="32"/>
          <w:szCs w:val="32"/>
        </w:rPr>
        <w:t>万元（包含中央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74.18</w:t>
      </w:r>
      <w:r>
        <w:rPr>
          <w:rFonts w:ascii="仿宋" w:eastAsia="仿宋" w:cs="仿宋"/>
          <w:sz w:val="32"/>
          <w:szCs w:val="32"/>
        </w:rPr>
        <w:t>万元、省级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130.94</w:t>
      </w:r>
      <w:r>
        <w:rPr>
          <w:rFonts w:ascii="仿宋" w:eastAsia="仿宋" w:cs="仿宋"/>
          <w:sz w:val="32"/>
          <w:szCs w:val="32"/>
        </w:rPr>
        <w:t>万元、市级</w:t>
      </w:r>
      <w:r>
        <w:rPr>
          <w:rFonts w:ascii="仿宋" w:eastAsia="仿宋" w:cs="仿宋"/>
          <w:sz w:val="32"/>
          <w:szCs w:val="32"/>
          <w:lang w:val="en-US" w:eastAsia="zh-CN"/>
        </w:rPr>
        <w:t>119.13</w:t>
      </w:r>
      <w:r>
        <w:rPr>
          <w:rFonts w:ascii="仿宋" w:eastAsia="仿宋" w:cs="仿宋"/>
          <w:sz w:val="32"/>
          <w:szCs w:val="32"/>
        </w:rPr>
        <w:t>万元），专项转移支付资金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63.03</w:t>
      </w:r>
      <w:r>
        <w:rPr>
          <w:rFonts w:ascii="仿宋" w:eastAsia="仿宋" w:cs="仿宋"/>
          <w:sz w:val="32"/>
          <w:szCs w:val="32"/>
        </w:rPr>
        <w:t>万元（包含中央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63.03</w:t>
      </w:r>
      <w:r>
        <w:rPr>
          <w:rFonts w:ascii="仿宋" w:eastAsia="仿宋" w:cs="仿宋"/>
          <w:sz w:val="32"/>
          <w:szCs w:val="32"/>
        </w:rPr>
        <w:t>万元）；区级资金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54</w:t>
      </w:r>
      <w:r>
        <w:rPr>
          <w:rFonts w:ascii="仿宋" w:eastAsia="仿宋" w:cs="仿宋"/>
          <w:sz w:val="32"/>
          <w:szCs w:val="32"/>
          <w:lang w:val="en-US" w:eastAsia="zh-CN"/>
        </w:rPr>
        <w:t>1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.77</w:t>
      </w:r>
      <w:r>
        <w:rPr>
          <w:rFonts w:ascii="仿宋" w:eastAsia="仿宋" w:cs="仿宋"/>
          <w:sz w:val="32"/>
          <w:szCs w:val="32"/>
        </w:rPr>
        <w:t>万元。</w:t>
      </w:r>
      <w:r>
        <w:rPr>
          <w:rFonts w:ascii="仿宋" w:eastAsia="仿宋" w:cs="仿宋"/>
          <w:color w:val="333333"/>
          <w:sz w:val="32"/>
          <w:szCs w:val="32"/>
        </w:rPr>
        <w:t>部门整体预算执行</w:t>
      </w:r>
      <w:r>
        <w:rPr>
          <w:rFonts w:ascii="仿宋" w:eastAsia="仿宋" w:cs="仿宋"/>
          <w:sz w:val="32"/>
          <w:szCs w:val="32"/>
        </w:rPr>
        <w:t>率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9</w:t>
      </w:r>
      <w:r>
        <w:rPr>
          <w:rFonts w:ascii="仿宋" w:eastAsia="仿宋" w:cs="仿宋"/>
          <w:sz w:val="32"/>
          <w:szCs w:val="32"/>
          <w:lang w:val="en-US" w:eastAsia="zh-CN"/>
        </w:rPr>
        <w:t>2.6</w:t>
      </w:r>
      <w:r>
        <w:rPr>
          <w:rFonts w:ascii="仿宋" w:eastAsia="仿宋" w:cs="仿宋"/>
          <w:sz w:val="32"/>
          <w:szCs w:val="32"/>
        </w:rPr>
        <w:t>%。</w:t>
      </w:r>
      <w:r>
        <w:rPr>
          <w:rFonts w:ascii="仿宋" w:eastAsia="仿宋" w:cs="仿宋" w:hint="eastAsia"/>
          <w:color w:val="333333"/>
          <w:sz w:val="32"/>
          <w:szCs w:val="32"/>
        </w:rPr>
        <w:t>通过客观、合理、完整的自评，共评出优秀等级</w:t>
      </w:r>
      <w:r>
        <w:rPr>
          <w:rFonts w:ascii="仿宋" w:eastAsia="仿宋" w:cs="仿宋" w:hint="eastAsia"/>
          <w:color w:val="333333"/>
          <w:sz w:val="32"/>
          <w:szCs w:val="32"/>
          <w:lang w:val="en-US" w:eastAsia="zh-CN"/>
        </w:rPr>
        <w:t>44</w:t>
      </w:r>
      <w:r>
        <w:rPr>
          <w:rFonts w:ascii="仿宋" w:eastAsia="仿宋" w:cs="仿宋" w:hint="eastAsia"/>
          <w:color w:val="333333"/>
          <w:sz w:val="32"/>
          <w:szCs w:val="32"/>
        </w:rPr>
        <w:t>个</w:t>
      </w:r>
      <w:r>
        <w:rPr>
          <w:rFonts w:ascii="仿宋" w:eastAsia="仿宋" w:cs="仿宋" w:hint="eastAsia"/>
          <w:color w:val="333333"/>
          <w:sz w:val="32"/>
          <w:szCs w:val="32"/>
          <w:lang w:eastAsia="zh-CN"/>
        </w:rPr>
        <w:t>、良</w:t>
      </w:r>
      <w:r>
        <w:rPr>
          <w:rFonts w:ascii="仿宋" w:eastAsia="仿宋" w:cs="仿宋" w:hint="eastAsia"/>
          <w:color w:val="333333"/>
          <w:sz w:val="32"/>
          <w:szCs w:val="32"/>
          <w:lang w:val="en-US" w:eastAsia="zh-CN"/>
        </w:rPr>
        <w:t>1个、</w:t>
      </w:r>
      <w:r>
        <w:rPr>
          <w:rFonts w:ascii="仿宋" w:eastAsia="仿宋" w:cs="仿宋"/>
          <w:color w:val="333333"/>
          <w:sz w:val="32"/>
          <w:szCs w:val="32"/>
        </w:rPr>
        <w:t>差</w:t>
      </w:r>
      <w:r>
        <w:rPr>
          <w:rFonts w:ascii="仿宋" w:eastAsia="仿宋" w:cs="仿宋" w:hint="eastAsia"/>
          <w:color w:val="333333"/>
          <w:sz w:val="32"/>
          <w:szCs w:val="32"/>
          <w:lang w:val="en-US" w:eastAsia="zh-CN"/>
        </w:rPr>
        <w:t>2</w:t>
      </w:r>
      <w:r>
        <w:rPr>
          <w:rFonts w:ascii="仿宋" w:eastAsia="仿宋" w:cs="仿宋" w:hint="eastAsia"/>
          <w:color w:val="333333"/>
          <w:sz w:val="32"/>
          <w:szCs w:val="32"/>
        </w:rPr>
        <w:t>个</w:t>
      </w:r>
      <w:r>
        <w:rPr>
          <w:rFonts w:ascii="仿宋" w:eastAsia="仿宋" w:cs="仿宋" w:hint="eastAsia"/>
          <w:sz w:val="32"/>
          <w:szCs w:val="32"/>
        </w:rPr>
        <w:t>。</w:t>
      </w:r>
      <w:r>
        <w:rPr>
          <w:rFonts w:ascii="仿宋" w:eastAsia="仿宋" w:cs="仿宋"/>
          <w:color w:val="333333"/>
          <w:sz w:val="32"/>
          <w:szCs w:val="32"/>
        </w:rPr>
        <w:t>纳入重点评价范围的有1个项目—-残疾人意外伤害保险项目，评价结果为优。</w:t>
      </w:r>
    </w:p>
    <w:p>
      <w:pPr>
        <w:spacing w:line="58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二、绩效目标实现情况</w:t>
      </w:r>
    </w:p>
    <w:p>
      <w:pPr>
        <w:pStyle w:val="15"/>
        <w:widowControl/>
        <w:spacing w:line="360" w:lineRule="atLeast"/>
        <w:ind w:firstLineChars="200" w:firstLine="648"/>
        <w:jc w:val="left"/>
        <w:rPr>
          <w:rFonts w:eastAsia="方正仿宋简体" w:hint="eastAsia"/>
          <w:color w:val="auto"/>
          <w:sz w:val="30"/>
          <w:szCs w:val="30"/>
          <w:highlight w:val="auto"/>
        </w:rPr>
      </w:pPr>
      <w:r>
        <w:rPr>
          <w:rFonts w:ascii="仿宋" w:eastAsia="仿宋" w:cs="仿宋" w:hint="eastAsia"/>
          <w:color w:val="auto"/>
          <w:sz w:val="32"/>
          <w:szCs w:val="32"/>
          <w:highlight w:val="auto"/>
        </w:rPr>
        <w:t>根据财政支出项目绩效自评全覆盖的要求，</w:t>
      </w:r>
      <w:r>
        <w:rPr>
          <w:rFonts w:ascii="仿宋" w:eastAsia="仿宋" w:cs="仿宋"/>
          <w:color w:val="auto"/>
          <w:sz w:val="32"/>
          <w:szCs w:val="32"/>
          <w:highlight w:val="auto"/>
        </w:rPr>
        <w:t>认真对照绩效目标进行评价，其中评为差的有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  <w:highlight w:val="auto"/>
        </w:rPr>
        <w:t>2</w:t>
      </w:r>
      <w:r>
        <w:rPr>
          <w:rFonts w:ascii="仿宋" w:eastAsia="仿宋" w:cs="仿宋"/>
          <w:color w:val="auto"/>
          <w:sz w:val="32"/>
          <w:szCs w:val="32"/>
          <w:highlight w:val="auto"/>
        </w:rPr>
        <w:t>个项目，</w:t>
      </w:r>
      <w:r>
        <w:rPr>
          <w:rFonts w:ascii="仿宋" w:eastAsia="仿宋" w:cs="仿宋" w:hint="eastAsia"/>
          <w:color w:val="auto"/>
          <w:sz w:val="32"/>
          <w:szCs w:val="32"/>
          <w:lang w:eastAsia="zh-CN"/>
          <w:highlight w:val="auto"/>
        </w:rPr>
        <w:t>其中</w:t>
      </w:r>
      <w:r>
        <w:rPr>
          <w:rFonts w:ascii="仿宋" w:eastAsia="仿宋" w:cs="仿宋"/>
          <w:color w:val="auto"/>
          <w:sz w:val="32"/>
          <w:szCs w:val="32"/>
          <w:highlight w:val="auto"/>
        </w:rPr>
        <w:t>有线电视收视维护费补贴</w:t>
      </w:r>
      <w:r>
        <w:rPr>
          <w:rFonts w:ascii="仿宋" w:eastAsia="仿宋" w:cs="仿宋" w:hint="eastAsia"/>
          <w:color w:val="auto"/>
          <w:sz w:val="32"/>
          <w:szCs w:val="32"/>
          <w:lang w:eastAsia="zh-CN"/>
          <w:highlight w:val="auto"/>
        </w:rPr>
        <w:t>项目</w:t>
      </w:r>
      <w:r>
        <w:rPr>
          <w:rFonts w:ascii="仿宋" w:eastAsia="仿宋" w:cs="仿宋" w:hint="eastAsia"/>
          <w:color w:val="auto"/>
          <w:sz w:val="32"/>
          <w:szCs w:val="32"/>
          <w:highlight w:val="auto"/>
        </w:rPr>
        <w:t>，自评分数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  <w:highlight w:val="auto"/>
        </w:rPr>
        <w:t>0</w:t>
      </w:r>
      <w:r>
        <w:rPr>
          <w:rFonts w:ascii="仿宋" w:eastAsia="仿宋" w:cs="仿宋" w:hint="eastAsia"/>
          <w:color w:val="auto"/>
          <w:sz w:val="32"/>
          <w:szCs w:val="32"/>
          <w:highlight w:val="auto"/>
        </w:rPr>
        <w:t>分，</w:t>
      </w:r>
      <w:r>
        <w:rPr>
          <w:rFonts w:ascii="仿宋" w:eastAsia="仿宋" w:cs="仿宋" w:hint="eastAsia"/>
          <w:color w:val="auto"/>
          <w:sz w:val="32"/>
          <w:szCs w:val="32"/>
          <w:lang w:eastAsia="zh-CN"/>
          <w:highlight w:val="auto"/>
        </w:rPr>
        <w:t>主要原因为没有人申报，导致资金未拨付；残疾人就业机构扶持资金项目，自评分数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  <w:highlight w:val="auto"/>
        </w:rPr>
        <w:t>0分，主要原因为压减预算开支未支出；</w:t>
      </w:r>
    </w:p>
    <w:p>
      <w:pPr>
        <w:spacing w:line="58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三、绩效目标设定质量情况</w:t>
      </w:r>
    </w:p>
    <w:p>
      <w:pPr>
        <w:pStyle w:val="15"/>
        <w:widowControl/>
        <w:spacing w:line="360" w:lineRule="atLeast"/>
        <w:ind w:firstLineChars="200" w:firstLine="648"/>
        <w:jc w:val="left"/>
        <w:rPr>
          <w:rFonts w:eastAsia="方正仿宋简体" w:hint="eastAsia"/>
          <w:sz w:val="30"/>
          <w:szCs w:val="30"/>
        </w:rPr>
      </w:pPr>
      <w:r>
        <w:rPr>
          <w:rFonts w:ascii="仿宋" w:eastAsia="仿宋" w:cs="仿宋" w:hint="eastAsia"/>
          <w:color w:val="333333"/>
          <w:sz w:val="32"/>
          <w:szCs w:val="32"/>
        </w:rPr>
        <w:t>我单位的绩效目标设定参考中央对地方专项转移支付绩效目标，结合我单位实际，进行科学的设置。通过绩效自评结果对比倒查年初绩效目标设定质量情况，所有项目目标设定均比较清晰准确，绩效指标全面完整、科学合理，绩效标准恰当适宜，数据量化，易于评价。</w:t>
      </w:r>
    </w:p>
    <w:p>
      <w:pPr>
        <w:spacing w:line="58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四、整改措施及结果应用</w:t>
      </w:r>
    </w:p>
    <w:p>
      <w:pPr>
        <w:pStyle w:val="15"/>
        <w:widowControl/>
        <w:spacing w:line="360" w:lineRule="atLeast"/>
        <w:ind w:firstLineChars="200" w:firstLine="648"/>
        <w:jc w:val="left"/>
        <w:rPr>
          <w:rFonts w:ascii="仿宋" w:eastAsia="仿宋" w:cs="仿宋"/>
          <w:color w:val="333333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</w:rPr>
        <w:t>一是提高主观认识和重视程度。作为资金的使用部门应高度认识，加强绩效评价工作，提高财政资金使用效率，将有限的预算资金在支出中实现效益最大化的重要性。在财政资金合法合规管理的同时，还应考虑项目实施中是否有浪费，是否取得了预期的效果。二是对于列入预算的专项资金及上级转移支付资金项目，应该尽快启动，申报相关工作提早准备，提高工作效率，优化中间环节。例如：残疾人意外伤害保险项目，由于涉及政府采购，资料上报、项目审查、资金申请、资金拨付等多个环节，周期比较长。此类项目应尽早提上日程。三是科学合理设置绩效评价指标。科学、合理、准确的设置三级指标、权重分值、为后续的项目执行提供执行标准。四是注重研习上级文件、政策，加强沟通，合理合规使用上级专项资金，提高上级资金执行率。</w:t>
      </w:r>
    </w:p>
    <w:p>
      <w:pPr>
        <w:spacing w:line="520" w:lineRule="exact"/>
        <w:ind w:firstLineChars="200" w:firstLine="608"/>
        <w:rPr>
          <w:rFonts w:eastAsia="方正仿宋简体"/>
          <w:sz w:val="30"/>
          <w:szCs w:val="30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简体">
    <w:altName w:val="微软雅黑"/>
    <w:panose1 w:val="02010601030101010101"/>
    <w:charset w:val="86"/>
    <w:family w:val="auto"/>
    <w:pitch w:val="variable"/>
    <w:sig w:usb0="00000000" w:usb1="00000000" w:usb2="00000000" w:usb3="00000000" w:csb0="00040000" w:csb1="00000000"/>
  </w:font>
  <w:font w:name="方正楷体简体">
    <w:altName w:val="微软雅黑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ocumentProtection w:edit="readOnly"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宋体" w:eastAsia="方正小标宋简体" w:cs="Arial" w:hAnsi="宋体"/>
      <w:b/>
      <w:spacing w:val="2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(Web)"/>
    <w:basedOn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153E4A1-AB18-4C4C-9491-520AD0DB4F5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4</Pages>
  <Words>0</Words>
  <Characters>1020</Characters>
  <Lines>0</Lines>
  <Paragraphs>35</Paragraphs>
  <CharactersWithSpaces>1360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2023-03-06T07:19:00Z</dcterms:created>
  <dcterms:modified xsi:type="dcterms:W3CDTF">2025-02-26T07:13:22Z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2052-12.1.0.18912</vt:lpwstr>
  </property>
  <property fmtid="{D5CDD505-2E9C-101B-9397-08002B2CF9AE}" pid="3" name="ICV">
    <vt:lpwstr>637E373F572246298060BC699F4B282F_12</vt:lpwstr>
  </property>
</Properties>
</file>