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A15FD">
      <w:pPr>
        <w:jc w:val="left"/>
        <w:rPr>
          <w:rFonts w:ascii="宋体" w:cs="Times New Roman"/>
          <w:b/>
          <w:spacing w:val="2"/>
          <w:sz w:val="30"/>
          <w:szCs w:val="30"/>
        </w:rPr>
      </w:pPr>
    </w:p>
    <w:p w14:paraId="500E09AE">
      <w:pPr>
        <w:jc w:val="left"/>
        <w:rPr>
          <w:rFonts w:hint="eastAsia" w:ascii="宋体" w:eastAsia="宋体" w:cs="Times New Roman"/>
          <w:b/>
          <w:sz w:val="30"/>
          <w:szCs w:val="30"/>
          <w:lang w:val="en-US" w:eastAsia="zh-CN"/>
        </w:rPr>
      </w:pPr>
      <w:r>
        <w:rPr>
          <w:rFonts w:hint="eastAsia" w:ascii="宋体" w:cs="Times New Roman"/>
          <w:b/>
          <w:sz w:val="30"/>
          <w:szCs w:val="30"/>
        </w:rPr>
        <w:t>附件</w:t>
      </w:r>
      <w:r>
        <w:rPr>
          <w:rFonts w:hint="eastAsia" w:ascii="宋体" w:cs="Times New Roman"/>
          <w:b/>
          <w:sz w:val="30"/>
          <w:szCs w:val="30"/>
          <w:lang w:val="en-US" w:eastAsia="zh-CN"/>
        </w:rPr>
        <w:t>5</w:t>
      </w:r>
    </w:p>
    <w:p w14:paraId="713D617B">
      <w:pPr>
        <w:jc w:val="center"/>
        <w:rPr>
          <w:rFonts w:ascii="宋体" w:cs="Times New Roman"/>
          <w:b/>
          <w:sz w:val="44"/>
          <w:szCs w:val="44"/>
        </w:rPr>
      </w:pPr>
      <w:r>
        <w:rPr>
          <w:rFonts w:hint="eastAsia" w:ascii="宋体" w:cs="Times New Roman"/>
          <w:b/>
          <w:sz w:val="44"/>
          <w:szCs w:val="44"/>
          <w:lang w:val="en-US" w:eastAsia="zh-CN"/>
        </w:rPr>
        <w:t>丰南区委党校</w:t>
      </w:r>
      <w:r>
        <w:rPr>
          <w:rFonts w:hint="eastAsia" w:ascii="宋体" w:cs="Times New Roman"/>
          <w:b/>
          <w:sz w:val="44"/>
          <w:szCs w:val="44"/>
        </w:rPr>
        <w:t>整体</w:t>
      </w:r>
      <w:r>
        <w:rPr>
          <w:rFonts w:ascii="宋体" w:cs="Times New Roman"/>
          <w:b/>
          <w:sz w:val="44"/>
          <w:szCs w:val="44"/>
        </w:rPr>
        <w:t>绩效自评报告</w:t>
      </w:r>
    </w:p>
    <w:p w14:paraId="65F74C15">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14:paraId="203C8F93">
      <w:pPr>
        <w:rPr>
          <w:rFonts w:ascii="宋体" w:hAnsi="宋体" w:eastAsia="仿宋" w:cs="Times New Roman"/>
          <w:b/>
        </w:rPr>
      </w:pPr>
    </w:p>
    <w:p w14:paraId="3067E140">
      <w:pPr>
        <w:rPr>
          <w:rFonts w:ascii="宋体" w:hAnsi="宋体" w:eastAsia="仿宋" w:cs="Times New Roman"/>
          <w:b/>
        </w:rPr>
      </w:pPr>
    </w:p>
    <w:p w14:paraId="6A280DC0">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75CF0484">
      <w:pPr>
        <w:rPr>
          <w:rFonts w:ascii="宋体" w:hAnsi="宋体" w:eastAsia="仿宋" w:cs="Times New Roman"/>
          <w:b/>
        </w:rPr>
      </w:pPr>
    </w:p>
    <w:p w14:paraId="702622D6">
      <w:pPr>
        <w:rPr>
          <w:rFonts w:ascii="宋体" w:hAnsi="宋体" w:eastAsia="仿宋" w:cs="Times New Roman"/>
          <w:b/>
        </w:rPr>
      </w:pPr>
    </w:p>
    <w:p w14:paraId="688AA439">
      <w:pPr>
        <w:rPr>
          <w:rFonts w:ascii="宋体" w:hAnsi="宋体" w:eastAsia="仿宋" w:cs="Times New Roman"/>
          <w:b/>
        </w:rPr>
      </w:pPr>
    </w:p>
    <w:p w14:paraId="5E013257">
      <w:pPr>
        <w:ind w:firstLine="1928" w:firstLineChars="600"/>
        <w:rPr>
          <w:rFonts w:ascii="宋体" w:hAnsi="宋体" w:eastAsia="仿宋" w:cs="Times New Roman"/>
          <w:b/>
          <w:sz w:val="32"/>
          <w:szCs w:val="32"/>
        </w:rPr>
      </w:pPr>
    </w:p>
    <w:p w14:paraId="0CA7C322">
      <w:pPr>
        <w:ind w:firstLine="1928" w:firstLineChars="600"/>
        <w:rPr>
          <w:rFonts w:ascii="宋体" w:hAnsi="宋体" w:eastAsia="仿宋" w:cs="Times New Roman"/>
          <w:b/>
          <w:sz w:val="32"/>
          <w:szCs w:val="32"/>
        </w:rPr>
      </w:pPr>
    </w:p>
    <w:p w14:paraId="5A0033CA">
      <w:pPr>
        <w:ind w:firstLine="1928" w:firstLineChars="600"/>
        <w:rPr>
          <w:rFonts w:ascii="宋体" w:hAnsi="宋体" w:eastAsia="仿宋" w:cs="Times New Roman"/>
          <w:b/>
          <w:sz w:val="32"/>
          <w:szCs w:val="32"/>
        </w:rPr>
      </w:pPr>
    </w:p>
    <w:p w14:paraId="6B5360EB">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lang w:val="en-US" w:eastAsia="zh-CN"/>
        </w:rPr>
        <w:t>丰南区委党校</w:t>
      </w:r>
      <w:r>
        <w:rPr>
          <w:rFonts w:hint="eastAsia" w:ascii="宋体" w:hAnsi="宋体" w:eastAsia="仿宋" w:cs="Times New Roman"/>
          <w:b/>
          <w:sz w:val="32"/>
          <w:szCs w:val="32"/>
          <w:u w:val="single"/>
        </w:rPr>
        <w:t>（加盖公章）</w:t>
      </w:r>
    </w:p>
    <w:p w14:paraId="5D76E026">
      <w:pPr>
        <w:ind w:firstLine="643" w:firstLineChars="200"/>
        <w:rPr>
          <w:rFonts w:ascii="宋体" w:hAnsi="宋体" w:eastAsia="仿宋" w:cs="Times New Roman"/>
          <w:b/>
          <w:sz w:val="32"/>
          <w:szCs w:val="32"/>
        </w:rPr>
      </w:pPr>
      <w:r>
        <w:rPr>
          <w:rFonts w:ascii="宋体" w:hAnsi="宋体" w:eastAsia="仿宋" w:cs="Times New Roman"/>
          <w:b/>
          <w:sz w:val="32"/>
          <w:szCs w:val="32"/>
        </w:rPr>
        <w:t>联系电话：</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val="en-US" w:eastAsia="zh-CN"/>
        </w:rPr>
        <w:t xml:space="preserve">     8283995</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val="en-US" w:eastAsia="zh-CN"/>
        </w:rPr>
        <w:t xml:space="preserve">        </w:t>
      </w:r>
      <w:r>
        <w:rPr>
          <w:rFonts w:hint="eastAsia" w:ascii="宋体" w:hAnsi="宋体" w:eastAsia="仿宋" w:cs="Times New Roman"/>
          <w:b/>
          <w:sz w:val="32"/>
          <w:szCs w:val="32"/>
          <w:u w:val="single"/>
        </w:rPr>
        <w:t xml:space="preserve">  </w:t>
      </w:r>
    </w:p>
    <w:p w14:paraId="477633BE">
      <w:pPr>
        <w:ind w:firstLine="1446" w:firstLineChars="450"/>
        <w:rPr>
          <w:rFonts w:ascii="宋体" w:hAnsi="宋体" w:eastAsia="仿宋" w:cs="Times New Roman"/>
          <w:b/>
          <w:sz w:val="32"/>
          <w:szCs w:val="32"/>
        </w:rPr>
      </w:pPr>
    </w:p>
    <w:p w14:paraId="09976606">
      <w:pPr>
        <w:ind w:firstLine="1446" w:firstLineChars="450"/>
        <w:rPr>
          <w:rFonts w:ascii="宋体" w:hAnsi="宋体" w:eastAsia="仿宋" w:cs="Times New Roman"/>
          <w:b/>
          <w:sz w:val="32"/>
          <w:szCs w:val="32"/>
        </w:rPr>
      </w:pPr>
    </w:p>
    <w:p w14:paraId="40BF5D02">
      <w:pPr>
        <w:ind w:firstLine="1446" w:firstLineChars="450"/>
        <w:rPr>
          <w:rFonts w:ascii="宋体" w:hAnsi="宋体" w:eastAsia="仿宋" w:cs="Times New Roman"/>
          <w:b/>
          <w:sz w:val="32"/>
          <w:szCs w:val="32"/>
        </w:rPr>
      </w:pPr>
    </w:p>
    <w:p w14:paraId="52AA26FE">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21</w:t>
      </w:r>
      <w:r>
        <w:rPr>
          <w:rFonts w:ascii="宋体" w:hAnsi="宋体" w:eastAsia="仿宋" w:cs="Times New Roman"/>
          <w:b/>
          <w:sz w:val="32"/>
          <w:szCs w:val="32"/>
        </w:rPr>
        <w:t>日</w:t>
      </w:r>
    </w:p>
    <w:p w14:paraId="131921A3">
      <w:pPr>
        <w:jc w:val="center"/>
        <w:rPr>
          <w:rFonts w:ascii="宋体" w:cs="Times New Roman"/>
          <w:b/>
          <w:sz w:val="44"/>
          <w:szCs w:val="44"/>
        </w:rPr>
      </w:pPr>
    </w:p>
    <w:p w14:paraId="3B526BFC">
      <w:pPr>
        <w:jc w:val="center"/>
        <w:rPr>
          <w:rFonts w:ascii="宋体" w:cs="Times New Roman"/>
          <w:b/>
          <w:sz w:val="44"/>
          <w:szCs w:val="44"/>
        </w:rPr>
      </w:pPr>
    </w:p>
    <w:p w14:paraId="570B90D5">
      <w:pPr>
        <w:jc w:val="center"/>
        <w:rPr>
          <w:rFonts w:ascii="宋体" w:cs="Times New Roman"/>
          <w:b/>
          <w:sz w:val="44"/>
          <w:szCs w:val="44"/>
        </w:rPr>
      </w:pPr>
    </w:p>
    <w:p w14:paraId="4C63291F">
      <w:pPr>
        <w:jc w:val="center"/>
        <w:rPr>
          <w:rFonts w:ascii="宋体" w:cs="Times New Roman"/>
          <w:b/>
          <w:sz w:val="44"/>
          <w:szCs w:val="44"/>
        </w:rPr>
      </w:pPr>
    </w:p>
    <w:p w14:paraId="310CE0AE">
      <w:pPr>
        <w:jc w:val="center"/>
        <w:rPr>
          <w:rFonts w:ascii="宋体" w:cs="Times New Roman"/>
          <w:b/>
          <w:sz w:val="44"/>
          <w:szCs w:val="44"/>
        </w:rPr>
      </w:pPr>
    </w:p>
    <w:p w14:paraId="34261C5D">
      <w:pPr>
        <w:jc w:val="center"/>
        <w:rPr>
          <w:rFonts w:ascii="宋体" w:cs="Times New Roman"/>
          <w:b/>
          <w:sz w:val="44"/>
          <w:szCs w:val="44"/>
        </w:rPr>
      </w:pPr>
    </w:p>
    <w:p w14:paraId="539CCD18">
      <w:pPr>
        <w:jc w:val="center"/>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部门整体绩效自评情况</w:t>
      </w:r>
    </w:p>
    <w:p w14:paraId="22D10593">
      <w:pPr>
        <w:numPr>
          <w:ilvl w:val="0"/>
          <w:numId w:val="1"/>
        </w:numPr>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部门整体概况</w:t>
      </w:r>
    </w:p>
    <w:p w14:paraId="0BBDC0CC">
      <w:pPr>
        <w:numPr>
          <w:ilvl w:val="0"/>
          <w:numId w:val="2"/>
        </w:numPr>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部门主要职责职能及人员情况</w:t>
      </w:r>
    </w:p>
    <w:p w14:paraId="43F5EDD0">
      <w:pPr>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1、部门主要职责职能：</w:t>
      </w:r>
    </w:p>
    <w:p w14:paraId="6BE5D814">
      <w:pPr>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（1）培训和轮训全区乡科级干部和基层党员干部。</w:t>
      </w:r>
    </w:p>
    <w:p w14:paraId="101A9483">
      <w:pPr>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坚持马列主义、毛泽东思想、邓小平理论、科学发展观和伟大复兴中国梦为指导，坚持面向实际，面向丰南深入研究和准确把握全区改革和建设中具有全面性、战略性、前瞻性重大问题，努力搞好科研工作，为区委、区政府决策服务。</w:t>
      </w:r>
    </w:p>
    <w:p w14:paraId="316E7894">
      <w:pPr>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2、人员构成</w:t>
      </w:r>
    </w:p>
    <w:p w14:paraId="760BDAF9">
      <w:pPr>
        <w:numPr>
          <w:ilvl w:val="0"/>
          <w:numId w:val="0"/>
        </w:numPr>
        <w:ind w:firstLine="640" w:firstLineChars="200"/>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丰南区委党校属于财政全额拨款、独立核算的事业单位，单位编制数20人，到202</w:t>
      </w: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年底实有在</w:t>
      </w:r>
      <w:r>
        <w:rPr>
          <w:rFonts w:hint="eastAsia" w:ascii="方正仿宋简体" w:hAnsi="方正仿宋简体" w:eastAsia="方正仿宋简体" w:cs="方正仿宋简体"/>
          <w:b w:val="0"/>
          <w:bCs/>
          <w:sz w:val="32"/>
          <w:szCs w:val="32"/>
          <w:lang w:val="en-US" w:eastAsia="zh-CN"/>
        </w:rPr>
        <w:t>编</w:t>
      </w:r>
      <w:r>
        <w:rPr>
          <w:rFonts w:hint="eastAsia" w:ascii="方正仿宋简体" w:hAnsi="方正仿宋简体" w:eastAsia="方正仿宋简体" w:cs="方正仿宋简体"/>
          <w:b w:val="0"/>
          <w:bCs/>
          <w:sz w:val="32"/>
          <w:szCs w:val="32"/>
        </w:rPr>
        <w:t>人员2</w:t>
      </w: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人，人事代理</w:t>
      </w: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人，聘用制2人，劳务派遣人员8人，退休人员</w:t>
      </w:r>
      <w:r>
        <w:rPr>
          <w:rFonts w:hint="eastAsia" w:ascii="方正仿宋简体" w:hAnsi="方正仿宋简体" w:eastAsia="方正仿宋简体" w:cs="方正仿宋简体"/>
          <w:b w:val="0"/>
          <w:bCs/>
          <w:sz w:val="32"/>
          <w:szCs w:val="32"/>
          <w:lang w:val="en-US" w:eastAsia="zh-CN"/>
        </w:rPr>
        <w:t>18</w:t>
      </w:r>
      <w:r>
        <w:rPr>
          <w:rFonts w:hint="eastAsia" w:ascii="方正仿宋简体" w:hAnsi="方正仿宋简体" w:eastAsia="方正仿宋简体" w:cs="方正仿宋简体"/>
          <w:b w:val="0"/>
          <w:bCs/>
          <w:sz w:val="32"/>
          <w:szCs w:val="32"/>
        </w:rPr>
        <w:t>人，遗属人员</w:t>
      </w: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人</w:t>
      </w:r>
      <w:r>
        <w:rPr>
          <w:rFonts w:hint="eastAsia" w:ascii="方正仿宋简体" w:hAnsi="方正仿宋简体" w:eastAsia="方正仿宋简体" w:cs="方正仿宋简体"/>
          <w:b w:val="0"/>
          <w:bCs/>
          <w:sz w:val="32"/>
          <w:szCs w:val="32"/>
          <w:lang w:eastAsia="zh-CN"/>
        </w:rPr>
        <w:t>。</w:t>
      </w:r>
    </w:p>
    <w:p w14:paraId="33485454">
      <w:pPr>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（二）部门预算执行情况等</w:t>
      </w:r>
    </w:p>
    <w:p w14:paraId="7F3569A9">
      <w:pPr>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本部门202</w:t>
      </w: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年度预算资金</w:t>
      </w:r>
      <w:r>
        <w:rPr>
          <w:rFonts w:hint="eastAsia" w:ascii="方正仿宋简体" w:hAnsi="方正仿宋简体" w:eastAsia="方正仿宋简体" w:cs="方正仿宋简体"/>
          <w:b w:val="0"/>
          <w:bCs/>
          <w:sz w:val="32"/>
          <w:szCs w:val="32"/>
          <w:lang w:val="en-US" w:eastAsia="zh-CN"/>
        </w:rPr>
        <w:t>691.54</w:t>
      </w:r>
      <w:r>
        <w:rPr>
          <w:rFonts w:hint="eastAsia" w:ascii="方正仿宋简体" w:hAnsi="方正仿宋简体" w:eastAsia="方正仿宋简体" w:cs="方正仿宋简体"/>
          <w:b w:val="0"/>
          <w:bCs/>
          <w:sz w:val="32"/>
          <w:szCs w:val="32"/>
        </w:rPr>
        <w:t>万元，其中:共同财政事权转移支付</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万元(包含中央</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万元、省</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万元、市</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万元)，专项转移支付</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万元(包含中央</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万元、省</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万元、市</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 xml:space="preserve"> 万元)，债券资金</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万元;实际支出</w:t>
      </w:r>
      <w:r>
        <w:rPr>
          <w:rFonts w:hint="eastAsia" w:ascii="方正仿宋简体" w:hAnsi="方正仿宋简体" w:eastAsia="方正仿宋简体" w:cs="方正仿宋简体"/>
          <w:b w:val="0"/>
          <w:bCs/>
          <w:sz w:val="32"/>
          <w:szCs w:val="32"/>
          <w:lang w:val="en-US" w:eastAsia="zh-CN"/>
        </w:rPr>
        <w:t>691.54</w:t>
      </w:r>
      <w:r>
        <w:rPr>
          <w:rFonts w:hint="eastAsia" w:ascii="方正仿宋简体" w:hAnsi="方正仿宋简体" w:eastAsia="方正仿宋简体" w:cs="方正仿宋简体"/>
          <w:b w:val="0"/>
          <w:bCs/>
          <w:sz w:val="32"/>
          <w:szCs w:val="32"/>
        </w:rPr>
        <w:t>万元，其中:共同财政事权转移支付</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万元(包含中央</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万元、省</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万元、市</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万元)，专项转移支付</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万元(包含中央</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w:t>
      </w:r>
      <w:bookmarkStart w:id="0" w:name="_GoBack"/>
      <w:bookmarkEnd w:id="0"/>
      <w:r>
        <w:rPr>
          <w:rFonts w:hint="eastAsia" w:ascii="方正仿宋简体" w:hAnsi="方正仿宋简体" w:eastAsia="方正仿宋简体" w:cs="方正仿宋简体"/>
          <w:b w:val="0"/>
          <w:bCs/>
          <w:sz w:val="32"/>
          <w:szCs w:val="32"/>
        </w:rPr>
        <w:t>省</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万元、市</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万元)，债券资金</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万元;预算执行率</w:t>
      </w:r>
      <w:r>
        <w:rPr>
          <w:rFonts w:hint="eastAsia" w:ascii="方正仿宋简体" w:hAnsi="方正仿宋简体" w:eastAsia="方正仿宋简体" w:cs="方正仿宋简体"/>
          <w:b w:val="0"/>
          <w:bCs/>
          <w:sz w:val="32"/>
          <w:szCs w:val="32"/>
          <w:lang w:val="en-US" w:eastAsia="zh-CN"/>
        </w:rPr>
        <w:t>100</w:t>
      </w:r>
      <w:r>
        <w:rPr>
          <w:rFonts w:hint="eastAsia" w:ascii="方正仿宋简体" w:hAnsi="方正仿宋简体" w:eastAsia="方正仿宋简体" w:cs="方正仿宋简体"/>
          <w:b w:val="0"/>
          <w:bCs/>
          <w:sz w:val="32"/>
          <w:szCs w:val="32"/>
        </w:rPr>
        <w:t>%。其中:项目</w:t>
      </w: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个，</w:t>
      </w:r>
      <w:r>
        <w:rPr>
          <w:rFonts w:hint="eastAsia" w:ascii="方正仿宋简体" w:hAnsi="方正仿宋简体" w:eastAsia="方正仿宋简体" w:cs="方正仿宋简体"/>
          <w:b w:val="0"/>
          <w:bCs/>
          <w:sz w:val="32"/>
          <w:szCs w:val="32"/>
          <w:lang w:val="en-US" w:eastAsia="zh-CN"/>
        </w:rPr>
        <w:t>预算</w:t>
      </w:r>
      <w:r>
        <w:rPr>
          <w:rFonts w:hint="eastAsia" w:ascii="方正仿宋简体" w:hAnsi="方正仿宋简体" w:eastAsia="方正仿宋简体" w:cs="方正仿宋简体"/>
          <w:b w:val="0"/>
          <w:bCs/>
          <w:sz w:val="32"/>
          <w:szCs w:val="32"/>
        </w:rPr>
        <w:t>金额合计</w:t>
      </w:r>
      <w:r>
        <w:rPr>
          <w:rFonts w:hint="eastAsia" w:ascii="方正仿宋简体" w:hAnsi="方正仿宋简体" w:eastAsia="方正仿宋简体" w:cs="方正仿宋简体"/>
          <w:b w:val="0"/>
          <w:bCs/>
          <w:sz w:val="32"/>
          <w:szCs w:val="32"/>
          <w:lang w:val="en-US" w:eastAsia="zh-CN"/>
        </w:rPr>
        <w:t>83.785</w:t>
      </w:r>
      <w:r>
        <w:rPr>
          <w:rFonts w:hint="eastAsia" w:ascii="方正仿宋简体" w:hAnsi="方正仿宋简体" w:eastAsia="方正仿宋简体" w:cs="方正仿宋简体"/>
          <w:b w:val="0"/>
          <w:bCs/>
          <w:sz w:val="32"/>
          <w:szCs w:val="32"/>
        </w:rPr>
        <w:t>万元，实际支出</w:t>
      </w:r>
      <w:r>
        <w:rPr>
          <w:rFonts w:hint="eastAsia" w:ascii="方正仿宋简体" w:hAnsi="方正仿宋简体" w:eastAsia="方正仿宋简体" w:cs="方正仿宋简体"/>
          <w:b w:val="0"/>
          <w:bCs/>
          <w:sz w:val="32"/>
          <w:szCs w:val="32"/>
          <w:lang w:val="en-US" w:eastAsia="zh-CN"/>
        </w:rPr>
        <w:t>83.785</w:t>
      </w:r>
      <w:r>
        <w:rPr>
          <w:rFonts w:hint="eastAsia" w:ascii="方正仿宋简体" w:hAnsi="方正仿宋简体" w:eastAsia="方正仿宋简体" w:cs="方正仿宋简体"/>
          <w:b w:val="0"/>
          <w:bCs/>
          <w:sz w:val="32"/>
          <w:szCs w:val="32"/>
        </w:rPr>
        <w:t>万元,执行率为</w:t>
      </w:r>
      <w:r>
        <w:rPr>
          <w:rFonts w:hint="eastAsia" w:ascii="方正仿宋简体" w:hAnsi="方正仿宋简体" w:eastAsia="方正仿宋简体" w:cs="方正仿宋简体"/>
          <w:b w:val="0"/>
          <w:bCs/>
          <w:sz w:val="32"/>
          <w:szCs w:val="32"/>
          <w:lang w:val="en-US" w:eastAsia="zh-CN"/>
        </w:rPr>
        <w:t>100</w:t>
      </w:r>
      <w:r>
        <w:rPr>
          <w:rFonts w:hint="eastAsia" w:ascii="方正仿宋简体" w:hAnsi="方正仿宋简体" w:eastAsia="方正仿宋简体" w:cs="方正仿宋简体"/>
          <w:b w:val="0"/>
          <w:bCs/>
          <w:sz w:val="32"/>
          <w:szCs w:val="32"/>
        </w:rPr>
        <w:t>%。</w:t>
      </w:r>
    </w:p>
    <w:p w14:paraId="781A1B2D">
      <w:pPr>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二、绩效评价组织情况</w:t>
      </w:r>
    </w:p>
    <w:p w14:paraId="262DFC62">
      <w:pPr>
        <w:widowControl/>
        <w:shd w:val="clear" w:color="auto" w:fill="FFFFFF"/>
        <w:spacing w:line="580" w:lineRule="atLeast"/>
        <w:ind w:right="300" w:firstLine="64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本次绩效评价项目</w:t>
      </w: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个，涉及金额</w:t>
      </w:r>
      <w:r>
        <w:rPr>
          <w:rFonts w:hint="eastAsia" w:ascii="方正仿宋简体" w:hAnsi="方正仿宋简体" w:eastAsia="方正仿宋简体" w:cs="方正仿宋简体"/>
          <w:b w:val="0"/>
          <w:bCs/>
          <w:sz w:val="32"/>
          <w:szCs w:val="32"/>
          <w:lang w:val="en-US" w:eastAsia="zh-CN"/>
        </w:rPr>
        <w:t>83.785</w:t>
      </w:r>
      <w:r>
        <w:rPr>
          <w:rFonts w:hint="eastAsia" w:ascii="方正仿宋简体" w:hAnsi="方正仿宋简体" w:eastAsia="方正仿宋简体" w:cs="方正仿宋简体"/>
          <w:b w:val="0"/>
          <w:bCs/>
          <w:sz w:val="32"/>
          <w:szCs w:val="32"/>
        </w:rPr>
        <w:t>万元。采取成立本部门绩效自评工作组的形式，本着客观、公正、公开的原则开展自评工作，所有项目的绩效自评均设计了合理、明晰、可考核的、关键性产出指标和效果指标。自评结果真实可靠。</w:t>
      </w:r>
    </w:p>
    <w:p w14:paraId="01B3A8B3">
      <w:pPr>
        <w:widowControl/>
        <w:shd w:val="clear" w:color="auto" w:fill="FFFFFF"/>
        <w:spacing w:line="580" w:lineRule="atLeast"/>
        <w:ind w:right="300" w:firstLine="64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本部门年初设定的部门整体绩效指标是：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14:paraId="544041EF">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三、部门绩效管理开展的整体绩效实现情况</w:t>
      </w:r>
    </w:p>
    <w:p w14:paraId="5E610A79">
      <w:pPr>
        <w:widowControl/>
        <w:shd w:val="clear" w:color="auto" w:fill="FFFFFF"/>
        <w:spacing w:line="580" w:lineRule="atLeast"/>
        <w:ind w:right="300" w:firstLine="64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党校围绕</w:t>
      </w:r>
      <w:r>
        <w:rPr>
          <w:rFonts w:hint="eastAsia" w:ascii="方正仿宋简体" w:hAnsi="方正仿宋简体" w:eastAsia="方正仿宋简体" w:cs="方正仿宋简体"/>
          <w:b w:val="0"/>
          <w:bCs/>
          <w:sz w:val="32"/>
          <w:szCs w:val="32"/>
          <w:lang w:val="en-US" w:eastAsia="zh-CN"/>
        </w:rPr>
        <w:t>区</w:t>
      </w:r>
      <w:r>
        <w:rPr>
          <w:rFonts w:hint="eastAsia" w:ascii="方正仿宋简体" w:hAnsi="方正仿宋简体" w:eastAsia="方正仿宋简体" w:cs="方正仿宋简体"/>
          <w:b w:val="0"/>
          <w:bCs/>
          <w:sz w:val="32"/>
          <w:szCs w:val="32"/>
        </w:rPr>
        <w:t>委、</w:t>
      </w:r>
      <w:r>
        <w:rPr>
          <w:rFonts w:hint="eastAsia" w:ascii="方正仿宋简体" w:hAnsi="方正仿宋简体" w:eastAsia="方正仿宋简体" w:cs="方正仿宋简体"/>
          <w:b w:val="0"/>
          <w:bCs/>
          <w:sz w:val="32"/>
          <w:szCs w:val="32"/>
          <w:lang w:val="en-US" w:eastAsia="zh-CN"/>
        </w:rPr>
        <w:t>区</w:t>
      </w:r>
      <w:r>
        <w:rPr>
          <w:rFonts w:hint="eastAsia" w:ascii="方正仿宋简体" w:hAnsi="方正仿宋简体" w:eastAsia="方正仿宋简体" w:cs="方正仿宋简体"/>
          <w:b w:val="0"/>
          <w:bCs/>
          <w:sz w:val="32"/>
          <w:szCs w:val="32"/>
        </w:rPr>
        <w:t>政府决策部署和工作要求，发挥了培训轮训党员干部主阵地的作用，圆满完成</w:t>
      </w:r>
      <w:r>
        <w:rPr>
          <w:rFonts w:hint="eastAsia" w:ascii="方正仿宋简体" w:hAnsi="方正仿宋简体" w:eastAsia="方正仿宋简体" w:cs="方正仿宋简体"/>
          <w:b w:val="0"/>
          <w:bCs/>
          <w:sz w:val="32"/>
          <w:szCs w:val="32"/>
          <w:lang w:val="en-US" w:eastAsia="zh-CN"/>
        </w:rPr>
        <w:t>区</w:t>
      </w:r>
      <w:r>
        <w:rPr>
          <w:rFonts w:hint="eastAsia" w:ascii="方正仿宋简体" w:hAnsi="方正仿宋简体" w:eastAsia="方正仿宋简体" w:cs="方正仿宋简体"/>
          <w:b w:val="0"/>
          <w:bCs/>
          <w:sz w:val="32"/>
          <w:szCs w:val="32"/>
        </w:rPr>
        <w:t>委组织部下达的干部培训、轮训计划，落实培训任务</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为促进全</w:t>
      </w:r>
      <w:r>
        <w:rPr>
          <w:rFonts w:hint="eastAsia" w:ascii="方正仿宋简体" w:hAnsi="方正仿宋简体" w:eastAsia="方正仿宋简体" w:cs="方正仿宋简体"/>
          <w:b w:val="0"/>
          <w:bCs/>
          <w:sz w:val="32"/>
          <w:szCs w:val="32"/>
          <w:lang w:val="en-US" w:eastAsia="zh-CN"/>
        </w:rPr>
        <w:t>区</w:t>
      </w:r>
      <w:r>
        <w:rPr>
          <w:rFonts w:hint="eastAsia" w:ascii="方正仿宋简体" w:hAnsi="方正仿宋简体" w:eastAsia="方正仿宋简体" w:cs="方正仿宋简体"/>
          <w:b w:val="0"/>
          <w:bCs/>
          <w:sz w:val="32"/>
          <w:szCs w:val="32"/>
        </w:rPr>
        <w:t>经济社会高质量发展提供了强大精神动力。</w:t>
      </w:r>
    </w:p>
    <w:p w14:paraId="440AD6E4">
      <w:pPr>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一）以政治建校为统领，加强校风校纪建设。发挥党校的职能优势与阵地作用，定期组织开展社区与党校大党委共驻共建和“双报到”活动，与街道社区、纪检、统战等各部门和区内重点企业携手共建，宣讲党的</w:t>
      </w:r>
      <w:r>
        <w:rPr>
          <w:rFonts w:hint="eastAsia" w:ascii="方正仿宋简体" w:hAnsi="方正仿宋简体" w:eastAsia="方正仿宋简体" w:cs="方正仿宋简体"/>
          <w:b w:val="0"/>
          <w:bCs/>
          <w:sz w:val="32"/>
          <w:szCs w:val="32"/>
          <w:lang w:val="en-US" w:eastAsia="zh-CN"/>
        </w:rPr>
        <w:t>会议</w:t>
      </w:r>
      <w:r>
        <w:rPr>
          <w:rFonts w:hint="eastAsia" w:ascii="方正仿宋简体" w:hAnsi="方正仿宋简体" w:eastAsia="方正仿宋简体" w:cs="方正仿宋简体"/>
          <w:b w:val="0"/>
          <w:bCs/>
          <w:sz w:val="32"/>
          <w:szCs w:val="32"/>
        </w:rPr>
        <w:t>精神，让党的重大理论政策进机关、进社区、进企业、进乡村。</w:t>
      </w:r>
    </w:p>
    <w:p w14:paraId="3CC34281">
      <w:pPr>
        <w:ind w:firstLine="640" w:firstLineChars="200"/>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（二）抓中心谋发展，教学培训稳步推进。优化丰富教学课题。及时跟进中央和省市区委重大决策部署，调整充实教学“菜单”，把习近平新时代中国特色社会主义思想和党性党纪党规教育作为主课，</w:t>
      </w:r>
      <w:r>
        <w:rPr>
          <w:rFonts w:hint="eastAsia" w:ascii="方正仿宋简体" w:hAnsi="方正仿宋简体" w:eastAsia="方正仿宋简体" w:cs="方正仿宋简体"/>
          <w:b w:val="0"/>
          <w:bCs/>
          <w:sz w:val="32"/>
          <w:szCs w:val="32"/>
          <w:lang w:val="en-US" w:eastAsia="zh-CN"/>
        </w:rPr>
        <w:t>全年举办区内各类培训班次19期，其中举办全区中青年干部春季中青班和全区中青年干部秋季中青班两期主体班，举办招商引资和优化营商环境专题培训班、应急处突能力专题培训班、习近平新时代中国特色社会主义思想专题培训班、政治忠诚和党性教育专题培训班、贯彻落实党的二十届三中全会精神专题班15期，积极争取并承办丰南宣传部、司法系统、统战系统各类外训班次4期，培训学员1420人，培训时长达457学时。</w:t>
      </w:r>
    </w:p>
    <w:p w14:paraId="157BE12D">
      <w:pPr>
        <w:ind w:firstLine="640" w:firstLineChars="200"/>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（三）抓教师带队伍，教学能力不断提升。</w:t>
      </w:r>
      <w:r>
        <w:rPr>
          <w:rFonts w:hint="eastAsia" w:ascii="方正仿宋简体" w:hAnsi="方正仿宋简体" w:eastAsia="方正仿宋简体" w:cs="方正仿宋简体"/>
          <w:b w:val="0"/>
          <w:bCs/>
          <w:sz w:val="32"/>
          <w:szCs w:val="32"/>
          <w:lang w:val="en-US" w:eastAsia="zh-CN"/>
        </w:rPr>
        <w:t>围绕“请进来、走出去”的工作思路，选派优秀教师赴中央和省市委党校学习深造。选派教师赴市委党校跟班学习，组织教师参加上级师资培训班。2024年以来，先后选派5名教师参加省委党校师资培训，选派2教师赴市委党校跟班学习，先后30次组织全体教师参加各类线上培训，同时，先后邀请7名省市委党校专家教授授课，邀请6名区直有关部门负责同志为专题班授课，进一步提升了教师理论和业务水平。</w:t>
      </w:r>
    </w:p>
    <w:p w14:paraId="5FA1EF01">
      <w:pPr>
        <w:ind w:firstLine="640" w:firstLineChars="200"/>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（四）抓科研出精品，参谋作用有效发挥。按照省市委党校科研工作任务要求，制定教学科研任务清单，谋划了教学科研、论文撰写、咨政报告等</w:t>
      </w:r>
      <w:r>
        <w:rPr>
          <w:rFonts w:hint="eastAsia" w:ascii="方正仿宋简体" w:hAnsi="方正仿宋简体" w:eastAsia="方正仿宋简体" w:cs="方正仿宋简体"/>
          <w:b w:val="0"/>
          <w:bCs/>
          <w:sz w:val="32"/>
          <w:szCs w:val="32"/>
          <w:lang w:val="en-US" w:eastAsia="zh-CN"/>
        </w:rPr>
        <w:t>工作任务。绕习近平新时代中国特色社会主义思想，调整充实教学“菜单”，形成了涉及党性党史教育、党风廉政等多个板块的10个教学专题，研发了《习近平文化思想》《树立并践行正确政绩观》《纪律处分条例》等新课题10个。其中《崇廉拒腐 筑牢思想防线》获评全市精品课程，并先后在全市政治忠诚与党性教育专题培训班和2024年全市中青年干部秋季学期主体班授课。</w:t>
      </w:r>
    </w:p>
    <w:p w14:paraId="5D0539FA">
      <w:pPr>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五）抓投入重保障，办学条件持续优化。完善机构，落实场所保障。始终把党校建设工作作为加强党的自身建设的重要组成部分，统筹利用市区两级党校培训资源，完善硬件设施，提升办学硬实力。规范办学，落实资金保障。将党校教育培训经费和科研经费纳入年初财政预算，建立运转经费动态增长机制，有力夯实办学基础，保障党校有效运转。健全机制，落实制度保障。规范班级设置，开设中青年干部培训班、新发展党员及入党积极分子培训班等班次，并明确专人负责管理。</w:t>
      </w:r>
    </w:p>
    <w:p w14:paraId="0F9C012B">
      <w:pPr>
        <w:widowControl/>
        <w:shd w:val="clear" w:color="auto" w:fill="FFFFFF"/>
        <w:spacing w:line="580" w:lineRule="atLeast"/>
        <w:ind w:right="300" w:firstLine="64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党校整体绩效评价总分为100分，实际综合得分</w:t>
      </w:r>
      <w:r>
        <w:rPr>
          <w:rFonts w:hint="eastAsia" w:ascii="方正仿宋简体" w:hAnsi="方正仿宋简体" w:eastAsia="方正仿宋简体" w:cs="方正仿宋简体"/>
          <w:b w:val="0"/>
          <w:bCs/>
          <w:sz w:val="32"/>
          <w:szCs w:val="32"/>
          <w:lang w:val="en-US" w:eastAsia="zh-CN"/>
        </w:rPr>
        <w:t>100</w:t>
      </w:r>
      <w:r>
        <w:rPr>
          <w:rFonts w:hint="eastAsia" w:ascii="方正仿宋简体" w:hAnsi="方正仿宋简体" w:eastAsia="方正仿宋简体" w:cs="方正仿宋简体"/>
          <w:b w:val="0"/>
          <w:bCs/>
          <w:sz w:val="32"/>
          <w:szCs w:val="32"/>
        </w:rPr>
        <w:t>分，绩效评价等级为优。</w:t>
      </w:r>
    </w:p>
    <w:p w14:paraId="41143919">
      <w:pPr>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本部门项目依据充分，项目立项规范，绩效目标合理，绩效指标明确。项目资金到位及时，使用合规，符合国家财经法规和财务管理制度规定，符合部门预算批复的用途，最大限度地发挥了资金效益。财务控制有效，会计核算规范。各项工作的顺利推进，项目的绩效目标基本实现。</w:t>
      </w:r>
    </w:p>
    <w:p w14:paraId="283EF64C">
      <w:pPr>
        <w:numPr>
          <w:ilvl w:val="0"/>
          <w:numId w:val="3"/>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存在的问题和建议</w:t>
      </w:r>
    </w:p>
    <w:p w14:paraId="722262A2">
      <w:pPr>
        <w:spacing w:line="520" w:lineRule="exact"/>
        <w:ind w:firstLine="640" w:firstLineChars="200"/>
        <w:rPr>
          <w:rFonts w:hint="eastAsia" w:ascii="方正仿宋简体" w:hAnsi="方正仿宋简体" w:eastAsia="方正仿宋简体" w:cs="方正仿宋简体"/>
          <w:b w:val="0"/>
          <w:bCs/>
          <w:color w:val="auto"/>
          <w:kern w:val="2"/>
          <w:sz w:val="32"/>
          <w:szCs w:val="32"/>
          <w:lang w:val="en-US" w:eastAsia="zh-CN" w:bidi="ar-SA"/>
        </w:rPr>
      </w:pPr>
      <w:r>
        <w:rPr>
          <w:rFonts w:hint="eastAsia" w:ascii="方正仿宋简体" w:hAnsi="方正仿宋简体" w:eastAsia="方正仿宋简体" w:cs="方正仿宋简体"/>
          <w:b w:val="0"/>
          <w:bCs/>
          <w:color w:val="auto"/>
          <w:kern w:val="2"/>
          <w:sz w:val="32"/>
          <w:szCs w:val="32"/>
          <w:lang w:val="en-US" w:eastAsia="zh-CN" w:bidi="ar-SA"/>
        </w:rPr>
        <w:t>我校通过绩效重点评价结果，对比倒查年初绩效目标设定质量情况，发现绩效目标设定比较清晰准确，绩效指标比较完整，在今后设置项目绩效目标指标时要做到科学合理、具体，绩效标准恰当适宜、易于评价。</w:t>
      </w:r>
    </w:p>
    <w:p w14:paraId="1C2745D3">
      <w:pPr>
        <w:spacing w:line="520" w:lineRule="exact"/>
        <w:ind w:firstLine="640" w:firstLineChars="200"/>
        <w:rPr>
          <w:rFonts w:hint="eastAsia" w:ascii="方正仿宋简体" w:hAnsi="方正仿宋简体" w:eastAsia="方正仿宋简体" w:cs="方正仿宋简体"/>
          <w:b w:val="0"/>
          <w:bCs/>
          <w:color w:val="auto"/>
          <w:kern w:val="2"/>
          <w:sz w:val="32"/>
          <w:szCs w:val="32"/>
          <w:lang w:val="en-US" w:eastAsia="zh-CN" w:bidi="ar-SA"/>
        </w:rPr>
      </w:pPr>
      <w:r>
        <w:rPr>
          <w:rFonts w:hint="eastAsia" w:ascii="方正仿宋简体" w:hAnsi="方正仿宋简体" w:eastAsia="方正仿宋简体" w:cs="方正仿宋简体"/>
          <w:b w:val="0"/>
          <w:bCs/>
          <w:color w:val="auto"/>
          <w:kern w:val="2"/>
          <w:sz w:val="32"/>
          <w:szCs w:val="32"/>
          <w:lang w:val="en-US" w:eastAsia="zh-CN" w:bidi="ar-SA"/>
        </w:rPr>
        <w:t>通过绩效重点评价，我校在今后工作中要加强以下两方面管理：</w:t>
      </w:r>
    </w:p>
    <w:p w14:paraId="5FDEC434">
      <w:pPr>
        <w:spacing w:line="520" w:lineRule="exact"/>
        <w:ind w:firstLine="640" w:firstLineChars="200"/>
        <w:rPr>
          <w:rFonts w:hint="eastAsia" w:ascii="方正仿宋简体" w:hAnsi="方正仿宋简体" w:eastAsia="方正仿宋简体" w:cs="方正仿宋简体"/>
          <w:b w:val="0"/>
          <w:bCs/>
          <w:color w:val="auto"/>
          <w:kern w:val="2"/>
          <w:sz w:val="32"/>
          <w:szCs w:val="32"/>
          <w:lang w:val="zh-CN" w:eastAsia="zh-CN" w:bidi="ar-SA"/>
        </w:rPr>
      </w:pPr>
      <w:r>
        <w:rPr>
          <w:rFonts w:hint="eastAsia" w:ascii="方正仿宋简体" w:hAnsi="方正仿宋简体" w:eastAsia="方正仿宋简体" w:cs="方正仿宋简体"/>
          <w:b w:val="0"/>
          <w:bCs/>
          <w:color w:val="auto"/>
          <w:kern w:val="2"/>
          <w:sz w:val="32"/>
          <w:szCs w:val="32"/>
          <w:lang w:val="en-US" w:eastAsia="zh-CN" w:bidi="ar-SA"/>
        </w:rPr>
        <w:t>1．</w:t>
      </w:r>
      <w:r>
        <w:rPr>
          <w:rFonts w:hint="eastAsia" w:ascii="方正仿宋简体" w:hAnsi="方正仿宋简体" w:eastAsia="方正仿宋简体" w:cs="方正仿宋简体"/>
          <w:b w:val="0"/>
          <w:bCs/>
          <w:color w:val="auto"/>
          <w:kern w:val="2"/>
          <w:sz w:val="32"/>
          <w:szCs w:val="32"/>
          <w:lang w:val="zh-CN" w:eastAsia="zh-CN" w:bidi="ar-SA"/>
        </w:rPr>
        <w:t>健全制度</w:t>
      </w:r>
    </w:p>
    <w:p w14:paraId="0BFB6DB9">
      <w:pPr>
        <w:spacing w:line="520" w:lineRule="exact"/>
        <w:ind w:firstLine="640" w:firstLineChars="200"/>
        <w:rPr>
          <w:rFonts w:hint="eastAsia" w:ascii="方正仿宋简体" w:hAnsi="方正仿宋简体" w:eastAsia="方正仿宋简体" w:cs="方正仿宋简体"/>
          <w:b w:val="0"/>
          <w:bCs/>
          <w:color w:val="auto"/>
          <w:kern w:val="2"/>
          <w:sz w:val="32"/>
          <w:szCs w:val="32"/>
          <w:lang w:val="zh-CN" w:eastAsia="zh-CN" w:bidi="ar-SA"/>
        </w:rPr>
      </w:pPr>
      <w:r>
        <w:rPr>
          <w:rFonts w:hint="eastAsia" w:ascii="方正仿宋简体" w:hAnsi="方正仿宋简体" w:eastAsia="方正仿宋简体" w:cs="方正仿宋简体"/>
          <w:b w:val="0"/>
          <w:bCs/>
          <w:color w:val="auto"/>
          <w:kern w:val="2"/>
          <w:sz w:val="32"/>
          <w:szCs w:val="32"/>
          <w:lang w:val="zh-CN" w:eastAsia="zh-CN" w:bidi="ar-SA"/>
        </w:rPr>
        <w:t>根据实际工作需要更新完善《内控管理制度》，加强制度关键管控点管理，为绩效管理提供政策依据。</w:t>
      </w:r>
    </w:p>
    <w:p w14:paraId="279EBD44">
      <w:pPr>
        <w:spacing w:line="520" w:lineRule="exact"/>
        <w:ind w:firstLine="640" w:firstLineChars="200"/>
        <w:rPr>
          <w:rFonts w:hint="eastAsia" w:ascii="方正仿宋简体" w:hAnsi="方正仿宋简体" w:eastAsia="方正仿宋简体" w:cs="方正仿宋简体"/>
          <w:b w:val="0"/>
          <w:bCs/>
          <w:color w:val="auto"/>
          <w:kern w:val="2"/>
          <w:sz w:val="32"/>
          <w:szCs w:val="32"/>
          <w:lang w:val="zh-CN" w:eastAsia="zh-CN" w:bidi="ar-SA"/>
        </w:rPr>
      </w:pPr>
      <w:r>
        <w:rPr>
          <w:rFonts w:hint="eastAsia" w:ascii="方正仿宋简体" w:hAnsi="方正仿宋简体" w:eastAsia="方正仿宋简体" w:cs="方正仿宋简体"/>
          <w:b w:val="0"/>
          <w:bCs/>
          <w:color w:val="auto"/>
          <w:kern w:val="2"/>
          <w:sz w:val="32"/>
          <w:szCs w:val="32"/>
          <w:lang w:val="zh-CN" w:eastAsia="zh-CN" w:bidi="ar-SA"/>
        </w:rPr>
        <w:t>2．优化流程</w:t>
      </w:r>
    </w:p>
    <w:p w14:paraId="33F7C5F0">
      <w:pPr>
        <w:spacing w:line="52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auto"/>
          <w:kern w:val="2"/>
          <w:sz w:val="32"/>
          <w:szCs w:val="32"/>
          <w:lang w:val="zh-CN" w:eastAsia="zh-CN" w:bidi="ar-SA"/>
        </w:rPr>
        <w:t>依据年初工作安排，重新梳理工作流程，做到科学、规范、高效地完成各项工作任务。</w:t>
      </w:r>
      <w:r>
        <w:rPr>
          <w:rFonts w:hint="eastAsia" w:ascii="方正仿宋简体" w:hAnsi="方正仿宋简体" w:eastAsia="方正仿宋简体" w:cs="方正仿宋简体"/>
          <w:b w:val="0"/>
          <w:bCs/>
          <w:color w:val="auto"/>
          <w:kern w:val="2"/>
          <w:sz w:val="32"/>
          <w:szCs w:val="32"/>
          <w:lang w:val="en-US" w:eastAsia="zh-CN" w:bidi="ar-SA"/>
        </w:rPr>
        <w:t xml:space="preserve"> </w:t>
      </w:r>
      <w:r>
        <w:rPr>
          <w:rFonts w:hint="eastAsia" w:ascii="方正仿宋简体" w:hAnsi="方正仿宋简体" w:eastAsia="方正仿宋简体" w:cs="方正仿宋简体"/>
          <w:b w:val="0"/>
          <w:bCs/>
          <w:color w:val="000000"/>
          <w:sz w:val="32"/>
          <w:szCs w:val="32"/>
        </w:rPr>
        <w:t xml:space="preserve">  </w:t>
      </w:r>
    </w:p>
    <w:p w14:paraId="2EE927F7">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五、其他需要说明的问题</w:t>
      </w:r>
    </w:p>
    <w:p w14:paraId="61C74335">
      <w:pPr>
        <w:keepNext w:val="0"/>
        <w:keepLines w:val="0"/>
        <w:pageBreakBefore w:val="0"/>
        <w:widowControl w:val="0"/>
        <w:kinsoku/>
        <w:wordWrap/>
        <w:overflowPunct/>
        <w:topLinePunct w:val="0"/>
        <w:autoSpaceDE/>
        <w:autoSpaceDN/>
        <w:adjustRightInd/>
        <w:snapToGrid/>
        <w:spacing w:line="592" w:lineRule="exact"/>
        <w:ind w:firstLine="640" w:firstLineChars="200"/>
        <w:jc w:val="both"/>
        <w:rPr>
          <w:rFonts w:hint="eastAsia" w:ascii="方正仿宋简体" w:hAnsi="方正仿宋简体" w:eastAsia="方正仿宋简体" w:cs="方正仿宋简体"/>
          <w:b w:val="0"/>
          <w:bCs/>
          <w:spacing w:val="6"/>
          <w:sz w:val="32"/>
          <w:szCs w:val="32"/>
        </w:rPr>
      </w:pPr>
      <w:r>
        <w:rPr>
          <w:rFonts w:hint="eastAsia" w:ascii="方正仿宋简体" w:hAnsi="方正仿宋简体" w:eastAsia="方正仿宋简体" w:cs="方正仿宋简体"/>
          <w:b w:val="0"/>
          <w:bCs/>
          <w:sz w:val="32"/>
          <w:szCs w:val="32"/>
          <w:lang w:val="en-US" w:eastAsia="zh-CN"/>
        </w:rPr>
        <w:t>无</w:t>
      </w:r>
    </w:p>
    <w:sectPr>
      <w:footerReference r:id="rId3" w:type="default"/>
      <w:footerReference r:id="rId4" w:type="even"/>
      <w:pgSz w:w="11906" w:h="16838"/>
      <w:pgMar w:top="1757" w:right="1474" w:bottom="1531" w:left="1587" w:header="851"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C7AA">
    <w:pPr>
      <w:pStyle w:val="5"/>
      <w:framePr w:h="199" w:hRule="exact" w:wrap="around" w:vAnchor="text" w:hAnchor="margin" w:xAlign="center" w:y="1"/>
      <w:pBdr>
        <w:top w:val="none" w:color="auto" w:sz="0" w:space="0"/>
        <w:left w:val="none" w:color="auto" w:sz="0" w:space="0"/>
        <w:bottom w:val="none" w:color="auto" w:sz="0" w:space="0"/>
        <w:right w:val="none" w:color="auto" w:sz="0" w:space="0"/>
      </w:pBdr>
    </w:pPr>
  </w:p>
  <w:p w14:paraId="0AB9D144">
    <w:pPr>
      <w:pStyle w:val="5"/>
      <w:framePr w:h="199" w:hRule="exact" w:wrap="around" w:vAnchor="text" w:hAnchor="margin" w:xAlign="center" w:y="1"/>
      <w:pBdr>
        <w:top w:val="none" w:color="auto" w:sz="0" w:space="0"/>
        <w:left w:val="none" w:color="auto" w:sz="0" w:space="0"/>
        <w:bottom w:val="none" w:color="auto" w:sz="0" w:space="0"/>
        <w:right w:val="none" w:color="auto" w:sz="0" w:space="0"/>
      </w:pBdr>
    </w:pPr>
  </w:p>
  <w:p w14:paraId="49206C0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8E983">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14:paraId="64DA38C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013D7"/>
    <w:multiLevelType w:val="singleLevel"/>
    <w:tmpl w:val="953013D7"/>
    <w:lvl w:ilvl="0" w:tentative="0">
      <w:start w:val="4"/>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F156FF17"/>
    <w:multiLevelType w:val="singleLevel"/>
    <w:tmpl w:val="F156FF1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GMwZTcyODkxOTg4MTcwYjg1YTMwZWJmNWFjNDEifQ=="/>
  </w:docVars>
  <w:rsids>
    <w:rsidRoot w:val="00000000"/>
    <w:rsid w:val="0BC529E4"/>
    <w:rsid w:val="27886CAE"/>
    <w:rsid w:val="32F45DA8"/>
    <w:rsid w:val="356C6A33"/>
    <w:rsid w:val="38B844F1"/>
    <w:rsid w:val="3AEF7687"/>
    <w:rsid w:val="4D9E48E3"/>
    <w:rsid w:val="508201A4"/>
    <w:rsid w:val="5140319E"/>
    <w:rsid w:val="549D75BE"/>
    <w:rsid w:val="5A0232BF"/>
    <w:rsid w:val="5A4F0AE5"/>
    <w:rsid w:val="5AE2742A"/>
    <w:rsid w:val="5B9B0BA2"/>
    <w:rsid w:val="5ED221D2"/>
    <w:rsid w:val="60884483"/>
    <w:rsid w:val="71236D2A"/>
    <w:rsid w:val="75585F01"/>
    <w:rsid w:val="784A0269"/>
    <w:rsid w:val="7F421DF5"/>
    <w:rsid w:val="7F7D4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CF2747F-D961-4CE9-BE27-16FE032B9371}">
  <ds:schemaRefs/>
</ds:datastoreItem>
</file>

<file path=docProps/app.xml><?xml version="1.0" encoding="utf-8"?>
<Properties xmlns="http://schemas.openxmlformats.org/officeDocument/2006/extended-properties" xmlns:vt="http://schemas.openxmlformats.org/officeDocument/2006/docPropsVTypes">
  <Template>Normal.eit</Template>
  <Pages>6</Pages>
  <Words>2482</Words>
  <Characters>2558</Characters>
  <Lines>0</Lines>
  <Paragraphs>82</Paragraphs>
  <TotalTime>10</TotalTime>
  <ScaleCrop>false</ScaleCrop>
  <LinksUpToDate>false</LinksUpToDate>
  <CharactersWithSpaces>2588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fndx2019</cp:lastModifiedBy>
  <cp:lastPrinted>2025-02-25T03:11:30Z</cp:lastPrinted>
  <dcterms:modified xsi:type="dcterms:W3CDTF">2025-02-25T04:12:00Z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219B6A9503EE4E7ABDF505761EC90960_13</vt:lpwstr>
  </property>
</Properties>
</file>