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  <w:lang w:eastAsia="zh-CN"/>
        </w:rPr>
        <w:t>预算</w:t>
      </w: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 xml:space="preserve">（ 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2024</w:t>
      </w:r>
      <w:r>
        <w:rPr>
          <w:rFonts w:ascii="宋体" w:eastAsia="仿宋" w:cs="Times New Roman" w:hAnsi="宋体"/>
          <w:b/>
          <w:sz w:val="30"/>
          <w:szCs w:val="30"/>
        </w:rPr>
        <w:t xml:space="preserve"> 年度）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评价方式：</w:t>
      </w:r>
      <w:r>
        <w:rPr>
          <w:rFonts w:ascii="宋体" w:eastAsia="仿宋" w:cs="Times New Roman" w:hAnsi="宋体" w:hint="eastAsia"/>
          <w:b/>
          <w:sz w:val="44"/>
          <w:szCs w:val="44"/>
          <w:lang w:eastAsia="zh-CN"/>
        </w:rPr>
        <w:t>☑</w:t>
      </w:r>
      <w:r>
        <w:rPr>
          <w:rFonts w:ascii="宋体" w:eastAsia="仿宋" w:cs="Times New Roman" w:hAnsi="宋体"/>
          <w:b/>
          <w:sz w:val="32"/>
          <w:szCs w:val="32"/>
        </w:rPr>
        <w:t xml:space="preserve">直接组织评价        </w:t>
      </w:r>
      <w:r>
        <w:rPr>
          <w:rFonts w:ascii="宋体" w:eastAsia="仿宋" w:cs="Times New Roman" w:hAnsi="宋体"/>
          <w:b/>
          <w:sz w:val="44"/>
          <w:szCs w:val="44"/>
        </w:rPr>
        <w:t>□</w:t>
      </w:r>
      <w:r>
        <w:rPr>
          <w:rFonts w:ascii="宋体" w:eastAsia="仿宋" w:cs="Times New Roman" w:hAnsi="宋体"/>
          <w:b/>
          <w:sz w:val="32"/>
          <w:szCs w:val="32"/>
        </w:rPr>
        <w:t>委托评价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  <w:bookmarkStart w:id="0" w:name="_GoBack"/>
      <w:bookmarkEnd w:id="0"/>
    </w:p>
    <w:p>
      <w:pPr>
        <w:rPr>
          <w:rFonts w:ascii="宋体" w:eastAsia="仿宋" w:cs="Times New Roman" w:hAnsi="宋体"/>
          <w:b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部门名称</w:t>
      </w:r>
      <w:r>
        <w:rPr>
          <w:rFonts w:ascii="宋体" w:eastAsia="仿宋" w:cs="Times New Roman" w:hAnsi="宋体" w:hint="eastAsia"/>
          <w:b/>
          <w:sz w:val="32"/>
          <w:szCs w:val="32"/>
        </w:rPr>
        <w:t>：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</w:rPr>
        <w:t>唐山市丰南区残疾人联合会</w:t>
      </w:r>
      <w:r>
        <w:rPr>
          <w:rFonts w:ascii="宋体" w:eastAsia="仿宋" w:cs="Times New Roman" w:hAnsi="宋体" w:hint="eastAsia"/>
          <w:b/>
          <w:sz w:val="32"/>
          <w:szCs w:val="32"/>
        </w:rPr>
        <w:t>（加盖公章）</w:t>
      </w: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  <w:u w:val="single"/>
          <w:lang w:val="en-US" w:eastAsia="zh-CN"/>
        </w:rPr>
      </w:pPr>
      <w:r>
        <w:rPr>
          <w:rFonts w:ascii="宋体" w:eastAsia="仿宋" w:cs="Times New Roman" w:hAnsi="宋体"/>
          <w:b/>
          <w:sz w:val="32"/>
          <w:szCs w:val="32"/>
        </w:rPr>
        <w:t>联系电话：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  <w:lang w:val="en-US" w:eastAsia="zh-CN"/>
        </w:rPr>
        <w:t>0315-8115817</w:t>
      </w: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jc w:val="center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填报日期</w:t>
      </w:r>
      <w:r>
        <w:rPr>
          <w:rFonts w:ascii="宋体" w:eastAsia="仿宋" w:cs="Times New Roman" w:hAnsi="宋体" w:hint="eastAsia"/>
          <w:b/>
          <w:sz w:val="32"/>
          <w:szCs w:val="32"/>
        </w:rPr>
        <w:t>：</w:t>
      </w:r>
      <w:r>
        <w:rPr>
          <w:rFonts w:ascii="宋体" w:eastAsia="仿宋" w:cs="Times New Roman" w:hAnsi="宋体" w:hint="eastAsia"/>
          <w:b/>
          <w:sz w:val="32"/>
          <w:szCs w:val="32"/>
          <w:lang w:val="en-US" w:eastAsia="zh-CN"/>
        </w:rPr>
        <w:t>2025</w:t>
      </w:r>
      <w:r>
        <w:rPr>
          <w:rFonts w:ascii="宋体" w:eastAsia="仿宋" w:cs="Times New Roman" w:hAnsi="宋体"/>
          <w:b/>
          <w:sz w:val="32"/>
          <w:szCs w:val="32"/>
        </w:rPr>
        <w:t>年</w:t>
      </w:r>
      <w:r>
        <w:rPr>
          <w:rFonts w:ascii="宋体" w:eastAsia="仿宋" w:cs="Times New Roman" w:hAnsi="宋体" w:hint="eastAsia"/>
          <w:b/>
          <w:sz w:val="32"/>
          <w:szCs w:val="32"/>
          <w:lang w:val="en-US" w:eastAsia="zh-CN"/>
        </w:rPr>
        <w:t>2</w:t>
      </w:r>
      <w:r>
        <w:rPr>
          <w:rFonts w:ascii="宋体" w:eastAsia="仿宋" w:cs="Times New Roman" w:hAnsi="宋体"/>
          <w:b/>
          <w:sz w:val="32"/>
          <w:szCs w:val="32"/>
        </w:rPr>
        <w:t>月  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部门</w:t>
      </w:r>
      <w:r>
        <w:rPr>
          <w:rFonts w:ascii="宋体" w:eastAsia="黑体" w:cs="Times New Roman" w:hAnsi="宋体" w:hint="eastAsia"/>
          <w:b/>
          <w:sz w:val="30"/>
          <w:szCs w:val="30"/>
        </w:rPr>
        <w:t>整体</w:t>
      </w:r>
      <w:r>
        <w:rPr>
          <w:rFonts w:ascii="宋体" w:eastAsia="黑体" w:cs="Times New Roman" w:hAnsi="宋体"/>
          <w:b/>
          <w:sz w:val="30"/>
          <w:szCs w:val="30"/>
        </w:rPr>
        <w:t>概况</w:t>
      </w:r>
    </w:p>
    <w:p>
      <w:pPr>
        <w:spacing w:line="540" w:lineRule="exact"/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（一）</w:t>
      </w:r>
      <w:r>
        <w:rPr>
          <w:rFonts w:ascii="宋体" w:eastAsia="仿宋" w:cs="Times New Roman" w:hAnsi="宋体"/>
          <w:b/>
          <w:sz w:val="30"/>
          <w:szCs w:val="30"/>
        </w:rPr>
        <w:t>部门主要职责职能及人员情况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根据《丰南市残疾人联合会机关主要职责、内设机构和人员编制方案》规定，丰南区残联的主要职责是：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1、协助政府研究、制定并实施残疾人事业的有关政策、规划；对社会涉及残疾人的工作进行业务指导和协调。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2、团结、教育残疾人，听取残疾人意见，反映残疾人需求，维护残疾人利益，为残疾人服务。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3、沟通政府、社会与残疾人之间的联系；开展残疾人康复、教育、劳动就业、文化、体育、科研用品供应、福利、社会服务、无障碍设施和残疾预防工作；扶助残疾人平等参与社会生活。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4、开展残疾人事业的国内、国际交流合作。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5、完成市政府交办的其它工作任务。</w:t>
      </w:r>
    </w:p>
    <w:p>
      <w:pPr>
        <w:spacing w:line="540" w:lineRule="exact"/>
        <w:ind w:firstLineChars="200" w:firstLine="600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202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4</w:t>
      </w:r>
      <w:r>
        <w:rPr>
          <w:rFonts w:ascii="宋体" w:eastAsia="仿宋" w:cs="Times New Roman" w:hAnsi="宋体" w:hint="eastAsia"/>
          <w:b/>
          <w:sz w:val="30"/>
          <w:szCs w:val="30"/>
        </w:rPr>
        <w:t>年年末，实有人数3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3</w:t>
      </w:r>
      <w:r>
        <w:rPr>
          <w:rFonts w:ascii="宋体" w:eastAsia="仿宋" w:cs="Times New Roman" w:hAnsi="宋体" w:hint="eastAsia"/>
          <w:b/>
          <w:sz w:val="30"/>
          <w:szCs w:val="30"/>
        </w:rPr>
        <w:t>人，其中参公管理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6</w:t>
      </w:r>
      <w:r>
        <w:rPr>
          <w:rFonts w:ascii="宋体" w:eastAsia="仿宋" w:cs="Times New Roman" w:hAnsi="宋体" w:hint="eastAsia"/>
          <w:b/>
          <w:sz w:val="30"/>
          <w:szCs w:val="30"/>
        </w:rPr>
        <w:t>人，全额事业4人，人事代理2人，劳务派遣人员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21</w:t>
      </w:r>
      <w:r>
        <w:rPr>
          <w:rFonts w:ascii="宋体" w:eastAsia="仿宋" w:cs="Times New Roman" w:hAnsi="宋体" w:hint="eastAsia"/>
          <w:b/>
          <w:sz w:val="30"/>
          <w:szCs w:val="30"/>
        </w:rPr>
        <w:t>人。</w:t>
      </w:r>
    </w:p>
    <w:p>
      <w:pPr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（二）部门预算执行情况等</w:t>
      </w:r>
    </w:p>
    <w:p>
      <w:pPr>
        <w:spacing w:line="540" w:lineRule="exact"/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>本部门202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4</w:t>
      </w:r>
      <w:r>
        <w:rPr>
          <w:rFonts w:ascii="宋体" w:eastAsia="仿宋" w:cs="Times New Roman" w:hAnsi="宋体"/>
          <w:b/>
          <w:sz w:val="30"/>
          <w:szCs w:val="30"/>
        </w:rPr>
        <w:t>年度申请预算</w:t>
      </w:r>
      <w:r>
        <w:rPr>
          <w:rFonts w:ascii="宋体" w:eastAsia="仿宋" w:cs="Times New Roman" w:hAnsi="宋体" w:hint="eastAsia"/>
          <w:b/>
          <w:sz w:val="30"/>
          <w:szCs w:val="30"/>
        </w:rPr>
        <w:t>资金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1149.33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</w:t>
      </w:r>
      <w:r>
        <w:rPr>
          <w:rFonts w:ascii="宋体" w:eastAsia="仿宋" w:cs="Times New Roman" w:hAnsi="宋体"/>
          <w:b/>
          <w:sz w:val="30"/>
          <w:szCs w:val="30"/>
        </w:rPr>
        <w:t>其中：共同财政事权转移支付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324.25</w:t>
      </w:r>
      <w:r>
        <w:rPr>
          <w:rFonts w:ascii="宋体" w:eastAsia="仿宋" w:cs="Times New Roman" w:hAnsi="宋体"/>
          <w:b/>
          <w:sz w:val="30"/>
          <w:szCs w:val="30"/>
        </w:rPr>
        <w:t>万元（包含中央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74.18</w:t>
      </w:r>
      <w:r>
        <w:rPr>
          <w:rFonts w:ascii="宋体" w:eastAsia="仿宋" w:cs="Times New Roman" w:hAnsi="宋体"/>
          <w:b/>
          <w:sz w:val="30"/>
          <w:szCs w:val="30"/>
        </w:rPr>
        <w:t>万元、省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130.94</w:t>
      </w:r>
      <w:r>
        <w:rPr>
          <w:rFonts w:ascii="宋体" w:eastAsia="仿宋" w:cs="Times New Roman" w:hAnsi="宋体"/>
          <w:b/>
          <w:sz w:val="30"/>
          <w:szCs w:val="30"/>
        </w:rPr>
        <w:t>万元、市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119.13</w:t>
      </w:r>
      <w:r>
        <w:rPr>
          <w:rFonts w:ascii="宋体" w:eastAsia="仿宋" w:cs="Times New Roman" w:hAnsi="宋体"/>
          <w:b/>
          <w:sz w:val="30"/>
          <w:szCs w:val="30"/>
        </w:rPr>
        <w:t>万元），专项转移支付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63.03</w:t>
      </w:r>
      <w:r>
        <w:rPr>
          <w:rFonts w:ascii="宋体" w:eastAsia="仿宋" w:cs="Times New Roman" w:hAnsi="宋体"/>
          <w:b/>
          <w:sz w:val="30"/>
          <w:szCs w:val="30"/>
        </w:rPr>
        <w:t>万元（包含中央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63.03</w:t>
      </w:r>
      <w:r>
        <w:rPr>
          <w:rFonts w:ascii="宋体" w:eastAsia="仿宋" w:cs="Times New Roman" w:hAnsi="宋体"/>
          <w:b/>
          <w:sz w:val="30"/>
          <w:szCs w:val="30"/>
        </w:rPr>
        <w:t>万元）；</w:t>
      </w:r>
      <w:r>
        <w:rPr>
          <w:rFonts w:ascii="宋体" w:eastAsia="仿宋" w:cs="Times New Roman" w:hAnsi="宋体" w:hint="eastAsia"/>
          <w:b/>
          <w:sz w:val="30"/>
          <w:szCs w:val="30"/>
        </w:rPr>
        <w:t>实际支出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1149.33</w:t>
      </w:r>
      <w:r>
        <w:rPr>
          <w:rFonts w:ascii="宋体" w:eastAsia="仿宋" w:cs="Times New Roman" w:hAnsi="宋体" w:hint="eastAsia"/>
          <w:b/>
          <w:sz w:val="30"/>
          <w:szCs w:val="30"/>
        </w:rPr>
        <w:t>万元，</w:t>
      </w:r>
      <w:r>
        <w:rPr>
          <w:rFonts w:ascii="宋体" w:eastAsia="仿宋" w:cs="Times New Roman" w:hAnsi="宋体"/>
          <w:b/>
          <w:sz w:val="30"/>
          <w:szCs w:val="30"/>
        </w:rPr>
        <w:t>其中：共同财政事权转移支付</w:t>
      </w:r>
      <w:r>
        <w:rPr>
          <w:rFonts w:ascii="宋体" w:eastAsia="仿宋" w:cs="Times New Roman" w:hAnsi="宋体"/>
          <w:b/>
          <w:sz w:val="30"/>
          <w:szCs w:val="30"/>
        </w:rPr>
        <w:t>324.25万元（包含中央</w:t>
      </w:r>
      <w:r>
        <w:rPr>
          <w:rFonts w:ascii="宋体" w:eastAsia="仿宋" w:cs="Times New Roman" w:hAnsi="宋体" w:hint="eastAsia"/>
          <w:b/>
          <w:sz w:val="30"/>
          <w:szCs w:val="30"/>
        </w:rPr>
        <w:t>74.18</w:t>
      </w:r>
      <w:r>
        <w:rPr>
          <w:rFonts w:ascii="宋体" w:eastAsia="仿宋" w:cs="Times New Roman" w:hAnsi="宋体"/>
          <w:b/>
          <w:sz w:val="30"/>
          <w:szCs w:val="30"/>
        </w:rPr>
        <w:t>万元、省</w:t>
      </w:r>
      <w:r>
        <w:rPr>
          <w:rFonts w:ascii="宋体" w:eastAsia="仿宋" w:cs="Times New Roman" w:hAnsi="宋体" w:hint="eastAsia"/>
          <w:b/>
          <w:sz w:val="30"/>
          <w:szCs w:val="30"/>
        </w:rPr>
        <w:t>130.94</w:t>
      </w:r>
      <w:r>
        <w:rPr>
          <w:rFonts w:ascii="宋体" w:eastAsia="仿宋" w:cs="Times New Roman" w:hAnsi="宋体"/>
          <w:b/>
          <w:sz w:val="30"/>
          <w:szCs w:val="30"/>
        </w:rPr>
        <w:t>万元、市119.13</w:t>
      </w:r>
      <w:r>
        <w:rPr>
          <w:rFonts w:ascii="宋体" w:eastAsia="仿宋" w:cs="Times New Roman" w:hAnsi="宋体"/>
          <w:b/>
          <w:sz w:val="30"/>
          <w:szCs w:val="30"/>
        </w:rPr>
        <w:t>万元），专项转移支付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63.03</w:t>
      </w:r>
      <w:r>
        <w:rPr>
          <w:rFonts w:ascii="宋体" w:eastAsia="仿宋" w:cs="Times New Roman" w:hAnsi="宋体"/>
          <w:b/>
          <w:sz w:val="30"/>
          <w:szCs w:val="30"/>
        </w:rPr>
        <w:t>万元（包含中央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63.03</w:t>
      </w:r>
      <w:r>
        <w:rPr>
          <w:rFonts w:ascii="宋体" w:eastAsia="仿宋" w:cs="Times New Roman" w:hAnsi="宋体"/>
          <w:b/>
          <w:sz w:val="30"/>
          <w:szCs w:val="30"/>
        </w:rPr>
        <w:t>万元），；</w:t>
      </w:r>
      <w:r>
        <w:rPr>
          <w:rFonts w:ascii="宋体" w:eastAsia="仿宋" w:cs="Times New Roman" w:hAnsi="宋体" w:hint="eastAsia"/>
          <w:b/>
          <w:sz w:val="30"/>
          <w:szCs w:val="30"/>
        </w:rPr>
        <w:t>预算执行率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100</w:t>
      </w:r>
      <w:r>
        <w:rPr>
          <w:rFonts w:ascii="宋体" w:eastAsia="仿宋" w:cs="Times New Roman" w:hAnsi="宋体"/>
          <w:b/>
          <w:sz w:val="30"/>
          <w:szCs w:val="30"/>
        </w:rPr>
        <w:t>%</w:t>
      </w:r>
      <w:r>
        <w:rPr>
          <w:rFonts w:ascii="宋体" w:eastAsia="仿宋" w:cs="Times New Roman" w:hAnsi="宋体" w:hint="eastAsia"/>
          <w:b/>
          <w:sz w:val="30"/>
          <w:szCs w:val="30"/>
        </w:rPr>
        <w:t>。其中：</w:t>
      </w:r>
      <w:r>
        <w:rPr>
          <w:rFonts w:ascii="宋体" w:eastAsia="仿宋" w:cs="Times New Roman" w:hAnsi="宋体"/>
          <w:b/>
          <w:sz w:val="30"/>
          <w:szCs w:val="30"/>
        </w:rPr>
        <w:t>项目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47</w:t>
      </w:r>
      <w:r>
        <w:rPr>
          <w:rFonts w:ascii="宋体" w:eastAsia="仿宋" w:cs="Times New Roman" w:hAnsi="宋体"/>
          <w:b/>
          <w:sz w:val="30"/>
          <w:szCs w:val="30"/>
        </w:rPr>
        <w:t>个（与部门开展项目自评个数相同），金额合计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1003.02</w:t>
      </w:r>
      <w:r>
        <w:rPr>
          <w:rFonts w:ascii="宋体" w:eastAsia="仿宋" w:cs="Times New Roman" w:hAnsi="宋体"/>
          <w:b/>
          <w:sz w:val="30"/>
          <w:szCs w:val="30"/>
        </w:rPr>
        <w:t>万元（与部门开展项目自评金额合计相同），实际</w:t>
      </w:r>
      <w:r>
        <w:rPr>
          <w:rFonts w:ascii="宋体" w:eastAsia="仿宋" w:cs="Times New Roman" w:hAnsi="宋体" w:hint="eastAsia"/>
          <w:b/>
          <w:sz w:val="30"/>
          <w:szCs w:val="30"/>
        </w:rPr>
        <w:t>支出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929.05</w:t>
      </w:r>
      <w:r>
        <w:rPr>
          <w:rFonts w:ascii="宋体" w:eastAsia="仿宋" w:cs="Times New Roman" w:hAnsi="宋体"/>
          <w:b/>
          <w:sz w:val="30"/>
          <w:szCs w:val="30"/>
        </w:rPr>
        <w:t>万元，执行率为</w:t>
      </w: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92</w:t>
      </w:r>
      <w:r>
        <w:rPr>
          <w:rFonts w:ascii="宋体" w:eastAsia="仿宋" w:cs="Times New Roman" w:hAnsi="宋体"/>
          <w:b/>
          <w:sz w:val="30"/>
          <w:szCs w:val="30"/>
          <w:lang w:val="en-US" w:eastAsia="zh-CN"/>
        </w:rPr>
        <w:t>.6</w:t>
      </w:r>
      <w:r>
        <w:rPr>
          <w:rFonts w:ascii="宋体" w:eastAsia="仿宋" w:cs="Times New Roman" w:hAnsi="宋体"/>
          <w:b/>
          <w:sz w:val="30"/>
          <w:szCs w:val="30"/>
        </w:rPr>
        <w:t>%。</w:t>
      </w:r>
    </w:p>
    <w:p>
      <w:p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二、绩效评价组织情况</w:t>
      </w:r>
    </w:p>
    <w:p>
      <w:pPr>
        <w:ind w:firstLineChars="200" w:firstLine="600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  <w:lang w:val="en-US" w:eastAsia="zh-CN"/>
        </w:rPr>
        <w:t>本次绩效评价采取成立本部门绩效自评工作组的形式，本着客观、公正、公开的原则开展自评工作，所有项目的绩效自评均设计了合理、明晰、可考核的、关键性产出指标和效果指标。自评结果真实可靠。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三、</w:t>
      </w:r>
      <w:r>
        <w:rPr>
          <w:rFonts w:ascii="宋体" w:eastAsia="黑体" w:cs="Times New Roman" w:hAnsi="宋体" w:hint="eastAsia"/>
          <w:b/>
          <w:sz w:val="30"/>
          <w:szCs w:val="30"/>
        </w:rPr>
        <w:t>部门绩效管理开展的整体绩效实现情况</w:t>
      </w:r>
    </w:p>
    <w:p>
      <w:pPr>
        <w:pStyle w:val="15"/>
        <w:widowControl/>
        <w:spacing w:line="360" w:lineRule="atLeast"/>
        <w:ind w:firstLineChars="200" w:firstLine="600"/>
        <w:jc w:val="left"/>
        <w:rPr>
          <w:rFonts w:ascii="宋体" w:eastAsia="仿宋" w:cs="Times New Roman" w:hAnsi="宋体" w:hint="eastAsia"/>
          <w:b/>
          <w:kern w:val="2"/>
          <w:sz w:val="30"/>
          <w:szCs w:val="30"/>
          <w:lang w:val="en-US" w:eastAsia="zh-CN" w:bidi="ar-SA"/>
        </w:rPr>
      </w:pPr>
      <w:r>
        <w:rPr>
          <w:rFonts w:ascii="宋体" w:eastAsia="仿宋" w:cs="Times New Roman" w:hAnsi="宋体" w:hint="eastAsia"/>
          <w:b/>
          <w:kern w:val="2"/>
          <w:sz w:val="30"/>
          <w:szCs w:val="30"/>
          <w:lang w:val="en-US" w:eastAsia="zh-CN" w:bidi="ar-SA"/>
        </w:rPr>
        <w:t>（根据部门整体支出绩效评价指标体系评分表，认真对照自评，预算配置方面，在职人员控制率≦100%，自评得分4分；“三公经费”变动率≦0，自评得分4分。预算执行方面，预算完成率，根据上年结转+年初预算+本年追加预算-年末结余/上年结转+年初预算+本年追加预算，预算执行率达100%，自评得分7分；预算控制率，根据本年追加预算/年初预算数，控制率达0%，自评得分7分。预算管理方面，公用经费控制率，达到100%以下 ，自评得分6分；“三公经费”控制率，总体控制较好 ，达到100%以下 ，得分6分；政府采购执行率，根据实际政府采购金额/政府采购预算数，达到99.87%，自评得分</w:t>
      </w:r>
      <w:r>
        <w:rPr>
          <w:rFonts w:ascii="宋体" w:eastAsia="仿宋" w:cs="Times New Roman" w:hAnsi="宋体"/>
          <w:b/>
          <w:kern w:val="2"/>
          <w:sz w:val="30"/>
          <w:szCs w:val="30"/>
          <w:lang w:val="en-US" w:eastAsia="zh-CN" w:bidi="ar-SA"/>
        </w:rPr>
        <w:t>3</w:t>
      </w:r>
      <w:r>
        <w:rPr>
          <w:rFonts w:ascii="宋体" w:eastAsia="仿宋" w:cs="Times New Roman" w:hAnsi="宋体" w:hint="eastAsia"/>
          <w:b/>
          <w:kern w:val="2"/>
          <w:sz w:val="30"/>
          <w:szCs w:val="30"/>
          <w:lang w:val="en-US" w:eastAsia="zh-CN" w:bidi="ar-SA"/>
        </w:rPr>
        <w:t>分；资金使用合规性，符合评分要求，自评得分5分；预决算信息公开性，严格按照要求进行公开，资料真实完整准确，并按规定内容规定时限，自评得分6分；管理制度健全性，内部制度健全 ，并合法合规完整，能够有效执行，自评得分7分。预算绩效开展方面，绩效目标设定情况，符合规定格式，内容完整，并具体量化，自评得分8分；项目绩效自评覆盖率，达到100%全覆盖，自评得分8分；职责履行方面，重点工作办结率实际完成数与下达或交办的比率，达到100%，自评得分8分；履职效益方面，经济效益和社会效益，自评得分6分；机关工作整体满意度，根据区委年度考核结果，自评得分</w:t>
      </w:r>
      <w:r>
        <w:rPr>
          <w:rFonts w:ascii="宋体" w:eastAsia="仿宋" w:cs="Times New Roman" w:hAnsi="宋体"/>
          <w:b/>
          <w:kern w:val="2"/>
          <w:sz w:val="30"/>
          <w:szCs w:val="30"/>
          <w:lang w:val="en-US" w:eastAsia="zh-CN" w:bidi="ar-SA"/>
        </w:rPr>
        <w:t>4</w:t>
      </w:r>
      <w:r>
        <w:rPr>
          <w:rFonts w:ascii="宋体" w:eastAsia="仿宋" w:cs="Times New Roman" w:hAnsi="宋体" w:hint="eastAsia"/>
          <w:b/>
          <w:kern w:val="2"/>
          <w:sz w:val="30"/>
          <w:szCs w:val="30"/>
          <w:lang w:val="en-US" w:eastAsia="zh-CN" w:bidi="ar-SA"/>
        </w:rPr>
        <w:t>分；社会公众或服务对象满意度，达到90%以上，自评得分6分，合计得分</w:t>
      </w:r>
      <w:r>
        <w:rPr>
          <w:rFonts w:ascii="宋体" w:eastAsia="仿宋" w:cs="Times New Roman" w:hAnsi="宋体"/>
          <w:b/>
          <w:kern w:val="2"/>
          <w:sz w:val="30"/>
          <w:szCs w:val="30"/>
          <w:lang w:val="en-US" w:eastAsia="zh-CN" w:bidi="ar-SA"/>
        </w:rPr>
        <w:t>95</w:t>
      </w:r>
      <w:r>
        <w:rPr>
          <w:rFonts w:ascii="宋体" w:eastAsia="仿宋" w:cs="Times New Roman" w:hAnsi="宋体" w:hint="eastAsia"/>
          <w:b/>
          <w:kern w:val="2"/>
          <w:sz w:val="30"/>
          <w:szCs w:val="30"/>
          <w:lang w:val="en-US" w:eastAsia="zh-CN" w:bidi="ar-SA"/>
        </w:rPr>
        <w:t>分。</w:t>
      </w:r>
    </w:p>
    <w:p>
      <w:pPr>
        <w:numPr>
          <w:ilvl w:val="0"/>
          <w:numId w:val="2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存在的问题和建议</w:t>
      </w:r>
    </w:p>
    <w:p>
      <w:pPr>
        <w:pStyle w:val="15"/>
        <w:widowControl/>
        <w:spacing w:line="360" w:lineRule="atLeast"/>
        <w:ind w:firstLineChars="200" w:firstLine="600"/>
        <w:jc w:val="left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kern w:val="2"/>
          <w:sz w:val="30"/>
          <w:szCs w:val="30"/>
          <w:lang w:val="en-US" w:eastAsia="zh-CN" w:bidi="ar-SA"/>
        </w:rPr>
        <w:t>建议：一是提高主观认识和重视程度。作为资金的使用部门应高度认识，加强绩效评价工作，提高财政资金使用效率，将有限的预算资金在支出中实现效益最大化的重要性。在财政资金合法合规管理的同时，还应考虑项目实施中是否有浪费，是否取得了预期的效果。二是对于列入预算的专项资金及上级转移支付资金项目，应该尽快启动，申报相关工作提早准备，提高工作效率，优化中间环节。三是科学合理设置绩效评价指标。科学、合理、准确的设置三级指标、权重分值、为后续的项目执行提供执行标准。四是注重研习上级文件、政策，加强沟通，合理合规使用上级专项资金，提高上级资金执行率。</w:t>
      </w:r>
    </w:p>
    <w:p>
      <w:pPr>
        <w:numPr>
          <w:ilvl w:val="0"/>
          <w:numId w:val="2"/>
        </w:numPr>
        <w:ind w:left="0" w:firstLineChars="200" w:firstLine="600"/>
        <w:rPr>
          <w:rFonts w:ascii="宋体" w:eastAsia="黑体" w:cs="Times New Roman" w:hAnsi="宋体" w:hint="eastAsia"/>
          <w:b/>
          <w:bCs/>
          <w:sz w:val="30"/>
          <w:szCs w:val="30"/>
        </w:rPr>
      </w:pPr>
      <w:r>
        <w:rPr>
          <w:rFonts w:ascii="宋体" w:eastAsia="黑体" w:cs="Times New Roman" w:hAnsi="宋体" w:hint="eastAsia"/>
          <w:b/>
          <w:bCs/>
          <w:sz w:val="30"/>
          <w:szCs w:val="30"/>
        </w:rPr>
        <w:t>其他需要说明的问题</w:t>
      </w:r>
    </w:p>
    <w:p>
      <w:pPr>
        <w:ind w:left="0" w:firstLineChars="200" w:firstLine="600"/>
        <w:rPr>
          <w:rFonts w:ascii="宋体" w:eastAsia="黑体" w:cs="Times New Roman" w:hAnsi="宋体" w:hint="eastAsia"/>
          <w:b/>
          <w:bCs/>
          <w:sz w:val="30"/>
          <w:szCs w:val="30"/>
        </w:rPr>
      </w:pPr>
      <w:r>
        <w:rPr>
          <w:rFonts w:ascii="宋体" w:eastAsia="黑体" w:cs="Times New Roman" w:hAnsi="宋体" w:hint="eastAsia"/>
          <w:b/>
          <w:bCs/>
          <w:sz w:val="30"/>
          <w:szCs w:val="30"/>
          <w:lang w:eastAsia="zh-CN"/>
        </w:rPr>
        <w:t>无</w:t>
      </w:r>
    </w:p>
    <w:p>
      <w:pPr>
        <w:ind w:firstLineChars="200" w:firstLine="600"/>
        <w:rPr>
          <w:rFonts w:ascii="宋体" w:eastAsia="黑体" w:cs="Times New Roman" w:hAnsi="宋体" w:hint="eastAsia"/>
          <w:b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A1A91641"/>
    <w:multiLevelType w:val="singleLevel"/>
    <w:tmpl w:val="A1A91641"/>
    <w:lvl w:ilvl="0">
      <w:start w:val="4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CDAB1BA-8278-4050-8B49-3212BB9E074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4</Pages>
  <Words>0</Words>
  <Characters>1346</Characters>
  <Lines>0</Lines>
  <Paragraphs>47</Paragraphs>
  <CharactersWithSpaces>1795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2023-03-06T07:30:00Z</dcterms:created>
  <dcterms:modified xsi:type="dcterms:W3CDTF">2025-02-26T07:12:49Z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74FDDB9CA4194792AD6CCD40BB71D17D_12</vt:lpwstr>
  </property>
</Properties>
</file>