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72C7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14:paraId="1A09F527">
      <w:pPr>
        <w:jc w:val="center"/>
        <w:rPr>
          <w:rFonts w:hint="eastAsia" w:ascii="宋体" w:cs="Times New Roman"/>
          <w:b/>
          <w:sz w:val="44"/>
          <w:szCs w:val="44"/>
          <w:lang w:eastAsia="zh-CN"/>
        </w:rPr>
      </w:pPr>
      <w:r>
        <w:rPr>
          <w:rFonts w:hint="eastAsia" w:ascii="宋体" w:cs="Times New Roman"/>
          <w:b/>
          <w:sz w:val="44"/>
          <w:szCs w:val="44"/>
          <w:lang w:eastAsia="zh-CN"/>
        </w:rPr>
        <w:t>唐山市丰南区公安局交通警察大队</w:t>
      </w:r>
    </w:p>
    <w:p w14:paraId="018B7622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14:paraId="2CEA01A1"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 w14:paraId="3084AFF1">
      <w:pPr>
        <w:rPr>
          <w:rFonts w:ascii="宋体" w:hAnsi="宋体" w:eastAsia="仿宋" w:cs="Times New Roman"/>
          <w:b/>
        </w:rPr>
      </w:pPr>
    </w:p>
    <w:p w14:paraId="1800CDC0">
      <w:pPr>
        <w:rPr>
          <w:rFonts w:ascii="宋体" w:hAnsi="宋体" w:eastAsia="仿宋" w:cs="Times New Roman"/>
          <w:b/>
        </w:rPr>
      </w:pPr>
    </w:p>
    <w:p w14:paraId="5EB04F33"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 w14:paraId="6C218D4A">
      <w:pPr>
        <w:rPr>
          <w:rFonts w:ascii="宋体" w:hAnsi="宋体" w:eastAsia="仿宋" w:cs="Times New Roman"/>
          <w:b/>
        </w:rPr>
      </w:pPr>
    </w:p>
    <w:p w14:paraId="1788F8CC">
      <w:pPr>
        <w:rPr>
          <w:rFonts w:ascii="宋体" w:hAnsi="宋体" w:eastAsia="仿宋" w:cs="Times New Roman"/>
          <w:b/>
        </w:rPr>
      </w:pPr>
    </w:p>
    <w:p w14:paraId="539F7B35">
      <w:pPr>
        <w:rPr>
          <w:rFonts w:ascii="宋体" w:hAnsi="宋体" w:eastAsia="仿宋" w:cs="Times New Roman"/>
          <w:b/>
        </w:rPr>
      </w:pPr>
    </w:p>
    <w:p w14:paraId="41B5F854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2DE275AF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26BF86EC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0229874C"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eastAsia="zh-CN"/>
        </w:rPr>
        <w:t>唐山市丰南区公安局交通警察大队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>（加盖公章）</w:t>
      </w:r>
    </w:p>
    <w:p w14:paraId="4A1C653F">
      <w:pPr>
        <w:ind w:firstLine="643" w:firstLineChars="200"/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0315-8189619</w:t>
      </w:r>
    </w:p>
    <w:p w14:paraId="301BD159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3733ABE7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0BCBADE8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5BEFA63D"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>年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>月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19</w:t>
      </w:r>
      <w:r>
        <w:rPr>
          <w:rFonts w:ascii="宋体" w:hAnsi="宋体" w:eastAsia="仿宋" w:cs="Times New Roman"/>
          <w:b/>
          <w:sz w:val="32"/>
          <w:szCs w:val="32"/>
        </w:rPr>
        <w:t>日</w:t>
      </w:r>
    </w:p>
    <w:p w14:paraId="54421240">
      <w:pPr>
        <w:jc w:val="center"/>
        <w:rPr>
          <w:rFonts w:ascii="宋体" w:cs="Times New Roman"/>
          <w:b/>
          <w:sz w:val="44"/>
          <w:szCs w:val="44"/>
        </w:rPr>
      </w:pPr>
    </w:p>
    <w:p w14:paraId="326471D2">
      <w:pPr>
        <w:jc w:val="center"/>
        <w:rPr>
          <w:rFonts w:ascii="宋体" w:cs="Times New Roman"/>
          <w:b/>
          <w:sz w:val="44"/>
          <w:szCs w:val="44"/>
        </w:rPr>
      </w:pPr>
    </w:p>
    <w:p w14:paraId="756DB572">
      <w:pPr>
        <w:jc w:val="center"/>
        <w:rPr>
          <w:rFonts w:ascii="宋体" w:cs="Times New Roman"/>
          <w:b/>
          <w:sz w:val="44"/>
          <w:szCs w:val="44"/>
        </w:rPr>
      </w:pPr>
    </w:p>
    <w:p w14:paraId="469278B9">
      <w:pPr>
        <w:jc w:val="center"/>
        <w:rPr>
          <w:rFonts w:ascii="宋体" w:cs="Times New Roman"/>
          <w:b/>
          <w:sz w:val="44"/>
          <w:szCs w:val="44"/>
        </w:rPr>
      </w:pPr>
    </w:p>
    <w:p w14:paraId="0F505EF4">
      <w:pPr>
        <w:jc w:val="center"/>
        <w:rPr>
          <w:rFonts w:ascii="宋体" w:cs="Times New Roman"/>
          <w:b/>
          <w:sz w:val="44"/>
          <w:szCs w:val="44"/>
        </w:rPr>
      </w:pPr>
    </w:p>
    <w:p w14:paraId="045638A4">
      <w:pPr>
        <w:jc w:val="center"/>
        <w:rPr>
          <w:rFonts w:ascii="宋体" w:cs="Times New Roman"/>
          <w:b/>
          <w:sz w:val="44"/>
          <w:szCs w:val="44"/>
        </w:rPr>
      </w:pPr>
    </w:p>
    <w:p w14:paraId="16F0D783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14:paraId="6ECE7D64"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 w14:paraId="6825980B">
      <w:pPr>
        <w:numPr>
          <w:ilvl w:val="0"/>
          <w:numId w:val="0"/>
        </w:num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 w14:paraId="4F6EA272">
      <w:pPr>
        <w:spacing w:line="520" w:lineRule="exact"/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（1）根据《中华人民共和国道路交通安全法》有关规定，对国省道、城市道路、县乡道路实行统一科学管理，确保道路交通安全畅通、高效便捷。</w:t>
      </w:r>
    </w:p>
    <w:p w14:paraId="2CDBCB8F">
      <w:pPr>
        <w:spacing w:line="520" w:lineRule="exact"/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（2）根据《中华人民共和国道路交通安全法》有关规定，依法对交通参与的主体机动车和驾驶人实施有效监管，确保人民群众安全出行和社会生活安定。</w:t>
      </w:r>
    </w:p>
    <w:p w14:paraId="3BAEFF53">
      <w:pPr>
        <w:spacing w:line="520" w:lineRule="exact"/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3）开展交通法制建设与安全宣传、交警系统行政性收费和经费保障工作、队伍建设工作指导和调研工作，组织、规划交通管理信息化建设与应用、通讯网建设和交通管理信息系统建设推广，开展新技术推广应用工作；做好道路交通事故存车费的统筹、使用、管理工作。</w:t>
      </w:r>
    </w:p>
    <w:p w14:paraId="3E8BBCC4">
      <w:p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我单位内设7个业务部门，分别为:指挥调度室、事故处理中队、违法处理中队、宣传中队、安监中队、车辆管理所、外勤中队。在职人员共有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63</w:t>
      </w:r>
      <w:r>
        <w:rPr>
          <w:rFonts w:hint="eastAsia" w:ascii="宋体" w:hAnsi="宋体" w:eastAsia="仿宋" w:cs="Times New Roman"/>
          <w:b/>
          <w:sz w:val="30"/>
          <w:szCs w:val="30"/>
        </w:rPr>
        <w:t>人，其中：行政编制政法机关人员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34</w:t>
      </w:r>
      <w:r>
        <w:rPr>
          <w:rFonts w:hint="eastAsia" w:ascii="宋体" w:hAnsi="宋体" w:eastAsia="仿宋" w:cs="Times New Roman"/>
          <w:b/>
          <w:sz w:val="30"/>
          <w:szCs w:val="30"/>
        </w:rPr>
        <w:t>人，行政工勤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仿宋" w:cs="Times New Roman"/>
          <w:b/>
          <w:sz w:val="30"/>
          <w:szCs w:val="30"/>
        </w:rPr>
        <w:t>人，事业编制26人。人事代理人员1人。退休人员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仿宋" w:cs="Times New Roman"/>
          <w:b/>
          <w:sz w:val="30"/>
          <w:szCs w:val="30"/>
        </w:rPr>
        <w:t>人，劳务派遣及其他临时人员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267</w:t>
      </w:r>
      <w:r>
        <w:rPr>
          <w:rFonts w:hint="eastAsia" w:ascii="宋体" w:hAnsi="宋体" w:eastAsia="仿宋" w:cs="Times New Roman"/>
          <w:b/>
          <w:sz w:val="30"/>
          <w:szCs w:val="30"/>
        </w:rPr>
        <w:t>人。</w:t>
      </w:r>
    </w:p>
    <w:p w14:paraId="2CA3D613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 w14:paraId="5F4CCE7E">
      <w:pPr>
        <w:spacing w:line="540" w:lineRule="exact"/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本部门202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</w:t>
      </w:r>
      <w:r>
        <w:rPr>
          <w:rFonts w:ascii="宋体" w:hAnsi="宋体" w:eastAsia="仿宋" w:cs="Times New Roman"/>
          <w:b/>
          <w:sz w:val="30"/>
          <w:szCs w:val="30"/>
        </w:rPr>
        <w:t>年度申请预算</w:t>
      </w:r>
      <w:r>
        <w:rPr>
          <w:rFonts w:hint="eastAsia" w:ascii="宋体" w:hAnsi="宋体" w:eastAsia="仿宋" w:cs="Times New Roman"/>
          <w:b/>
          <w:sz w:val="30"/>
          <w:szCs w:val="30"/>
        </w:rPr>
        <w:t>资金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5902.35</w:t>
      </w:r>
      <w:r>
        <w:rPr>
          <w:rFonts w:hint="eastAsia" w:ascii="宋体" w:hAnsi="宋体" w:eastAsia="仿宋" w:cs="Times New Roman"/>
          <w:b/>
          <w:sz w:val="30"/>
          <w:szCs w:val="30"/>
        </w:rPr>
        <w:t>万元，</w:t>
      </w:r>
      <w:r>
        <w:rPr>
          <w:rFonts w:ascii="宋体" w:hAnsi="宋体" w:eastAsia="仿宋" w:cs="Times New Roman"/>
          <w:b/>
          <w:sz w:val="30"/>
          <w:szCs w:val="30"/>
        </w:rPr>
        <w:t>其中：共同财政事权转移支付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万元，专项转移支付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万元，债券资金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万元；</w:t>
      </w:r>
      <w:r>
        <w:rPr>
          <w:rFonts w:hint="eastAsia" w:ascii="宋体" w:hAnsi="宋体" w:eastAsia="仿宋" w:cs="Times New Roman"/>
          <w:b/>
          <w:sz w:val="30"/>
          <w:szCs w:val="30"/>
        </w:rPr>
        <w:t>实际支出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5902.35</w:t>
      </w:r>
      <w:r>
        <w:rPr>
          <w:rFonts w:hint="eastAsia" w:ascii="宋体" w:hAnsi="宋体" w:eastAsia="仿宋" w:cs="Times New Roman"/>
          <w:b/>
          <w:sz w:val="30"/>
          <w:szCs w:val="30"/>
        </w:rPr>
        <w:t>万元，</w:t>
      </w:r>
      <w:r>
        <w:rPr>
          <w:rFonts w:ascii="宋体" w:hAnsi="宋体" w:eastAsia="仿宋" w:cs="Times New Roman"/>
          <w:b/>
          <w:sz w:val="30"/>
          <w:szCs w:val="30"/>
        </w:rPr>
        <w:t>其中：共同财政事权转移支付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万元，专项转移支付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万元，债券资金</w:t>
      </w:r>
      <w:r>
        <w:rPr>
          <w:rFonts w:hint="eastAsia" w:ascii="宋体" w:hAnsi="宋体" w:eastAsia="仿宋" w:cs="Times New Roman"/>
          <w:b/>
          <w:sz w:val="30"/>
          <w:szCs w:val="30"/>
        </w:rPr>
        <w:t>0</w:t>
      </w:r>
      <w:r>
        <w:rPr>
          <w:rFonts w:ascii="宋体" w:hAnsi="宋体" w:eastAsia="仿宋" w:cs="Times New Roman"/>
          <w:b/>
          <w:sz w:val="30"/>
          <w:szCs w:val="30"/>
        </w:rPr>
        <w:t>万元；</w:t>
      </w:r>
      <w:r>
        <w:rPr>
          <w:rFonts w:hint="eastAsia" w:ascii="宋体" w:hAnsi="宋体" w:eastAsia="仿宋" w:cs="Times New Roman"/>
          <w:b/>
          <w:sz w:val="30"/>
          <w:szCs w:val="30"/>
        </w:rPr>
        <w:t>预算执行率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100</w:t>
      </w:r>
      <w:r>
        <w:rPr>
          <w:rFonts w:ascii="宋体" w:hAnsi="宋体" w:eastAsia="仿宋" w:cs="Times New Roman"/>
          <w:b/>
          <w:sz w:val="30"/>
          <w:szCs w:val="30"/>
        </w:rPr>
        <w:t>%</w:t>
      </w:r>
      <w:r>
        <w:rPr>
          <w:rFonts w:hint="eastAsia" w:ascii="宋体" w:hAnsi="宋体" w:eastAsia="仿宋" w:cs="Times New Roman"/>
          <w:b/>
          <w:sz w:val="30"/>
          <w:szCs w:val="30"/>
        </w:rPr>
        <w:t>。其中：</w:t>
      </w:r>
      <w:r>
        <w:rPr>
          <w:rFonts w:ascii="宋体" w:hAnsi="宋体" w:eastAsia="仿宋" w:cs="Times New Roman"/>
          <w:b/>
          <w:sz w:val="30"/>
          <w:szCs w:val="30"/>
        </w:rPr>
        <w:t>项目</w:t>
      </w:r>
      <w:r>
        <w:rPr>
          <w:rFonts w:hint="eastAsia" w:ascii="宋体" w:hAnsi="宋体" w:eastAsia="仿宋" w:cs="Times New Roman"/>
          <w:b/>
          <w:sz w:val="30"/>
          <w:szCs w:val="30"/>
        </w:rPr>
        <w:t>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</w:t>
      </w:r>
      <w:r>
        <w:rPr>
          <w:rFonts w:ascii="宋体" w:hAnsi="宋体" w:eastAsia="仿宋" w:cs="Times New Roman"/>
          <w:b/>
          <w:sz w:val="30"/>
          <w:szCs w:val="30"/>
        </w:rPr>
        <w:t>个（与部门开展项目自评个数相同），金额合计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4349.74</w:t>
      </w:r>
      <w:r>
        <w:rPr>
          <w:rFonts w:ascii="宋体" w:hAnsi="宋体" w:eastAsia="仿宋" w:cs="Times New Roman"/>
          <w:b/>
          <w:sz w:val="30"/>
          <w:szCs w:val="30"/>
        </w:rPr>
        <w:t>万元（与部门开展项目自评金额合计相同），实际</w:t>
      </w:r>
      <w:r>
        <w:rPr>
          <w:rFonts w:hint="eastAsia" w:ascii="宋体" w:hAnsi="宋体" w:eastAsia="仿宋" w:cs="Times New Roman"/>
          <w:b/>
          <w:sz w:val="30"/>
          <w:szCs w:val="30"/>
        </w:rPr>
        <w:t>支出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4349.74</w:t>
      </w:r>
      <w:r>
        <w:rPr>
          <w:rFonts w:ascii="宋体" w:hAnsi="宋体" w:eastAsia="仿宋" w:cs="Times New Roman"/>
          <w:b/>
          <w:sz w:val="30"/>
          <w:szCs w:val="30"/>
        </w:rPr>
        <w:t>万元，执行率为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100</w:t>
      </w:r>
      <w:r>
        <w:rPr>
          <w:rFonts w:ascii="宋体" w:hAnsi="宋体" w:eastAsia="仿宋" w:cs="Times New Roman"/>
          <w:b/>
          <w:sz w:val="30"/>
          <w:szCs w:val="30"/>
        </w:rPr>
        <w:t>%。</w:t>
      </w:r>
    </w:p>
    <w:p w14:paraId="54B34555"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 w14:paraId="363DFB2B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  <w:lang w:eastAsia="zh-CN"/>
        </w:rPr>
        <w:t>此</w:t>
      </w:r>
      <w:r>
        <w:rPr>
          <w:rFonts w:ascii="宋体" w:hAnsi="宋体" w:eastAsia="仿宋" w:cs="Times New Roman"/>
          <w:b/>
          <w:sz w:val="30"/>
          <w:szCs w:val="30"/>
        </w:rPr>
        <w:t>次绩效评价项目</w:t>
      </w:r>
      <w:r>
        <w:rPr>
          <w:rFonts w:hint="eastAsia" w:ascii="宋体" w:hAnsi="宋体" w:eastAsia="仿宋" w:cs="Times New Roman"/>
          <w:b/>
          <w:sz w:val="30"/>
          <w:szCs w:val="30"/>
        </w:rPr>
        <w:t>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</w:t>
      </w:r>
      <w:r>
        <w:rPr>
          <w:rFonts w:ascii="宋体" w:hAnsi="宋体" w:eastAsia="仿宋" w:cs="Times New Roman"/>
          <w:b/>
          <w:sz w:val="30"/>
          <w:szCs w:val="30"/>
        </w:rPr>
        <w:t>个，</w:t>
      </w:r>
      <w:r>
        <w:rPr>
          <w:rFonts w:hint="eastAsia" w:ascii="宋体" w:hAnsi="宋体" w:eastAsia="仿宋" w:cs="Times New Roman"/>
          <w:b/>
          <w:sz w:val="30"/>
          <w:szCs w:val="30"/>
        </w:rPr>
        <w:t>占</w:t>
      </w:r>
      <w:r>
        <w:rPr>
          <w:rFonts w:ascii="宋体" w:hAnsi="宋体" w:eastAsia="仿宋" w:cs="Times New Roman"/>
          <w:b/>
          <w:sz w:val="30"/>
          <w:szCs w:val="30"/>
        </w:rPr>
        <w:t>部门项目总数的</w:t>
      </w:r>
      <w:r>
        <w:rPr>
          <w:rFonts w:hint="eastAsia" w:ascii="宋体" w:hAnsi="宋体" w:eastAsia="仿宋" w:cs="Times New Roman"/>
          <w:b/>
          <w:sz w:val="30"/>
          <w:szCs w:val="30"/>
        </w:rPr>
        <w:t>100</w:t>
      </w:r>
      <w:r>
        <w:rPr>
          <w:rFonts w:ascii="宋体" w:hAnsi="宋体" w:eastAsia="仿宋" w:cs="Times New Roman"/>
          <w:b/>
          <w:sz w:val="30"/>
          <w:szCs w:val="30"/>
        </w:rPr>
        <w:t>%，涉及金额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4349.74</w:t>
      </w:r>
      <w:r>
        <w:rPr>
          <w:rFonts w:ascii="宋体" w:hAnsi="宋体" w:eastAsia="仿宋" w:cs="Times New Roman"/>
          <w:b/>
          <w:sz w:val="30"/>
          <w:szCs w:val="30"/>
        </w:rPr>
        <w:t>万元。采取成立本部门绩效自评工作组</w:t>
      </w:r>
      <w:r>
        <w:rPr>
          <w:rFonts w:hint="eastAsia" w:ascii="宋体" w:hAnsi="宋体" w:eastAsia="仿宋" w:cs="Times New Roman"/>
          <w:b/>
          <w:sz w:val="30"/>
          <w:szCs w:val="30"/>
        </w:rPr>
        <w:t>的</w:t>
      </w:r>
      <w:r>
        <w:rPr>
          <w:rFonts w:ascii="宋体" w:hAnsi="宋体" w:eastAsia="仿宋" w:cs="Times New Roman"/>
          <w:b/>
          <w:sz w:val="30"/>
          <w:szCs w:val="30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546EB3AC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 w14:paraId="0890219B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1、预算绩效管理情况：按照年初预算，我单位在资金的管理和使用上，严守法律底线、纪律底线，无违反财务管理、财经纪律情况发生，会计核算真实完整，项目资金支出和原定用途、预算批复用途相符，财政资金使用效率进一步提高。特别是在各类项目资金的管理使用上，严格按照及时拨付，全面完成各项目标任务。</w:t>
      </w:r>
    </w:p>
    <w:p w14:paraId="57E4A99C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2、工作履行活动完成情况：</w:t>
      </w:r>
    </w:p>
    <w:p w14:paraId="27EDC288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维护了全区良好的道路交通秩序，缓解了城市县乡交通拥堵，提高道路通行能力；加强了公路巡警建设，提升了道路交通秩序管理水平。</w:t>
      </w:r>
    </w:p>
    <w:p w14:paraId="1915CAB4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3、实施履行活动产生的效果：</w:t>
      </w:r>
    </w:p>
    <w:p w14:paraId="43755B70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加强了交通法制建设与安全宜传力度，执法水平和管理服务社会能力进一步提高，为交管事业健康发展提供各项有力保障。</w:t>
      </w:r>
    </w:p>
    <w:p w14:paraId="54B2980C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4、服务对象满意程度：</w:t>
      </w:r>
    </w:p>
    <w:p w14:paraId="70052B4F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提高了全区交通管理工作规范化、科学化水平，让群众感受到公平正义，实现了“事故少、秩序好、道路畅通、群众满意”的总体工作目标。</w:t>
      </w:r>
    </w:p>
    <w:p w14:paraId="450871B3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四、存在的问题和建议</w:t>
      </w:r>
    </w:p>
    <w:p w14:paraId="08E2D25F">
      <w:pPr>
        <w:ind w:firstLine="753" w:firstLineChars="25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 w14:paraId="71726B7A">
      <w:pPr>
        <w:ind w:firstLine="753" w:firstLineChars="25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2、规范账务处理，提高财务信息质量。严格按照《会计法》、《行政单位会计制度》、《行政单位财务规则》等规定，结合实际情况，科学设置支出科目，规范财务核算，完整披露相关信息。</w:t>
      </w:r>
    </w:p>
    <w:p w14:paraId="51F5F1FC">
      <w:pPr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ascii="宋体" w:hAnsi="宋体" w:eastAsia="黑体" w:cs="Times New Roman"/>
          <w:b/>
          <w:bCs/>
          <w:sz w:val="30"/>
          <w:szCs w:val="30"/>
        </w:rPr>
        <w:t>五、</w:t>
      </w: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 w14:paraId="48137F36"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黑体" w:cs="Times New Roman"/>
          <w:b/>
          <w:sz w:val="30"/>
          <w:szCs w:val="30"/>
          <w:lang w:eastAsia="zh-CN"/>
        </w:rPr>
        <w:t>无</w:t>
      </w:r>
      <w:bookmarkStart w:id="0" w:name="_GoBack"/>
      <w:bookmarkEnd w:id="0"/>
    </w:p>
    <w:p w14:paraId="7A1D3216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5B87683"/>
    <w:rsid w:val="2A4D429B"/>
    <w:rsid w:val="503C1CD6"/>
    <w:rsid w:val="5CD14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493</Words>
  <Characters>524</Characters>
  <Lines>0</Lines>
  <Paragraphs>38</Paragraphs>
  <TotalTime>0</TotalTime>
  <ScaleCrop>false</ScaleCrop>
  <LinksUpToDate>false</LinksUpToDate>
  <CharactersWithSpaces>565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2025-02-19T03:13:23Z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eyJoZGlkIjoiMDJmYWU4OTcxODNkYzBmOGU0ZWM4NjQ2NzY4NzZiM2YifQ==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FDE3053CEE2044BB94688F4E143562D3_12</vt:lpwstr>
  </property>
</Properties>
</file>