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C55AE">
      <w:pPr>
        <w:jc w:val="left"/>
        <w:rPr>
          <w:rFonts w:ascii="宋体" w:cs="Times New Roman"/>
          <w:b/>
          <w:sz w:val="30"/>
          <w:szCs w:val="30"/>
        </w:rPr>
      </w:pPr>
      <w:r>
        <w:rPr>
          <w:rFonts w:hint="eastAsia" w:ascii="宋体" w:cs="Times New Roman"/>
          <w:b/>
          <w:sz w:val="30"/>
          <w:szCs w:val="30"/>
        </w:rPr>
        <w:t>附件</w:t>
      </w:r>
      <w:r>
        <w:rPr>
          <w:rFonts w:ascii="宋体" w:cs="Times New Roman"/>
          <w:b/>
          <w:sz w:val="30"/>
          <w:szCs w:val="30"/>
        </w:rPr>
        <w:t>5</w:t>
      </w:r>
    </w:p>
    <w:p w14:paraId="40C0F02E">
      <w:pPr>
        <w:jc w:val="center"/>
        <w:rPr>
          <w:rFonts w:ascii="宋体" w:cs="Times New Roman"/>
          <w:b/>
          <w:sz w:val="32"/>
          <w:szCs w:val="32"/>
        </w:rPr>
      </w:pPr>
      <w:r>
        <w:rPr>
          <w:rFonts w:hint="eastAsia" w:ascii="宋体" w:cs="Times New Roman"/>
          <w:b/>
          <w:sz w:val="32"/>
          <w:szCs w:val="32"/>
        </w:rPr>
        <w:t>唐山市丰南区图书馆</w:t>
      </w:r>
      <w:r>
        <w:rPr>
          <w:rFonts w:ascii="宋体" w:cs="Times New Roman"/>
          <w:b/>
          <w:sz w:val="32"/>
          <w:szCs w:val="32"/>
        </w:rPr>
        <w:t>部门</w:t>
      </w:r>
      <w:r>
        <w:rPr>
          <w:rFonts w:hint="eastAsia" w:ascii="宋体" w:cs="Times New Roman"/>
          <w:b/>
          <w:sz w:val="32"/>
          <w:szCs w:val="32"/>
        </w:rPr>
        <w:t>整体</w:t>
      </w:r>
      <w:r>
        <w:rPr>
          <w:rFonts w:ascii="宋体" w:cs="Times New Roman"/>
          <w:b/>
          <w:sz w:val="32"/>
          <w:szCs w:val="32"/>
        </w:rPr>
        <w:t>绩效自评报告</w:t>
      </w:r>
    </w:p>
    <w:p w14:paraId="23FCC656">
      <w:pPr>
        <w:jc w:val="center"/>
        <w:rPr>
          <w:rFonts w:ascii="宋体" w:hAnsi="宋体" w:eastAsia="仿宋" w:cs="Times New Roman"/>
          <w:b/>
          <w:sz w:val="30"/>
          <w:szCs w:val="30"/>
        </w:rPr>
      </w:pPr>
      <w:r>
        <w:rPr>
          <w:rFonts w:ascii="宋体" w:hAnsi="宋体" w:eastAsia="仿宋" w:cs="Times New Roman"/>
          <w:b/>
          <w:sz w:val="30"/>
          <w:szCs w:val="30"/>
        </w:rPr>
        <w:t xml:space="preserve">（    </w:t>
      </w:r>
      <w:r>
        <w:rPr>
          <w:rFonts w:hint="eastAsia" w:ascii="宋体" w:hAnsi="宋体" w:eastAsia="仿宋" w:cs="Times New Roman"/>
          <w:b/>
          <w:sz w:val="30"/>
          <w:szCs w:val="30"/>
        </w:rPr>
        <w:t>2024</w:t>
      </w:r>
      <w:r>
        <w:rPr>
          <w:rFonts w:ascii="宋体" w:hAnsi="宋体" w:eastAsia="仿宋" w:cs="Times New Roman"/>
          <w:b/>
          <w:sz w:val="30"/>
          <w:szCs w:val="30"/>
        </w:rPr>
        <w:t xml:space="preserve">  年度）</w:t>
      </w:r>
    </w:p>
    <w:p w14:paraId="24F79CD3">
      <w:pPr>
        <w:rPr>
          <w:rFonts w:ascii="宋体" w:hAnsi="宋体" w:eastAsia="仿宋" w:cs="Times New Roman"/>
          <w:b/>
        </w:rPr>
      </w:pPr>
    </w:p>
    <w:p w14:paraId="5DB37B03">
      <w:pPr>
        <w:rPr>
          <w:rFonts w:ascii="宋体" w:hAnsi="宋体" w:eastAsia="仿宋" w:cs="Times New Roman"/>
          <w:b/>
        </w:rPr>
      </w:pPr>
    </w:p>
    <w:p w14:paraId="0A64224B">
      <w:pPr>
        <w:ind w:firstLine="321" w:firstLineChars="100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评价方式：</w:t>
      </w:r>
      <w:r>
        <w:rPr>
          <w:rFonts w:hint="eastAsia" w:ascii="宋体" w:hAnsi="宋体" w:eastAsia="仿宋" w:cs="Times New Roman"/>
          <w:b/>
          <w:sz w:val="44"/>
          <w:szCs w:val="44"/>
        </w:rPr>
        <w:t>☑</w:t>
      </w:r>
      <w:r>
        <w:rPr>
          <w:rFonts w:ascii="宋体" w:hAnsi="宋体" w:eastAsia="仿宋" w:cs="Times New Roman"/>
          <w:b/>
          <w:sz w:val="32"/>
          <w:szCs w:val="32"/>
        </w:rPr>
        <w:t xml:space="preserve">直接组织评价        </w:t>
      </w:r>
      <w:r>
        <w:rPr>
          <w:rFonts w:ascii="宋体" w:hAnsi="宋体" w:eastAsia="仿宋" w:cs="Times New Roman"/>
          <w:b/>
          <w:sz w:val="44"/>
          <w:szCs w:val="44"/>
        </w:rPr>
        <w:t>□</w:t>
      </w:r>
      <w:r>
        <w:rPr>
          <w:rFonts w:ascii="宋体" w:hAnsi="宋体" w:eastAsia="仿宋" w:cs="Times New Roman"/>
          <w:b/>
          <w:sz w:val="32"/>
          <w:szCs w:val="32"/>
        </w:rPr>
        <w:t>委托评价</w:t>
      </w:r>
    </w:p>
    <w:p w14:paraId="7D32E8F1">
      <w:pPr>
        <w:rPr>
          <w:rFonts w:ascii="宋体" w:hAnsi="宋体" w:eastAsia="仿宋" w:cs="Times New Roman"/>
          <w:b/>
        </w:rPr>
      </w:pPr>
    </w:p>
    <w:p w14:paraId="5728E2B3">
      <w:pPr>
        <w:rPr>
          <w:rFonts w:ascii="宋体" w:hAnsi="宋体" w:eastAsia="仿宋" w:cs="Times New Roman"/>
          <w:b/>
        </w:rPr>
      </w:pPr>
    </w:p>
    <w:p w14:paraId="2918BB2C">
      <w:pPr>
        <w:rPr>
          <w:rFonts w:ascii="宋体" w:hAnsi="宋体" w:eastAsia="仿宋" w:cs="Times New Roman"/>
          <w:b/>
        </w:rPr>
      </w:pPr>
    </w:p>
    <w:p w14:paraId="5450660A"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 w14:paraId="2B2580D1"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 w14:paraId="1DC8FC43"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 w14:paraId="7874100A">
      <w:pPr>
        <w:ind w:firstLine="643" w:firstLineChars="200"/>
        <w:rPr>
          <w:rFonts w:ascii="宋体" w:hAnsi="宋体" w:eastAsia="仿宋" w:cs="Times New Roman"/>
          <w:b/>
          <w:sz w:val="32"/>
          <w:szCs w:val="32"/>
          <w:u w:val="single"/>
        </w:rPr>
      </w:pPr>
      <w:r>
        <w:rPr>
          <w:rFonts w:ascii="宋体" w:hAnsi="宋体" w:eastAsia="仿宋" w:cs="Times New Roman"/>
          <w:b/>
          <w:sz w:val="32"/>
          <w:szCs w:val="32"/>
        </w:rPr>
        <w:t>部门名称：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</w:rPr>
        <w:t>唐山市丰南区图书馆（加盖公章）</w:t>
      </w:r>
    </w:p>
    <w:p w14:paraId="1344FE45">
      <w:pPr>
        <w:ind w:firstLine="643" w:firstLineChars="200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联系电话：</w:t>
      </w:r>
    </w:p>
    <w:p w14:paraId="7390F522"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 w14:paraId="2C4B58E8"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 w14:paraId="74CB43E1"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 w14:paraId="5639D466">
      <w:pPr>
        <w:jc w:val="center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填报日期</w:t>
      </w:r>
      <w:r>
        <w:rPr>
          <w:rFonts w:hint="eastAsia" w:ascii="宋体" w:hAnsi="宋体" w:eastAsia="仿宋" w:cs="Times New Roman"/>
          <w:b/>
          <w:sz w:val="32"/>
          <w:szCs w:val="32"/>
        </w:rPr>
        <w:t>：2024</w:t>
      </w:r>
      <w:r>
        <w:rPr>
          <w:rFonts w:ascii="宋体" w:hAnsi="宋体" w:eastAsia="仿宋" w:cs="Times New Roman"/>
          <w:b/>
          <w:sz w:val="32"/>
          <w:szCs w:val="32"/>
        </w:rPr>
        <w:t xml:space="preserve">年 </w:t>
      </w:r>
      <w:r>
        <w:rPr>
          <w:rFonts w:hint="eastAsia" w:ascii="宋体" w:hAnsi="宋体" w:eastAsia="仿宋" w:cs="Times New Roman"/>
          <w:b/>
          <w:sz w:val="32"/>
          <w:szCs w:val="32"/>
        </w:rPr>
        <w:t>2</w:t>
      </w:r>
      <w:r>
        <w:rPr>
          <w:rFonts w:ascii="宋体" w:hAnsi="宋体" w:eastAsia="仿宋" w:cs="Times New Roman"/>
          <w:b/>
          <w:sz w:val="32"/>
          <w:szCs w:val="32"/>
        </w:rPr>
        <w:t xml:space="preserve"> 月 </w:t>
      </w:r>
      <w:r>
        <w:rPr>
          <w:rFonts w:hint="eastAsia" w:ascii="宋体" w:hAnsi="宋体" w:eastAsia="仿宋" w:cs="Times New Roman"/>
          <w:b/>
          <w:sz w:val="32"/>
          <w:szCs w:val="32"/>
        </w:rPr>
        <w:t>19</w:t>
      </w:r>
      <w:r>
        <w:rPr>
          <w:rFonts w:ascii="宋体" w:hAnsi="宋体" w:eastAsia="仿宋" w:cs="Times New Roman"/>
          <w:b/>
          <w:sz w:val="32"/>
          <w:szCs w:val="32"/>
        </w:rPr>
        <w:t xml:space="preserve"> 日</w:t>
      </w:r>
    </w:p>
    <w:p w14:paraId="5F8A3D63">
      <w:pPr>
        <w:jc w:val="center"/>
        <w:rPr>
          <w:rFonts w:ascii="宋体" w:cs="Times New Roman"/>
          <w:b/>
          <w:sz w:val="44"/>
          <w:szCs w:val="44"/>
        </w:rPr>
      </w:pPr>
    </w:p>
    <w:p w14:paraId="39CC3AE7">
      <w:pPr>
        <w:jc w:val="center"/>
        <w:rPr>
          <w:rFonts w:ascii="宋体" w:cs="Times New Roman"/>
          <w:b/>
          <w:sz w:val="44"/>
          <w:szCs w:val="44"/>
        </w:rPr>
      </w:pPr>
    </w:p>
    <w:p w14:paraId="23EE3B1C">
      <w:pPr>
        <w:jc w:val="center"/>
        <w:rPr>
          <w:rFonts w:ascii="宋体" w:cs="Times New Roman"/>
          <w:b/>
          <w:sz w:val="44"/>
          <w:szCs w:val="44"/>
        </w:rPr>
      </w:pPr>
    </w:p>
    <w:p w14:paraId="04E88030">
      <w:pPr>
        <w:jc w:val="center"/>
        <w:rPr>
          <w:rFonts w:ascii="宋体" w:cs="Times New Roman"/>
          <w:b/>
          <w:sz w:val="44"/>
          <w:szCs w:val="44"/>
        </w:rPr>
      </w:pPr>
    </w:p>
    <w:p w14:paraId="1021B125">
      <w:pPr>
        <w:jc w:val="center"/>
        <w:rPr>
          <w:rFonts w:ascii="宋体" w:cs="Times New Roman"/>
          <w:b/>
          <w:sz w:val="44"/>
          <w:szCs w:val="44"/>
        </w:rPr>
      </w:pPr>
    </w:p>
    <w:p w14:paraId="6C93E56B">
      <w:pPr>
        <w:jc w:val="center"/>
        <w:rPr>
          <w:rFonts w:ascii="宋体" w:cs="Times New Roman"/>
          <w:b/>
          <w:sz w:val="44"/>
          <w:szCs w:val="44"/>
        </w:rPr>
      </w:pPr>
    </w:p>
    <w:p w14:paraId="0A57D77B">
      <w:pPr>
        <w:spacing w:line="592" w:lineRule="exact"/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 w14:paraId="797B0121">
      <w:pPr>
        <w:numPr>
          <w:ilvl w:val="0"/>
          <w:numId w:val="1"/>
        </w:numPr>
        <w:spacing w:line="592" w:lineRule="exact"/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部门</w:t>
      </w:r>
      <w:r>
        <w:rPr>
          <w:rFonts w:hint="eastAsia" w:ascii="宋体" w:hAnsi="宋体" w:eastAsia="黑体" w:cs="Times New Roman"/>
          <w:b/>
          <w:sz w:val="30"/>
          <w:szCs w:val="30"/>
        </w:rPr>
        <w:t>整体</w:t>
      </w:r>
      <w:r>
        <w:rPr>
          <w:rFonts w:ascii="宋体" w:hAnsi="宋体" w:eastAsia="黑体" w:cs="Times New Roman"/>
          <w:b/>
          <w:sz w:val="30"/>
          <w:szCs w:val="30"/>
        </w:rPr>
        <w:t>概况</w:t>
      </w:r>
    </w:p>
    <w:p w14:paraId="6D9998DB">
      <w:pPr>
        <w:spacing w:line="592" w:lineRule="exact"/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部门主要职责职能及人员情况</w:t>
      </w:r>
    </w:p>
    <w:p w14:paraId="2D35514A">
      <w:pPr>
        <w:spacing w:line="59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保存、整理和传播书刊、文献信息资料、数字资源，组织阅读推广系列活动，构建全区阅读服务体系，开展社会教育，服务我区文明建设。我部门财政供养实有在职46人，其中事业编制13人、人事代理6人、劳务派遣人员27人。离退休人员13人。</w:t>
      </w:r>
    </w:p>
    <w:p w14:paraId="39DA76F9">
      <w:pPr>
        <w:spacing w:line="59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（二）部门预算执行情况等</w:t>
      </w:r>
    </w:p>
    <w:p w14:paraId="555EF50D">
      <w:pPr>
        <w:spacing w:line="59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部门2024年度申请预算资金630万元，其中：共同财政事权转移支付14万元（包含中央12万元、省2万元、市0万元），专项转移支付2万元（包含中央0万元、省0万元、市2万元），债券资金0万元；实际支出630万元，其中：共同财政事权转移支付14万元（包含中央12万元、省2万元、市0万元），专项转移支付2万元（包含中央0万元、省0万元、市2万元），债券资金0万元；预算执行率100%。其中：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>个（与部门开展项目自评个数相同），金额合计195.82万元（与部门开展项目自评金额合计相同），实际支出195.82万元，执行率为100%。</w:t>
      </w:r>
    </w:p>
    <w:p w14:paraId="5D1B5582">
      <w:pPr>
        <w:spacing w:line="592" w:lineRule="exact"/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二、绩效评价组织情况</w:t>
      </w:r>
    </w:p>
    <w:p w14:paraId="0B9C09B0">
      <w:pPr>
        <w:spacing w:line="59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1、坚持公益性原则，实施零门槛进入和基本服务全免费，免费开放率100%。</w:t>
      </w:r>
    </w:p>
    <w:p w14:paraId="22B15336">
      <w:pPr>
        <w:spacing w:line="592" w:lineRule="exact"/>
        <w:ind w:firstLine="640" w:firstLineChars="200"/>
        <w:rPr>
          <w:rFonts w:ascii="Times New Roman" w:hAnsi="Times New Roman" w:eastAsia="仿宋" w:cs="Times New Roman"/>
          <w:color w:val="F79646" w:themeColor="accent6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2、依照本地实际做好文献资源建设，合理入藏纸质图书报刊、数字资源、非书资源，保障群众基本阅读需求，年度文献外借量大于20万册次。</w:t>
      </w:r>
    </w:p>
    <w:p w14:paraId="1888C8B1">
      <w:pPr>
        <w:spacing w:line="59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3、通过图书借阅、读书活动开展等各种形式做好读者服务工作，促进全民阅读工作的有效开展，年度各类活动开展大于150场次。</w:t>
      </w:r>
    </w:p>
    <w:p w14:paraId="7FBF47B9">
      <w:pPr>
        <w:spacing w:line="59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4、积极进行文化保护，对丰南城乡地域文献资源及文化资源进行收藏、挖掘、保护，推动优秀地域文化传承和推广普及工作。</w:t>
      </w:r>
    </w:p>
    <w:p w14:paraId="5C581FE5">
      <w:pPr>
        <w:spacing w:line="59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5、扎实做好馆员业务培训、基层辅导培训工作，提升整体服务水平。</w:t>
      </w:r>
    </w:p>
    <w:p w14:paraId="7C3E8112">
      <w:pPr>
        <w:spacing w:line="59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6、进一步推进公共文化服务体系建设，努力完善全区图书馆总分馆建设，提升、扩大服务成果。</w:t>
      </w:r>
    </w:p>
    <w:p w14:paraId="4D5298B9">
      <w:pPr>
        <w:spacing w:line="59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7、做好基础设施、设备的维护、保养、更新工作。</w:t>
      </w:r>
    </w:p>
    <w:p w14:paraId="1C174C9A">
      <w:pPr>
        <w:spacing w:line="592" w:lineRule="exact"/>
        <w:ind w:firstLine="640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8、配合上级有关部门做好相关政治文化、宣传等工作</w:t>
      </w:r>
      <w:r>
        <w:rPr>
          <w:rFonts w:hint="eastAsia" w:ascii="宋体" w:hAnsi="宋体" w:eastAsia="仿宋" w:cs="Times New Roman"/>
          <w:b/>
          <w:sz w:val="30"/>
          <w:szCs w:val="30"/>
        </w:rPr>
        <w:t>。</w:t>
      </w:r>
      <w:r>
        <w:rPr>
          <w:rFonts w:ascii="宋体" w:hAnsi="宋体" w:eastAsia="黑体" w:cs="Times New Roman"/>
          <w:b/>
          <w:sz w:val="30"/>
          <w:szCs w:val="30"/>
        </w:rPr>
        <w:t>三、</w:t>
      </w:r>
      <w:r>
        <w:rPr>
          <w:rFonts w:hint="eastAsia" w:ascii="宋体" w:hAnsi="宋体" w:eastAsia="黑体" w:cs="Times New Roman"/>
          <w:b/>
          <w:sz w:val="30"/>
          <w:szCs w:val="30"/>
        </w:rPr>
        <w:t>部门绩效管理开展的整体绩效实现情况</w:t>
      </w:r>
    </w:p>
    <w:p w14:paraId="652043BA">
      <w:pPr>
        <w:spacing w:line="59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按照区财政局《关于开展部门整体支出绩效自评的通知》的文件要求，我馆领导高度重视此项工作，成立了以馆长刘志大为组长的绩效自评工作组，明确职责分工，既要将项目实施中存在的问题如实反映，又要分析所取得的成绩，客观公正地实施自评，确保自评结果所反映的资金使用效益和公共服务质量全面、真实、准确、客观，以提高预算编制绩效目标指标设置质量。绩效自评完成情况如下：</w:t>
      </w:r>
    </w:p>
    <w:p w14:paraId="52DF93BF">
      <w:pPr>
        <w:spacing w:line="59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1、预算配置：在职人员控制率为100%，得4分；“三公经费”变动率小于0，得4分。</w:t>
      </w:r>
    </w:p>
    <w:p w14:paraId="0B9E76C2">
      <w:pPr>
        <w:spacing w:line="59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2、预算执行：预算完成率，得5分；预算控制率在0-10%，得6分。</w:t>
      </w:r>
    </w:p>
    <w:p w14:paraId="64BC4E4C">
      <w:pPr>
        <w:spacing w:line="59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、预算管理：公用经费控制率在100%以下，得6分；“三公经费”控制率在100%以下，得6分；政府采购执行率100%，得5分；资金使用合规性：支出符合国家财经法规和财务管理制度规定，资金拨付有完整的审批程序和手续，项目支出按规定经过评估认证，支出符合部门预算批复的用途，资金使用无截留、挤占、挪用、虚列支出等情况，得5分；预决算信息公开性：按规定内容、时限公开预决算，基础数据信息和会计信息资料真实、完整，基础数据信息和汇集信息资料准确，得6分；管理制度健全：建立内部财务管理制度、内部控制制度、会计核算制度等管理制度，有本部门厉行节约制度，相关管理制度合法、合规、完整，能够得到有效执行，有考核制度。得8分。</w:t>
      </w:r>
    </w:p>
    <w:p w14:paraId="5BAE0E53">
      <w:pPr>
        <w:spacing w:line="59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4、预算绩效开展：绩效目标符合规定格式要求，内容完整，充分体现了“干什么”、“干到什么程度”，目标量化、具体，得8分；项目绩效自评覆盖率为100%，得8分。</w:t>
      </w:r>
    </w:p>
    <w:p w14:paraId="2EE6E46D">
      <w:pPr>
        <w:spacing w:line="59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5、职责履行：部门重点工作办结率100%，得8分。</w:t>
      </w:r>
    </w:p>
    <w:p w14:paraId="6A47590F">
      <w:pPr>
        <w:spacing w:line="592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6、履职效益：绩效目标的实现，使馆藏内容更加丰富，满足读者阅读需求、得6分；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机关工作整体满意度高，区委年度考核结果为良，得 4 分；社会公众服务对象满意度为90%以上，得6分。</w:t>
      </w:r>
    </w:p>
    <w:p w14:paraId="43C3D6F2">
      <w:pPr>
        <w:spacing w:line="59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部门严格执行项目立项规范性、绩效目标合理性、绩效指标明确性的原则，严格遵守项目库管理办法，对项目的实施实行项目管理责任制，项目负责人根据通过的年初预算具体组织项目实施。严格执行财务、预算管理制度，对项目的实施、付款等环节进行管理和监督。2024年度部门整体支出绩效自评得分95分，绩效评价等级为优秀。</w:t>
      </w:r>
    </w:p>
    <w:p w14:paraId="232CA3A6">
      <w:pPr>
        <w:spacing w:line="592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部门项目依据充分，项目立项规范，绩效目标合理，绩效指标明确。项目资金到位及时，使用合规，符合国家财经法规和财务管理制度规定，符合部门预算批复的用途，资金利用率均达到100%，最大限度地发挥了资金效益。财务控制有效，会计核算规范。各项工作的顺利推进，满足了图书馆事业发展的需要，进一步提升了业务保障能力，社会大众对图书馆各项工作满意度高，项目的绩效目标基本实现。</w:t>
      </w:r>
    </w:p>
    <w:p w14:paraId="1D3670BB">
      <w:pPr>
        <w:numPr>
          <w:ilvl w:val="0"/>
          <w:numId w:val="2"/>
        </w:numPr>
        <w:spacing w:line="592" w:lineRule="exact"/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存在的问题和建议</w:t>
      </w:r>
    </w:p>
    <w:p w14:paraId="0585968F">
      <w:pPr>
        <w:spacing w:line="592" w:lineRule="exact"/>
        <w:ind w:firstLine="600" w:firstLineChars="200"/>
        <w:rPr>
          <w:rFonts w:hint="eastAsia" w:ascii="仿宋" w:hAnsi="仿宋" w:eastAsia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</w:rPr>
        <w:t>通过本次部门整体绩效评价，我们发现：目前丰南图书馆数字资源服务存在一定短板，资源量不足。因此，在今后的工作中，一方面需积极申请预算进行必要的数字资源采购，另一方面则是继续加大自建数字资源的工作力度。</w:t>
      </w:r>
    </w:p>
    <w:p w14:paraId="227A8936">
      <w:pPr>
        <w:numPr>
          <w:ilvl w:val="0"/>
          <w:numId w:val="2"/>
        </w:numPr>
        <w:spacing w:line="592" w:lineRule="exact"/>
        <w:ind w:firstLine="602" w:firstLineChars="200"/>
        <w:rPr>
          <w:rFonts w:ascii="宋体" w:hAnsi="宋体" w:eastAsia="黑体" w:cs="Times New Roman"/>
          <w:b/>
          <w:bCs/>
          <w:sz w:val="30"/>
          <w:szCs w:val="30"/>
        </w:rPr>
      </w:pPr>
      <w:r>
        <w:rPr>
          <w:rFonts w:hint="eastAsia" w:ascii="宋体" w:hAnsi="宋体" w:eastAsia="黑体" w:cs="Times New Roman"/>
          <w:b/>
          <w:bCs/>
          <w:sz w:val="30"/>
          <w:szCs w:val="30"/>
        </w:rPr>
        <w:t>其他需要说明的问题</w:t>
      </w:r>
    </w:p>
    <w:p w14:paraId="62CB5CD3">
      <w:pPr>
        <w:spacing w:line="592" w:lineRule="exact"/>
        <w:ind w:left="420" w:leftChars="200" w:firstLine="301" w:firstLineChars="100"/>
        <w:rPr>
          <w:rFonts w:ascii="宋体" w:hAnsi="宋体" w:eastAsia="黑体" w:cs="Times New Roman"/>
          <w:b/>
          <w:bCs/>
          <w:sz w:val="30"/>
          <w:szCs w:val="30"/>
        </w:rPr>
      </w:pPr>
      <w:r>
        <w:rPr>
          <w:rFonts w:hint="eastAsia" w:ascii="宋体" w:hAnsi="宋体" w:eastAsia="黑体" w:cs="Times New Roman"/>
          <w:b/>
          <w:bCs/>
          <w:sz w:val="30"/>
          <w:szCs w:val="30"/>
        </w:rPr>
        <w:t>无</w:t>
      </w:r>
    </w:p>
    <w:p w14:paraId="1FE7668E">
      <w:pPr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</w:p>
    <w:p w14:paraId="67D53CD7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C79785"/>
    <w:multiLevelType w:val="singleLevel"/>
    <w:tmpl w:val="B8C79785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5E745AA0"/>
    <w:multiLevelType w:val="singleLevel"/>
    <w:tmpl w:val="5E745AA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00815F2E"/>
    <w:rsid w:val="00220B51"/>
    <w:rsid w:val="002B62B1"/>
    <w:rsid w:val="003239BB"/>
    <w:rsid w:val="00815F2E"/>
    <w:rsid w:val="00885D5A"/>
    <w:rsid w:val="00CA5282"/>
    <w:rsid w:val="013941DC"/>
    <w:rsid w:val="022A489B"/>
    <w:rsid w:val="07A654B9"/>
    <w:rsid w:val="0CBE28CD"/>
    <w:rsid w:val="124B266C"/>
    <w:rsid w:val="1BE454A4"/>
    <w:rsid w:val="1F071EB1"/>
    <w:rsid w:val="1F930620"/>
    <w:rsid w:val="27AB7DF3"/>
    <w:rsid w:val="28164F13"/>
    <w:rsid w:val="28681C13"/>
    <w:rsid w:val="29DE67FF"/>
    <w:rsid w:val="2C426334"/>
    <w:rsid w:val="2D8A111D"/>
    <w:rsid w:val="32094E40"/>
    <w:rsid w:val="3D976F39"/>
    <w:rsid w:val="3EAF1681"/>
    <w:rsid w:val="3EFF1387"/>
    <w:rsid w:val="40692390"/>
    <w:rsid w:val="41496819"/>
    <w:rsid w:val="43BD0C0D"/>
    <w:rsid w:val="440A3726"/>
    <w:rsid w:val="484D69F4"/>
    <w:rsid w:val="49A51901"/>
    <w:rsid w:val="4F63768C"/>
    <w:rsid w:val="51606891"/>
    <w:rsid w:val="53310CD0"/>
    <w:rsid w:val="58077FD6"/>
    <w:rsid w:val="5BC762BA"/>
    <w:rsid w:val="604E2C1C"/>
    <w:rsid w:val="65E35736"/>
    <w:rsid w:val="6636380E"/>
    <w:rsid w:val="69492FDF"/>
    <w:rsid w:val="6C5B6E74"/>
    <w:rsid w:val="6EF10BC3"/>
    <w:rsid w:val="74D978B9"/>
    <w:rsid w:val="76AE175F"/>
    <w:rsid w:val="7A94376E"/>
    <w:rsid w:val="7CBE184F"/>
    <w:rsid w:val="7D250FF6"/>
    <w:rsid w:val="7DC836BB"/>
    <w:rsid w:val="7F37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4D3D20B-E9BE-4117-B12D-8A91ED60DE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1989</Words>
  <Characters>2065</Characters>
  <Lines>15</Lines>
  <Paragraphs>4</Paragraphs>
  <TotalTime>80</TotalTime>
  <ScaleCrop>false</ScaleCrop>
  <LinksUpToDate>false</LinksUpToDate>
  <CharactersWithSpaces>2085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2023-03-06T07:30:00Z</dcterms:created>
  <dc:creator>Administrator</dc:creator>
  <cp:lastModifiedBy>1</cp:lastModifiedBy>
  <dcterms:modified xsi:type="dcterms:W3CDTF">2025-03-12T02:03:17Z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eyJoZGlkIjoiNDMyODQ1MzY5MGM5MzUxMDNjYjExMDdiMTg3MjkxMDQifQ==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C27F98790D0A4A8799D2C3B8B08DEECE_12</vt:lpwstr>
  </property>
</Properties>
</file>