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480" w:lineRule="auto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</w:rPr>
      </w:pPr>
    </w:p>
    <w:p>
      <w:pPr>
        <w:widowControl w:val="0"/>
        <w:adjustRightInd/>
        <w:snapToGrid/>
        <w:spacing w:after="0" w:line="480" w:lineRule="auto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</w:rPr>
        <w:t>财政支出重点评价报告</w:t>
      </w:r>
    </w:p>
    <w:p>
      <w:pPr>
        <w:widowControl w:val="0"/>
        <w:adjustRightInd/>
        <w:snapToGrid/>
        <w:spacing w:after="0" w:line="480" w:lineRule="auto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</w:rPr>
        <w:t>（2019年度）</w:t>
      </w:r>
    </w:p>
    <w:p>
      <w:pPr>
        <w:widowControl w:val="0"/>
        <w:adjustRightInd/>
        <w:snapToGrid/>
        <w:spacing w:after="0" w:line="480" w:lineRule="auto"/>
        <w:jc w:val="both"/>
        <w:rPr>
          <w:rFonts w:hint="eastAsia" w:ascii="仿宋" w:hAnsi="仿宋" w:eastAsia="仿宋" w:cs="Times New Roman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480" w:lineRule="auto"/>
        <w:jc w:val="both"/>
        <w:rPr>
          <w:rFonts w:hint="eastAsia" w:ascii="宋体" w:hAnsi="宋体" w:eastAsia="楷体_GB2312" w:cs="宋体"/>
          <w:color w:val="333333"/>
          <w:w w:val="90"/>
          <w:sz w:val="30"/>
          <w:szCs w:val="30"/>
          <w:u w:val="single"/>
        </w:rPr>
      </w:pPr>
      <w:r>
        <w:rPr>
          <w:rFonts w:hint="eastAsia" w:ascii="仿宋" w:hAnsi="仿宋" w:eastAsia="仿宋" w:cs="Times New Roman"/>
          <w:kern w:val="2"/>
          <w:sz w:val="32"/>
          <w:szCs w:val="24"/>
        </w:rPr>
        <w:t>项目（专项资金）名称</w:t>
      </w:r>
      <w:r>
        <w:rPr>
          <w:rFonts w:hint="eastAsia" w:ascii="仿宋" w:hAnsi="Times New Roman" w:eastAsia="仿宋" w:cs="Times New Roman"/>
          <w:kern w:val="2"/>
          <w:sz w:val="32"/>
          <w:szCs w:val="24"/>
          <w:u w:val="single"/>
        </w:rPr>
        <w:t>  </w:t>
      </w:r>
      <w:r>
        <w:rPr>
          <w:rFonts w:hint="eastAsia" w:ascii="宋体" w:hAnsi="宋体" w:eastAsia="楷体_GB2312" w:cs="宋体"/>
          <w:color w:val="333333"/>
          <w:w w:val="90"/>
          <w:sz w:val="32"/>
          <w:szCs w:val="30"/>
          <w:u w:val="single"/>
        </w:rPr>
        <w:t>读书（读者）活动及文化活动年度经费</w:t>
      </w:r>
      <w:r>
        <w:rPr>
          <w:rFonts w:hint="eastAsia" w:ascii="宋体" w:hAnsi="宋体" w:eastAsia="楷体_GB2312" w:cs="宋体"/>
          <w:color w:val="333333"/>
          <w:w w:val="90"/>
          <w:sz w:val="30"/>
          <w:szCs w:val="30"/>
          <w:u w:val="single"/>
        </w:rPr>
        <w:t xml:space="preserve"> </w:t>
      </w:r>
    </w:p>
    <w:p>
      <w:pPr>
        <w:widowControl w:val="0"/>
        <w:adjustRightInd/>
        <w:snapToGrid/>
        <w:spacing w:after="0" w:line="480" w:lineRule="auto"/>
        <w:jc w:val="both"/>
        <w:rPr>
          <w:rFonts w:hint="eastAsia" w:ascii="仿宋" w:hAnsi="仿宋" w:eastAsia="仿宋" w:cs="Times New Roman"/>
          <w:kern w:val="2"/>
          <w:sz w:val="32"/>
          <w:szCs w:val="24"/>
          <w:u w:val="single"/>
        </w:rPr>
      </w:pPr>
    </w:p>
    <w:p>
      <w:pPr>
        <w:widowControl w:val="0"/>
        <w:adjustRightInd/>
        <w:snapToGrid/>
        <w:spacing w:after="0" w:line="480" w:lineRule="auto"/>
        <w:jc w:val="both"/>
        <w:rPr>
          <w:rFonts w:hint="eastAsia" w:ascii="仿宋" w:hAnsi="仿宋" w:eastAsia="仿宋" w:cs="Times New Roman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kern w:val="2"/>
          <w:sz w:val="32"/>
          <w:szCs w:val="24"/>
        </w:rPr>
        <w:t xml:space="preserve">项目实施单位 </w:t>
      </w:r>
      <w:r>
        <w:rPr>
          <w:rFonts w:hint="eastAsia" w:ascii="仿宋" w:hAnsi="Times New Roman" w:eastAsia="仿宋" w:cs="Times New Roman"/>
          <w:kern w:val="2"/>
          <w:sz w:val="32"/>
          <w:szCs w:val="24"/>
          <w:u w:val="single"/>
        </w:rPr>
        <w:t>     </w:t>
      </w:r>
      <w:r>
        <w:rPr>
          <w:rFonts w:hint="eastAsia" w:ascii="宋体" w:hAnsi="宋体" w:eastAsia="楷体_GB2312" w:cs="宋体"/>
          <w:color w:val="333333"/>
          <w:sz w:val="32"/>
          <w:szCs w:val="32"/>
          <w:u w:val="single"/>
        </w:rPr>
        <w:t>唐山市丰南区图书馆     </w:t>
      </w:r>
      <w:r>
        <w:rPr>
          <w:rFonts w:hint="eastAsia" w:ascii="仿宋" w:hAnsi="仿宋" w:eastAsia="仿宋" w:cs="Times New Roman"/>
          <w:kern w:val="2"/>
          <w:sz w:val="32"/>
          <w:szCs w:val="24"/>
        </w:rPr>
        <w:t>（公章）</w:t>
      </w:r>
    </w:p>
    <w:p>
      <w:pPr>
        <w:widowControl w:val="0"/>
        <w:adjustRightInd/>
        <w:snapToGrid/>
        <w:spacing w:after="0" w:line="480" w:lineRule="auto"/>
        <w:jc w:val="both"/>
        <w:rPr>
          <w:rFonts w:hint="eastAsia" w:ascii="仿宋" w:hAnsi="仿宋" w:eastAsia="仿宋" w:cs="Times New Roman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480" w:lineRule="auto"/>
        <w:jc w:val="both"/>
        <w:rPr>
          <w:rFonts w:hint="eastAsia" w:ascii="仿宋" w:hAnsi="仿宋" w:eastAsia="仿宋" w:cs="Times New Roman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kern w:val="2"/>
          <w:sz w:val="32"/>
          <w:szCs w:val="24"/>
        </w:rPr>
        <w:t>项目主管部门</w:t>
      </w:r>
      <w:r>
        <w:rPr>
          <w:rFonts w:hint="eastAsia" w:ascii="仿宋" w:hAnsi="Times New Roman" w:eastAsia="仿宋" w:cs="Times New Roman"/>
          <w:kern w:val="2"/>
          <w:sz w:val="32"/>
          <w:szCs w:val="24"/>
        </w:rPr>
        <w:t> </w:t>
      </w:r>
      <w:r>
        <w:rPr>
          <w:rFonts w:hint="eastAsia" w:ascii="仿宋" w:hAnsi="Times New Roman" w:eastAsia="仿宋" w:cs="Times New Roman"/>
          <w:kern w:val="2"/>
          <w:sz w:val="32"/>
          <w:szCs w:val="24"/>
          <w:u w:val="single"/>
        </w:rPr>
        <w:t>   </w:t>
      </w:r>
      <w:r>
        <w:rPr>
          <w:rFonts w:hint="eastAsia" w:ascii="宋体" w:hAnsi="宋体" w:eastAsia="楷体_GB2312" w:cs="宋体"/>
          <w:color w:val="333333"/>
          <w:sz w:val="32"/>
          <w:szCs w:val="32"/>
          <w:u w:val="single"/>
        </w:rPr>
        <w:t>唐山市丰南区文化广电和旅游局</w:t>
      </w:r>
      <w:r>
        <w:rPr>
          <w:rFonts w:hint="eastAsia" w:ascii="仿宋" w:hAnsi="Times New Roman" w:eastAsia="仿宋" w:cs="Times New Roman"/>
          <w:kern w:val="2"/>
          <w:sz w:val="32"/>
          <w:szCs w:val="24"/>
          <w:u w:val="single"/>
        </w:rPr>
        <w:t>  </w:t>
      </w:r>
      <w:r>
        <w:rPr>
          <w:rFonts w:hint="eastAsia" w:ascii="仿宋" w:hAnsi="仿宋" w:eastAsia="仿宋" w:cs="Times New Roman"/>
          <w:kern w:val="2"/>
          <w:sz w:val="32"/>
          <w:szCs w:val="24"/>
        </w:rPr>
        <w:t>（公章</w:t>
      </w:r>
      <w:r>
        <w:rPr>
          <w:rFonts w:ascii="仿宋" w:hAnsi="仿宋" w:eastAsia="仿宋" w:cs="Times New Roman"/>
          <w:kern w:val="2"/>
          <w:sz w:val="32"/>
          <w:szCs w:val="24"/>
        </w:rPr>
        <w:t>）</w:t>
      </w:r>
    </w:p>
    <w:p>
      <w:pPr>
        <w:widowControl w:val="0"/>
        <w:adjustRightInd/>
        <w:snapToGrid/>
        <w:spacing w:after="0" w:line="480" w:lineRule="auto"/>
        <w:jc w:val="both"/>
        <w:rPr>
          <w:rFonts w:hint="eastAsia" w:ascii="仿宋" w:hAnsi="仿宋" w:eastAsia="仿宋" w:cs="Times New Roman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480" w:lineRule="auto"/>
        <w:jc w:val="both"/>
        <w:rPr>
          <w:rFonts w:hint="eastAsia" w:ascii="仿宋" w:hAnsi="仿宋" w:eastAsia="仿宋" w:cs="Times New Roman"/>
          <w:kern w:val="2"/>
          <w:sz w:val="32"/>
          <w:szCs w:val="24"/>
          <w:u w:val="single"/>
        </w:rPr>
      </w:pPr>
      <w:r>
        <w:rPr>
          <w:rFonts w:hint="eastAsia" w:ascii="仿宋" w:hAnsi="仿宋" w:eastAsia="仿宋" w:cs="Times New Roman"/>
          <w:kern w:val="2"/>
          <w:sz w:val="32"/>
          <w:szCs w:val="24"/>
        </w:rPr>
        <w:t>部门（单位）负责人签字：</w:t>
      </w:r>
      <w:r>
        <w:rPr>
          <w:rFonts w:hint="eastAsia" w:ascii="仿宋" w:hAnsi="仿宋" w:eastAsia="仿宋" w:cs="Times New Roman"/>
          <w:kern w:val="2"/>
          <w:sz w:val="32"/>
          <w:szCs w:val="24"/>
          <w:u w:val="single"/>
        </w:rPr>
        <w:t xml:space="preserve">  </w:t>
      </w:r>
      <w:r>
        <w:rPr>
          <w:rFonts w:hint="eastAsia" w:ascii="宋体" w:hAnsi="宋体" w:eastAsia="楷体_GB2312" w:cs="宋体"/>
          <w:color w:val="333333"/>
          <w:sz w:val="32"/>
          <w:szCs w:val="32"/>
          <w:u w:val="single"/>
        </w:rPr>
        <w:t> </w:t>
      </w:r>
      <w:r>
        <w:rPr>
          <w:rFonts w:hint="eastAsia" w:ascii="宋体" w:hAnsi="宋体" w:eastAsia="楷体_GB2312" w:cs="宋体"/>
          <w:color w:val="333333"/>
          <w:sz w:val="32"/>
          <w:szCs w:val="32"/>
          <w:u w:val="single"/>
          <w:lang w:val="en-US" w:eastAsia="zh-CN"/>
        </w:rPr>
        <w:t>刘志大</w:t>
      </w:r>
      <w:bookmarkStart w:id="0" w:name="_GoBack"/>
      <w:bookmarkEnd w:id="0"/>
      <w:r>
        <w:rPr>
          <w:rFonts w:hint="eastAsia" w:ascii="宋体" w:hAnsi="宋体" w:eastAsia="楷体_GB2312" w:cs="宋体"/>
          <w:color w:val="333333"/>
          <w:sz w:val="32"/>
          <w:szCs w:val="32"/>
          <w:u w:val="single"/>
        </w:rPr>
        <w:t>     </w:t>
      </w:r>
      <w:r>
        <w:rPr>
          <w:rFonts w:hint="eastAsia" w:ascii="仿宋" w:hAnsi="仿宋" w:eastAsia="仿宋" w:cs="Times New Roman"/>
          <w:kern w:val="2"/>
          <w:sz w:val="32"/>
          <w:szCs w:val="24"/>
          <w:u w:val="single"/>
        </w:rPr>
        <w:t xml:space="preserve">               </w:t>
      </w:r>
    </w:p>
    <w:p>
      <w:pPr>
        <w:widowControl w:val="0"/>
        <w:adjustRightInd/>
        <w:snapToGrid/>
        <w:spacing w:after="0" w:line="480" w:lineRule="auto"/>
        <w:jc w:val="both"/>
        <w:rPr>
          <w:rFonts w:ascii="Times New Roman" w:hAnsi="Times New Roman" w:eastAsia="宋体" w:cs="Times New Roman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480" w:lineRule="auto"/>
        <w:jc w:val="both"/>
        <w:rPr>
          <w:rFonts w:ascii="Times New Roman" w:hAnsi="Times New Roman" w:eastAsia="宋体" w:cs="Times New Roman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480" w:lineRule="auto"/>
        <w:jc w:val="both"/>
        <w:rPr>
          <w:rFonts w:ascii="Times New Roman" w:hAnsi="Times New Roman" w:eastAsia="宋体" w:cs="Times New Roman"/>
          <w:kern w:val="2"/>
          <w:sz w:val="32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32"/>
          <w:szCs w:val="24"/>
        </w:rPr>
        <w:t xml:space="preserve"> </w:t>
      </w:r>
    </w:p>
    <w:p>
      <w:pPr>
        <w:widowControl w:val="0"/>
        <w:adjustRightInd/>
        <w:snapToGrid/>
        <w:spacing w:after="0" w:line="480" w:lineRule="auto"/>
        <w:ind w:firstLine="4800" w:firstLineChars="1500"/>
        <w:rPr>
          <w:rFonts w:hint="eastAsia" w:ascii="仿宋" w:hAnsi="仿宋" w:eastAsia="仿宋" w:cs="Times New Roman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kern w:val="2"/>
          <w:sz w:val="32"/>
          <w:szCs w:val="24"/>
        </w:rPr>
        <w:t>2020 年</w:t>
      </w:r>
      <w:r>
        <w:rPr>
          <w:rFonts w:hint="eastAsia" w:ascii="仿宋" w:hAnsi="Times New Roman" w:eastAsia="仿宋" w:cs="Times New Roman"/>
          <w:kern w:val="2"/>
          <w:sz w:val="32"/>
          <w:szCs w:val="24"/>
        </w:rPr>
        <w:t>   6</w:t>
      </w:r>
      <w:r>
        <w:rPr>
          <w:rFonts w:hint="eastAsia" w:ascii="仿宋" w:hAnsi="仿宋" w:eastAsia="仿宋" w:cs="Times New Roman"/>
          <w:kern w:val="2"/>
          <w:sz w:val="32"/>
          <w:szCs w:val="24"/>
        </w:rPr>
        <w:t>月</w:t>
      </w:r>
      <w:r>
        <w:rPr>
          <w:rFonts w:hint="eastAsia" w:ascii="仿宋" w:hAnsi="Times New Roman" w:eastAsia="仿宋" w:cs="Times New Roman"/>
          <w:kern w:val="2"/>
          <w:sz w:val="32"/>
          <w:szCs w:val="24"/>
        </w:rPr>
        <w:t> 18 </w:t>
      </w:r>
      <w:r>
        <w:rPr>
          <w:rFonts w:hint="eastAsia" w:ascii="仿宋" w:hAnsi="仿宋" w:eastAsia="仿宋" w:cs="Times New Roman"/>
          <w:kern w:val="2"/>
          <w:sz w:val="32"/>
          <w:szCs w:val="24"/>
        </w:rPr>
        <w:t>日</w:t>
      </w:r>
    </w:p>
    <w:p>
      <w:pPr>
        <w:widowControl w:val="0"/>
        <w:adjustRightInd/>
        <w:snapToGrid/>
        <w:spacing w:after="0" w:line="480" w:lineRule="auto"/>
        <w:jc w:val="both"/>
        <w:rPr>
          <w:rFonts w:ascii="Times New Roman" w:hAnsi="Times New Roman" w:eastAsia="宋体" w:cs="Times New Roman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480" w:lineRule="auto"/>
        <w:jc w:val="both"/>
        <w:rPr>
          <w:rFonts w:ascii="Times New Roman" w:hAnsi="Times New Roman" w:eastAsia="宋体" w:cs="Times New Roman"/>
          <w:kern w:val="2"/>
          <w:sz w:val="32"/>
          <w:szCs w:val="24"/>
        </w:rPr>
      </w:pPr>
    </w:p>
    <w:p>
      <w:pPr>
        <w:spacing w:after="0" w:line="592" w:lineRule="exact"/>
        <w:ind w:firstLine="600" w:firstLineChars="200"/>
        <w:jc w:val="both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一、评价工作组织开展情况</w:t>
      </w:r>
    </w:p>
    <w:p>
      <w:pPr>
        <w:spacing w:after="0" w:line="592" w:lineRule="exact"/>
        <w:ind w:firstLine="585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上级财政部门关于开展2019年度重点预算项目评价的要求，丰南图书馆设立了以馆长刘志大为组长，项目实施负责人、财务负责人、会计为成员的评价小组，选取了和图书馆服务效能体现关系密切读者活动为评价对象。按要求制订了评价工作方案，根据年初制定的项目预算绩效目标以及项目具体实施、产出指标、效果指标等情况，对该项目进行了整体评价。</w:t>
      </w:r>
    </w:p>
    <w:p>
      <w:pPr>
        <w:spacing w:after="0" w:line="592" w:lineRule="exact"/>
        <w:ind w:firstLine="585"/>
        <w:jc w:val="both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二、项目基本概况</w:t>
      </w:r>
    </w:p>
    <w:p>
      <w:pPr>
        <w:spacing w:after="0" w:line="592" w:lineRule="exact"/>
        <w:ind w:firstLine="585"/>
        <w:jc w:val="both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1、项目背景</w:t>
      </w:r>
    </w:p>
    <w:p>
      <w:pPr>
        <w:spacing w:after="0" w:line="592" w:lineRule="exact"/>
        <w:ind w:firstLine="585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读者活动的积极有序开展是公共图书馆深入服务读者、提升服务效能的重要手段，在公共图书馆评估定级、省级国家级公共文化服务示范区创建中均为重要指标。其主要内容就是依托图书馆借阅服务，免费开展讲座、展览、阅读推广活动等丰富多彩的读书活动，让群众享受到多形式、高质量的公益文化服务，提高群众文化体验，提升我区文化软实力。2019年度丰南图书馆安排读书活动区级财政预算资金7.4万元。</w:t>
      </w:r>
    </w:p>
    <w:p>
      <w:pPr>
        <w:spacing w:after="0" w:line="592" w:lineRule="exact"/>
        <w:ind w:firstLine="585"/>
        <w:jc w:val="both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2、项目绩效目标</w:t>
      </w:r>
    </w:p>
    <w:p>
      <w:pPr>
        <w:spacing w:after="0" w:line="592" w:lineRule="exact"/>
        <w:ind w:firstLine="585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充分利用图书馆资源、场地、人员优势，全力开展各类型阅读推广活动，以丰富的活动吸引更多人走进图书馆、走进阅读。</w:t>
      </w:r>
    </w:p>
    <w:p>
      <w:pPr>
        <w:spacing w:after="0" w:line="592" w:lineRule="exact"/>
        <w:ind w:firstLine="585"/>
        <w:jc w:val="both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三、绩效评价情况</w:t>
      </w:r>
    </w:p>
    <w:p>
      <w:pPr>
        <w:spacing w:after="0" w:line="592" w:lineRule="exact"/>
        <w:ind w:firstLine="585"/>
        <w:jc w:val="both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1、项目执行情况</w:t>
      </w:r>
    </w:p>
    <w:p>
      <w:pPr>
        <w:spacing w:after="0" w:line="592" w:lineRule="exact"/>
        <w:ind w:firstLine="585"/>
        <w:jc w:val="both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组织少儿读书活动260余场，成人读书活动23场，讲座23场，展览20场，下基层读书活动100余场。</w:t>
      </w:r>
    </w:p>
    <w:p>
      <w:pPr>
        <w:spacing w:after="0" w:line="592" w:lineRule="exact"/>
        <w:ind w:firstLine="585"/>
        <w:jc w:val="both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2、评价意见</w:t>
      </w:r>
    </w:p>
    <w:p>
      <w:pPr>
        <w:spacing w:after="0" w:line="592" w:lineRule="exact"/>
        <w:ind w:firstLine="585"/>
        <w:jc w:val="both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（1）产出指标：年度开展公益讲座23场、各类展览20场、各类主题读书活动280余场，均优于年初设定预期指标值；</w:t>
      </w:r>
    </w:p>
    <w:p>
      <w:pPr>
        <w:spacing w:after="0" w:line="592" w:lineRule="exact"/>
        <w:ind w:firstLine="585"/>
        <w:jc w:val="both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（2）效益指标：年度各类活动参与人数4万余人次、各级各类媒体报道52次，均优于年初设定预期指标值；</w:t>
      </w:r>
    </w:p>
    <w:p>
      <w:pPr>
        <w:spacing w:after="0" w:line="592" w:lineRule="exact"/>
        <w:ind w:firstLine="585"/>
        <w:jc w:val="both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（3）满意度指标：服务对象满意度95%，高于年初设定预期指标值；</w:t>
      </w:r>
    </w:p>
    <w:p>
      <w:pPr>
        <w:spacing w:after="0" w:line="592" w:lineRule="exact"/>
        <w:ind w:firstLine="585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（4）预算执行率达到100%</w:t>
      </w:r>
    </w:p>
    <w:p>
      <w:pPr>
        <w:spacing w:after="0" w:line="592" w:lineRule="exact"/>
        <w:ind w:firstLine="585"/>
        <w:jc w:val="both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3、项目综合评价等级和评价结论</w:t>
      </w:r>
    </w:p>
    <w:p>
      <w:pPr>
        <w:spacing w:after="0" w:line="592" w:lineRule="exact"/>
        <w:ind w:firstLine="585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经评价小组综合评价，本项目评价得分为100分，评价等级为优；2019年度该项目的实施，有效推动了丰南图书馆的持续健康发展，项目严格执行了预算管理政策，各项指标较好完成了年初目标设定，读者满意率较高，达到了预期效果。</w:t>
      </w:r>
    </w:p>
    <w:p>
      <w:pPr>
        <w:spacing w:after="0" w:line="592" w:lineRule="exact"/>
        <w:ind w:firstLine="585"/>
        <w:jc w:val="both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四、存在问题及改进建议</w:t>
      </w:r>
    </w:p>
    <w:p>
      <w:pPr>
        <w:spacing w:after="0" w:line="592" w:lineRule="exact"/>
        <w:ind w:firstLine="585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1、存在问题：</w:t>
      </w:r>
      <w:r>
        <w:rPr>
          <w:rFonts w:hint="eastAsia" w:ascii="仿宋" w:hAnsi="仿宋" w:eastAsia="仿宋"/>
          <w:sz w:val="30"/>
          <w:szCs w:val="30"/>
        </w:rPr>
        <w:t>读者活动受众面需进一步加大。</w:t>
      </w:r>
    </w:p>
    <w:p>
      <w:pPr>
        <w:spacing w:after="0" w:line="592" w:lineRule="exact"/>
        <w:ind w:firstLine="585"/>
        <w:jc w:val="both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2、原因及整改措施：</w:t>
      </w:r>
      <w:r>
        <w:rPr>
          <w:rFonts w:hint="eastAsia" w:ascii="仿宋" w:hAnsi="仿宋" w:eastAsia="仿宋"/>
          <w:sz w:val="30"/>
          <w:szCs w:val="30"/>
        </w:rPr>
        <w:t>传统线下活动组织较多，创新拓展不够。今后应不断强化活动组织的创新思维，充分利用线上线下相结合的形式，扩大活动受众面，并将活动努力向基层推进。</w:t>
      </w:r>
    </w:p>
    <w:p>
      <w:pPr>
        <w:spacing w:after="0" w:line="592" w:lineRule="exact"/>
        <w:ind w:firstLine="585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3、建议：</w:t>
      </w:r>
      <w:r>
        <w:rPr>
          <w:rFonts w:hint="eastAsia" w:ascii="仿宋" w:hAnsi="仿宋" w:eastAsia="仿宋"/>
          <w:sz w:val="30"/>
          <w:szCs w:val="30"/>
        </w:rPr>
        <w:t>因图书馆大部分读者活动为小型活动，经费开支主要为发放奖品，因此应将活动奖品经费按需求列支，不受比例限制。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287BC9"/>
    <w:rsid w:val="00323B43"/>
    <w:rsid w:val="003D37D8"/>
    <w:rsid w:val="00426133"/>
    <w:rsid w:val="004358AB"/>
    <w:rsid w:val="004606AE"/>
    <w:rsid w:val="004E1238"/>
    <w:rsid w:val="005645B4"/>
    <w:rsid w:val="00705832"/>
    <w:rsid w:val="00710A2E"/>
    <w:rsid w:val="008331DF"/>
    <w:rsid w:val="008B7726"/>
    <w:rsid w:val="008D6700"/>
    <w:rsid w:val="00A72025"/>
    <w:rsid w:val="00CF69DD"/>
    <w:rsid w:val="00D31D50"/>
    <w:rsid w:val="00EE18BD"/>
    <w:rsid w:val="00F13DE0"/>
    <w:rsid w:val="00F601C6"/>
    <w:rsid w:val="6547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171</Words>
  <Characters>977</Characters>
  <Lines>8</Lines>
  <Paragraphs>2</Paragraphs>
  <TotalTime>117</TotalTime>
  <ScaleCrop>false</ScaleCrop>
  <LinksUpToDate>false</LinksUpToDate>
  <CharactersWithSpaces>1146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1</dc:creator>
  <cp:lastModifiedBy>1</cp:lastModifiedBy>
  <dcterms:modified xsi:type="dcterms:W3CDTF">2021-01-08T07:53:35Z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