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EC101">
      <w:pPr>
        <w:jc w:val="center"/>
        <w:outlineLvl w:val="0"/>
      </w:pPr>
      <w:r>
        <w:rPr>
          <w:rFonts w:hint="eastAsia" w:ascii="黑体" w:hAnsi="黑体" w:eastAsia="黑体" w:cs="黑体"/>
          <w:b/>
          <w:color w:val="000000"/>
          <w:sz w:val="44"/>
          <w:lang w:val="en-US" w:eastAsia="zh-CN"/>
        </w:rPr>
        <w:t>2018</w:t>
      </w:r>
      <w:r>
        <w:rPr>
          <w:rFonts w:ascii="黑体" w:hAnsi="黑体" w:eastAsia="黑体" w:cs="黑体"/>
          <w:b/>
          <w:color w:val="000000"/>
          <w:sz w:val="44"/>
        </w:rPr>
        <w:t>年部门预算信息公开目录</w:t>
      </w:r>
    </w:p>
    <w:p w14:paraId="316314A5">
      <w:pPr>
        <w:jc w:val="center"/>
      </w:pPr>
      <w:r>
        <w:rPr>
          <w:rFonts w:ascii="黑体" w:hAnsi="黑体" w:eastAsia="黑体" w:cs="黑体"/>
          <w:b/>
          <w:color w:val="000000"/>
          <w:sz w:val="30"/>
        </w:rPr>
        <w:t xml:space="preserve"> </w:t>
      </w:r>
    </w:p>
    <w:p w14:paraId="58D7FA5E">
      <w:r>
        <w:rPr>
          <w:rFonts w:ascii="方正楷体_GBK" w:hAnsi="方正楷体_GBK" w:eastAsia="方正楷体_GBK" w:cs="方正楷体_GBK"/>
          <w:b/>
          <w:color w:val="000000"/>
          <w:sz w:val="28"/>
        </w:rPr>
        <w:t>部门预算公开表</w:t>
      </w:r>
    </w:p>
    <w:p w14:paraId="1297B3F0">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2D809F30">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14:paraId="3540977B">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4F3F6767">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471228DC">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1EA4D07B">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37CFDA98">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208E3E09">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2E1829F6">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792BE0D7">
      <w:r>
        <w:fldChar w:fldCharType="end"/>
      </w:r>
    </w:p>
    <w:p w14:paraId="3F7C85D8">
      <w:r>
        <w:rPr>
          <w:rFonts w:ascii="方正楷体_GBK" w:hAnsi="方正楷体_GBK" w:eastAsia="方正楷体_GBK" w:cs="方正楷体_GBK"/>
          <w:b/>
          <w:color w:val="000000"/>
          <w:sz w:val="28"/>
        </w:rPr>
        <w:t>部门预算信息公开情况说明</w:t>
      </w:r>
    </w:p>
    <w:p w14:paraId="5DDC370D">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04999A2C">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7906DFEE">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7D9A7680">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4646E935">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14:paraId="3843551E">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3F3340E4">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1F4EADCC">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7076FD0E">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5F3479DD">
      <w:pPr>
        <w:sectPr>
          <w:pgSz w:w="16840" w:h="11900" w:orient="landscape"/>
          <w:pgMar w:top="1587" w:right="1134" w:bottom="1361" w:left="1134" w:header="720" w:footer="720" w:gutter="0"/>
          <w:pgNumType w:start="1"/>
          <w:cols w:space="720" w:num="1"/>
        </w:sectPr>
      </w:pPr>
      <w:r>
        <w:fldChar w:fldCharType="end"/>
      </w:r>
    </w:p>
    <w:p w14:paraId="56169E70">
      <w:pPr>
        <w:jc w:val="center"/>
      </w:pPr>
      <w:bookmarkStart w:id="10" w:name="_GoBack"/>
      <w:r>
        <w:rPr>
          <w:rFonts w:ascii="方正小标宋_GBK" w:hAnsi="方正小标宋_GBK" w:eastAsia="方正小标宋_GBK" w:cs="方正小标宋_GBK"/>
          <w:color w:val="000000"/>
          <w:sz w:val="44"/>
        </w:rPr>
        <w:t>唐山市</w:t>
      </w:r>
      <w:r>
        <w:rPr>
          <w:rFonts w:hint="eastAsia" w:ascii="方正小标宋_GBK" w:hAnsi="方正小标宋_GBK" w:eastAsia="方正小标宋_GBK" w:cs="方正小标宋_GBK"/>
          <w:color w:val="000000"/>
          <w:sz w:val="44"/>
          <w:lang w:val="en-US" w:eastAsia="zh-CN"/>
        </w:rPr>
        <w:t>规划局丰南分局2018</w:t>
      </w:r>
      <w:r>
        <w:rPr>
          <w:rFonts w:ascii="方正小标宋_GBK" w:hAnsi="方正小标宋_GBK" w:eastAsia="方正小标宋_GBK" w:cs="方正小标宋_GBK"/>
          <w:color w:val="000000"/>
          <w:sz w:val="44"/>
        </w:rPr>
        <w:t>年部门预算信息公开情况说明</w:t>
      </w:r>
    </w:p>
    <w:bookmarkEnd w:id="10"/>
    <w:p w14:paraId="36BF48F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val="en-US" w:eastAsia="zh-CN"/>
        </w:rPr>
        <w:t>规划局丰南分局</w:t>
      </w:r>
      <w:r>
        <w:rPr>
          <w:rFonts w:eastAsia="方正仿宋_GBK"/>
          <w:color w:val="000000"/>
          <w:sz w:val="28"/>
        </w:rPr>
        <w:t>年部门预算公开如下：</w:t>
      </w:r>
    </w:p>
    <w:p w14:paraId="0515FC5C">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55C5C399">
      <w:pPr>
        <w:ind w:firstLine="640"/>
      </w:pPr>
      <w:r>
        <w:rPr>
          <w:rFonts w:ascii="方正楷体_GBK" w:hAnsi="方正楷体_GBK" w:eastAsia="方正楷体_GBK" w:cs="方正楷体_GBK"/>
          <w:b/>
          <w:color w:val="000000"/>
          <w:sz w:val="32"/>
        </w:rPr>
        <w:t>部门职责：</w:t>
      </w:r>
    </w:p>
    <w:p w14:paraId="2AD1E4CB">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350338AF">
      <w:pPr>
        <w:numPr>
          <w:ilvl w:val="0"/>
          <w:numId w:val="1"/>
        </w:numPr>
        <w:ind w:firstLine="640"/>
        <w:rPr>
          <w:rFonts w:hint="eastAsia" w:ascii="方正书宋_GBK" w:eastAsia="方正书宋_GBK"/>
        </w:rPr>
      </w:pPr>
      <w:r>
        <w:rPr>
          <w:rFonts w:hint="eastAsia" w:ascii="方正书宋_GBK" w:eastAsia="方正书宋_GBK"/>
          <w:b/>
        </w:rPr>
        <w:t>城乡规划</w:t>
      </w:r>
      <w:r>
        <w:rPr>
          <w:rFonts w:hint="eastAsia" w:ascii="方正书宋_GBK" w:eastAsia="方正书宋_GBK"/>
          <w:b/>
          <w:lang w:eastAsia="zh-CN"/>
        </w:rPr>
        <w:t>：</w:t>
      </w:r>
      <w:r>
        <w:rPr>
          <w:rFonts w:hint="eastAsia" w:ascii="方正书宋_GBK" w:eastAsia="方正书宋_GBK"/>
        </w:rPr>
        <w:t>制定城乡规划技术管理标准和导则。组织城镇体系规划等层面规划编制，组织参与层面规划编制，督导各地依法编制总体规划、专项规划、控制性详细规划、历史文化名城和街区保护规划等。对由政府审批的规划进行监督实施。</w:t>
      </w:r>
    </w:p>
    <w:p w14:paraId="5AA64D7D">
      <w:pPr>
        <w:numPr>
          <w:ilvl w:val="0"/>
          <w:numId w:val="1"/>
        </w:numPr>
        <w:ind w:firstLine="640"/>
        <w:rPr>
          <w:rFonts w:hint="eastAsia" w:ascii="方正书宋_GBK" w:eastAsia="方正书宋_GBK"/>
          <w:lang w:val="en-US" w:eastAsia="zh-CN"/>
        </w:rPr>
      </w:pPr>
      <w:r>
        <w:rPr>
          <w:rFonts w:hint="eastAsia" w:ascii="方正书宋_GBK" w:eastAsia="方正书宋_GBK"/>
          <w:b/>
        </w:rPr>
        <w:t>城乡规划制订、实施与监督</w:t>
      </w:r>
      <w:r>
        <w:rPr>
          <w:rFonts w:hint="eastAsia" w:ascii="方正书宋_GBK" w:eastAsia="方正书宋_GBK"/>
          <w:b/>
          <w:lang w:eastAsia="zh-CN"/>
        </w:rPr>
        <w:t>：</w:t>
      </w:r>
      <w:r>
        <w:rPr>
          <w:rFonts w:hint="eastAsia" w:ascii="方正书宋_GBK" w:eastAsia="方正书宋_GBK"/>
        </w:rPr>
        <w:t>拟定全区城乡规划管理政策，制定城乡规划技术管理标准和导则；组织编制区域总体规划、专项规划、控制性详细规划。加强规划监督管理。开展地形图测绘工作。</w:t>
      </w:r>
    </w:p>
    <w:p w14:paraId="131B3A97">
      <w:pPr>
        <w:numPr>
          <w:ilvl w:val="0"/>
          <w:numId w:val="1"/>
        </w:numPr>
        <w:ind w:firstLine="640"/>
        <w:rPr>
          <w:rFonts w:hint="eastAsia" w:ascii="方正书宋_GBK" w:eastAsia="方正书宋_GBK"/>
          <w:lang w:val="en-US" w:eastAsia="zh-CN"/>
        </w:rPr>
      </w:pPr>
      <w:r>
        <w:rPr>
          <w:rFonts w:hint="eastAsia" w:ascii="方正书宋_GBK" w:eastAsia="方正书宋_GBK"/>
          <w:b/>
        </w:rPr>
        <w:t>城乡规划方案审查</w:t>
      </w:r>
      <w:r>
        <w:rPr>
          <w:rFonts w:hint="eastAsia" w:ascii="方正书宋_GBK" w:eastAsia="方正书宋_GBK"/>
          <w:b/>
          <w:lang w:val="en-US" w:eastAsia="zh-CN"/>
        </w:rPr>
        <w:t xml:space="preserve">: </w:t>
      </w:r>
      <w:r>
        <w:rPr>
          <w:rFonts w:hint="eastAsia" w:ascii="方正书宋_GBK" w:eastAsia="方正书宋_GBK"/>
        </w:rPr>
        <w:t>经设计方案审查和市政管线对接委员会审查后，对丰南区各项规划进行审查；对各乡镇、各工业区总体规划、控制性详细规划进行审议；装订各项规划文本、聘请相关规划专家，开展各项规划工作及各项业务培训工作</w:t>
      </w:r>
      <w:r>
        <w:rPr>
          <w:rFonts w:hint="eastAsia" w:ascii="方正书宋_GBK" w:eastAsia="方正书宋_GBK"/>
          <w:lang w:val="en-US" w:eastAsia="zh-CN"/>
        </w:rPr>
        <w:t>.</w:t>
      </w:r>
    </w:p>
    <w:p w14:paraId="7FE0F413">
      <w:pPr>
        <w:numPr>
          <w:ilvl w:val="0"/>
          <w:numId w:val="1"/>
        </w:numPr>
        <w:ind w:firstLine="640"/>
        <w:rPr>
          <w:rFonts w:hint="eastAsia" w:ascii="方正书宋_GBK" w:eastAsia="方正书宋_GBK"/>
          <w:lang w:val="en-US" w:eastAsia="zh-CN"/>
        </w:rPr>
      </w:pPr>
      <w:r>
        <w:rPr>
          <w:rFonts w:hint="eastAsia" w:ascii="方正书宋_GBK" w:eastAsia="方正书宋_GBK"/>
          <w:b/>
        </w:rPr>
        <w:t>设计方案审查和市政管线对接</w:t>
      </w:r>
      <w:r>
        <w:rPr>
          <w:rFonts w:hint="eastAsia" w:ascii="方正书宋_GBK" w:eastAsia="方正书宋_GBK"/>
          <w:b/>
          <w:lang w:val="en-US" w:eastAsia="zh-CN"/>
        </w:rPr>
        <w:t>:</w:t>
      </w:r>
      <w:r>
        <w:rPr>
          <w:rFonts w:hint="eastAsia" w:ascii="方正书宋_GBK" w:eastAsia="方正书宋_GBK"/>
        </w:rPr>
        <w:t>对丰南区各项规划进行审查；对各乡镇、各工业区总体规划、控制性详细规划进行审议；装订各项规划文本、聘请相关规划专家，开展各项规划工作及各项业务培训工作</w:t>
      </w:r>
      <w:r>
        <w:rPr>
          <w:rFonts w:hint="eastAsia" w:ascii="方正书宋_GBK" w:eastAsia="方正书宋_GBK"/>
          <w:lang w:val="en-US" w:eastAsia="zh-CN"/>
        </w:rPr>
        <w:t>.</w:t>
      </w:r>
    </w:p>
    <w:p w14:paraId="4F65AA90">
      <w:pPr>
        <w:numPr>
          <w:ilvl w:val="0"/>
          <w:numId w:val="1"/>
        </w:numPr>
        <w:ind w:firstLine="640"/>
        <w:rPr>
          <w:rFonts w:hint="eastAsia" w:ascii="方正书宋_GBK" w:eastAsia="方正书宋_GBK"/>
          <w:lang w:val="en-US" w:eastAsia="zh-CN"/>
        </w:rPr>
      </w:pPr>
      <w:r>
        <w:rPr>
          <w:rFonts w:hint="eastAsia" w:ascii="方正书宋_GBK" w:eastAsia="方正书宋_GBK"/>
          <w:b/>
        </w:rPr>
        <w:t>规划展馆运行</w:t>
      </w:r>
      <w:r>
        <w:rPr>
          <w:rFonts w:hint="eastAsia" w:ascii="方正书宋_GBK" w:eastAsia="方正书宋_GBK"/>
          <w:b/>
          <w:lang w:val="en-US" w:eastAsia="zh-CN"/>
        </w:rPr>
        <w:t>:</w:t>
      </w:r>
      <w:r>
        <w:rPr>
          <w:rFonts w:hint="eastAsia" w:ascii="方正书宋_GBK" w:eastAsia="方正书宋_GBK"/>
        </w:rPr>
        <w:t>接待各级领导客商参观考察；规划馆日常设备和沙盘维护更新、业务培训；馆内外消防设施完善工作。</w:t>
      </w:r>
    </w:p>
    <w:p w14:paraId="15A95D33">
      <w:pPr>
        <w:ind w:firstLine="640"/>
      </w:pPr>
      <w:r>
        <w:rPr>
          <w:rFonts w:ascii="方正楷体_GBK" w:hAnsi="方正楷体_GBK" w:eastAsia="方正楷体_GBK" w:cs="方正楷体_GBK"/>
          <w:b/>
          <w:color w:val="000000"/>
          <w:sz w:val="32"/>
        </w:rPr>
        <w:t>机构设置：</w:t>
      </w:r>
    </w:p>
    <w:p w14:paraId="043C1EE9">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DD5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096E06">
            <w:pPr>
              <w:pStyle w:val="20"/>
            </w:pPr>
            <w:r>
              <w:t>单位名称</w:t>
            </w:r>
          </w:p>
        </w:tc>
        <w:tc>
          <w:tcPr>
            <w:tcW w:w="1843" w:type="dxa"/>
            <w:vAlign w:val="center"/>
          </w:tcPr>
          <w:p w14:paraId="34157743">
            <w:pPr>
              <w:pStyle w:val="20"/>
            </w:pPr>
            <w:r>
              <w:t>单位性质</w:t>
            </w:r>
          </w:p>
        </w:tc>
        <w:tc>
          <w:tcPr>
            <w:tcW w:w="2126" w:type="dxa"/>
            <w:vAlign w:val="center"/>
          </w:tcPr>
          <w:p w14:paraId="7481D3D2">
            <w:pPr>
              <w:pStyle w:val="20"/>
            </w:pPr>
            <w:r>
              <w:t>单位规格</w:t>
            </w:r>
          </w:p>
        </w:tc>
        <w:tc>
          <w:tcPr>
            <w:tcW w:w="3827" w:type="dxa"/>
            <w:vAlign w:val="center"/>
          </w:tcPr>
          <w:p w14:paraId="5841C931">
            <w:pPr>
              <w:pStyle w:val="20"/>
            </w:pPr>
            <w:r>
              <w:t>经费保障形式</w:t>
            </w:r>
          </w:p>
        </w:tc>
      </w:tr>
      <w:tr w14:paraId="5321D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061CA5">
            <w:pPr>
              <w:spacing w:line="300" w:lineRule="exact"/>
              <w:jc w:val="left"/>
            </w:pPr>
            <w:r>
              <w:rPr>
                <w:rFonts w:hint="eastAsia" w:ascii="方正书宋_GBK" w:eastAsia="方正书宋_GBK"/>
              </w:rPr>
              <w:t>规划局丰南分局</w:t>
            </w:r>
          </w:p>
        </w:tc>
        <w:tc>
          <w:tcPr>
            <w:tcW w:w="1843" w:type="dxa"/>
            <w:vAlign w:val="center"/>
          </w:tcPr>
          <w:p w14:paraId="2FB0AFC7">
            <w:pPr>
              <w:spacing w:line="300" w:lineRule="exact"/>
              <w:jc w:val="center"/>
            </w:pPr>
            <w:r>
              <w:rPr>
                <w:rFonts w:hint="eastAsia" w:ascii="方正书宋_GBK" w:eastAsia="方正书宋_GBK"/>
              </w:rPr>
              <w:t>行政</w:t>
            </w:r>
          </w:p>
        </w:tc>
        <w:tc>
          <w:tcPr>
            <w:tcW w:w="2126" w:type="dxa"/>
            <w:vAlign w:val="center"/>
          </w:tcPr>
          <w:p w14:paraId="2AE9EC22">
            <w:pPr>
              <w:spacing w:line="300" w:lineRule="exact"/>
              <w:jc w:val="center"/>
            </w:pPr>
            <w:r>
              <w:rPr>
                <w:rFonts w:hint="eastAsia" w:ascii="方正书宋_GBK" w:eastAsia="方正书宋_GBK"/>
              </w:rPr>
              <w:t>正科级</w:t>
            </w:r>
          </w:p>
        </w:tc>
        <w:tc>
          <w:tcPr>
            <w:tcW w:w="3827" w:type="dxa"/>
            <w:vAlign w:val="center"/>
          </w:tcPr>
          <w:p w14:paraId="17DB096B">
            <w:pPr>
              <w:spacing w:line="300" w:lineRule="exact"/>
              <w:jc w:val="center"/>
            </w:pPr>
            <w:r>
              <w:rPr>
                <w:rFonts w:hint="eastAsia" w:ascii="方正书宋_GBK" w:eastAsia="方正书宋_GBK"/>
              </w:rPr>
              <w:t>财政性资金基本保证</w:t>
            </w:r>
          </w:p>
        </w:tc>
      </w:tr>
    </w:tbl>
    <w:p w14:paraId="573C57BE">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14:paraId="1B3FDE06">
      <w:pPr>
        <w:pStyle w:val="28"/>
      </w:pPr>
      <w:r>
        <w:t>按照预算管理有关规定，目前部门预算的编制实行综合预算管理，即全部收入和支出都反映在预算中。唐山市</w:t>
      </w:r>
      <w:r>
        <w:rPr>
          <w:rFonts w:hint="eastAsia"/>
          <w:lang w:val="en-US" w:eastAsia="zh-CN"/>
        </w:rPr>
        <w:t>规划局丰南分局</w:t>
      </w:r>
      <w:r>
        <w:t>机关及所属事业单位的收支包含在部门预算中。</w:t>
      </w:r>
    </w:p>
    <w:p w14:paraId="6E75741B">
      <w:pPr>
        <w:pStyle w:val="28"/>
      </w:pPr>
      <w:r>
        <w:t>1、收入说明</w:t>
      </w:r>
    </w:p>
    <w:p w14:paraId="6AE44BB6">
      <w:pPr>
        <w:pStyle w:val="28"/>
      </w:pPr>
      <w:r>
        <w:t>反映本部门当年全部收入。</w:t>
      </w:r>
      <w:r>
        <w:rPr>
          <w:rFonts w:hint="eastAsia"/>
          <w:lang w:val="en-US" w:eastAsia="zh-CN"/>
        </w:rPr>
        <w:t>2018</w:t>
      </w:r>
      <w:r>
        <w:t>年预算收入</w:t>
      </w:r>
      <w:r>
        <w:rPr>
          <w:rFonts w:ascii="方正书宋_GBK" w:eastAsia="方正书宋_GBK"/>
          <w:b/>
        </w:rPr>
        <w:t>707.73</w:t>
      </w:r>
      <w:r>
        <w:t>万元，其中：一般公共预算收入</w:t>
      </w:r>
      <w:r>
        <w:rPr>
          <w:rFonts w:hint="eastAsia"/>
          <w:lang w:val="en-US" w:eastAsia="zh-CN"/>
        </w:rPr>
        <w:t>222.73</w:t>
      </w:r>
      <w:r>
        <w:t>万元，基金预算收入</w:t>
      </w:r>
      <w:r>
        <w:rPr>
          <w:rFonts w:hint="eastAsia"/>
          <w:lang w:val="en-US" w:eastAsia="zh-CN"/>
        </w:rPr>
        <w:t>485</w:t>
      </w:r>
      <w:r>
        <w:t>万元，国有资本经营预算收入0万元，财政专户核拨收入0万元，单位资金收入0万元，上年结转结余0万元。</w:t>
      </w:r>
    </w:p>
    <w:p w14:paraId="69CD6538">
      <w:pPr>
        <w:pStyle w:val="28"/>
      </w:pPr>
      <w:r>
        <w:t>2、支出说明</w:t>
      </w:r>
    </w:p>
    <w:p w14:paraId="1214F7E6">
      <w:pPr>
        <w:pStyle w:val="28"/>
      </w:pPr>
      <w:r>
        <w:t>收支预算总表支出栏、基本支出表、项目支出表按经济分类和支出功能分类科目编制，反映唐山市</w:t>
      </w:r>
      <w:r>
        <w:rPr>
          <w:rFonts w:hint="eastAsia"/>
          <w:lang w:val="en-US" w:eastAsia="zh-CN"/>
        </w:rPr>
        <w:t>划局丰南分局</w:t>
      </w:r>
      <w:r>
        <w:t>年度部门预算中支出预算的总体情况。</w:t>
      </w:r>
      <w:r>
        <w:rPr>
          <w:rFonts w:hint="eastAsia"/>
          <w:lang w:val="en-US" w:eastAsia="zh-CN"/>
        </w:rPr>
        <w:t>2018</w:t>
      </w:r>
      <w:r>
        <w:t>年支出预算</w:t>
      </w:r>
      <w:r>
        <w:rPr>
          <w:rFonts w:hint="eastAsia"/>
          <w:lang w:val="en-US" w:eastAsia="zh-CN"/>
        </w:rPr>
        <w:t>707.73</w:t>
      </w:r>
      <w:r>
        <w:t>万元，其中基本支出</w:t>
      </w:r>
      <w:r>
        <w:rPr>
          <w:rFonts w:hint="eastAsia"/>
          <w:lang w:val="en-US" w:eastAsia="zh-CN"/>
        </w:rPr>
        <w:t>139.73</w:t>
      </w:r>
      <w:r>
        <w:t>万元，包括人员经费</w:t>
      </w:r>
      <w:r>
        <w:rPr>
          <w:rFonts w:hint="eastAsia"/>
          <w:lang w:val="en-US" w:eastAsia="zh-CN"/>
        </w:rPr>
        <w:t>133.98</w:t>
      </w:r>
      <w:r>
        <w:t>万元和日常公用经费</w:t>
      </w:r>
      <w:r>
        <w:rPr>
          <w:rFonts w:hint="eastAsia"/>
          <w:lang w:val="en-US" w:eastAsia="zh-CN"/>
        </w:rPr>
        <w:t>5.75</w:t>
      </w:r>
      <w:r>
        <w:t>万元；项目支出</w:t>
      </w:r>
      <w:r>
        <w:rPr>
          <w:rFonts w:hint="eastAsia"/>
          <w:lang w:val="en-US" w:eastAsia="zh-CN"/>
        </w:rPr>
        <w:t>568</w:t>
      </w:r>
      <w:r>
        <w:t>万元，主要为</w:t>
      </w:r>
      <w:r>
        <w:rPr>
          <w:rFonts w:hint="eastAsia" w:ascii="方正仿宋_GBK" w:hAnsi="方正仿宋_GBK" w:eastAsia="方正仿宋_GBK" w:cs="方正仿宋_GBK"/>
        </w:rPr>
        <w:t>规划展牌及文本装订费用</w:t>
      </w:r>
      <w:r>
        <w:rPr>
          <w:rFonts w:hint="eastAsia" w:ascii="方正仿宋_GBK" w:hAnsi="方正仿宋_GBK" w:eastAsia="方正仿宋_GBK" w:cs="方正仿宋_GBK"/>
          <w:lang w:val="en-US" w:eastAsia="zh-CN"/>
        </w:rPr>
        <w:t>16万元，</w:t>
      </w:r>
      <w:r>
        <w:rPr>
          <w:rFonts w:hint="eastAsia" w:ascii="方正仿宋_GBK" w:hAnsi="方正仿宋_GBK" w:eastAsia="方正仿宋_GBK" w:cs="方正仿宋_GBK"/>
        </w:rPr>
        <w:t>丰南经济开发区岔河片区概念性总体规划、控制性详细规划</w:t>
      </w:r>
      <w:r>
        <w:rPr>
          <w:rFonts w:hint="eastAsia" w:ascii="方正仿宋_GBK" w:hAnsi="方正仿宋_GBK" w:eastAsia="方正仿宋_GBK" w:cs="方正仿宋_GBK"/>
          <w:lang w:val="en-US" w:eastAsia="zh-CN"/>
        </w:rPr>
        <w:t>285万元，</w:t>
      </w:r>
      <w:r>
        <w:rPr>
          <w:rFonts w:hint="eastAsia" w:ascii="方正仿宋_GBK" w:hAnsi="方正仿宋_GBK" w:eastAsia="方正仿宋_GBK" w:cs="方正仿宋_GBK"/>
        </w:rPr>
        <w:t>北国丰贝钢区域城市设计费</w:t>
      </w:r>
      <w:r>
        <w:rPr>
          <w:rFonts w:hint="eastAsia" w:ascii="方正仿宋_GBK" w:hAnsi="方正仿宋_GBK" w:eastAsia="方正仿宋_GBK" w:cs="方正仿宋_GBK"/>
          <w:lang w:val="en-US" w:eastAsia="zh-CN"/>
        </w:rPr>
        <w:t>67.9万元，</w:t>
      </w:r>
      <w:r>
        <w:rPr>
          <w:rFonts w:hint="eastAsia" w:ascii="方正仿宋_GBK" w:hAnsi="方正仿宋_GBK" w:eastAsia="方正仿宋_GBK" w:cs="方正仿宋_GBK"/>
        </w:rPr>
        <w:t>规划设计费</w:t>
      </w:r>
      <w:r>
        <w:rPr>
          <w:rFonts w:hint="eastAsia" w:ascii="方正仿宋_GBK" w:hAnsi="方正仿宋_GBK" w:eastAsia="方正仿宋_GBK" w:cs="方正仿宋_GBK"/>
          <w:lang w:val="en-US" w:eastAsia="zh-CN"/>
        </w:rPr>
        <w:t>97.1万元，</w:t>
      </w:r>
      <w:r>
        <w:rPr>
          <w:rFonts w:hint="eastAsia" w:ascii="方正仿宋_GBK" w:hAnsi="方正仿宋_GBK" w:eastAsia="方正仿宋_GBK" w:cs="方正仿宋_GBK"/>
        </w:rPr>
        <w:t>南孙庄乡控制性详细规划费用</w:t>
      </w:r>
      <w:r>
        <w:rPr>
          <w:rFonts w:hint="eastAsia" w:ascii="方正仿宋_GBK" w:hAnsi="方正仿宋_GBK" w:eastAsia="方正仿宋_GBK" w:cs="方正仿宋_GBK"/>
          <w:lang w:val="en-US" w:eastAsia="zh-CN"/>
        </w:rPr>
        <w:t>19.2万元，</w:t>
      </w:r>
      <w:r>
        <w:rPr>
          <w:rFonts w:hint="eastAsia" w:ascii="方正仿宋_GBK" w:hAnsi="方正仿宋_GBK" w:eastAsia="方正仿宋_GBK" w:cs="方正仿宋_GBK"/>
        </w:rPr>
        <w:t>规划展馆运行费用（劳务费）</w:t>
      </w:r>
      <w:r>
        <w:rPr>
          <w:rFonts w:hint="eastAsia" w:ascii="方正仿宋_GBK" w:hAnsi="方正仿宋_GBK" w:eastAsia="方正仿宋_GBK" w:cs="方正仿宋_GBK"/>
          <w:lang w:val="en-US" w:eastAsia="zh-CN"/>
        </w:rPr>
        <w:t>55万元，</w:t>
      </w:r>
      <w:r>
        <w:rPr>
          <w:rFonts w:hint="eastAsia" w:ascii="方正仿宋_GBK" w:hAnsi="方正仿宋_GBK" w:eastAsia="方正仿宋_GBK" w:cs="方正仿宋_GBK"/>
        </w:rPr>
        <w:t>规划展馆运行费用</w:t>
      </w:r>
      <w:r>
        <w:rPr>
          <w:rFonts w:hint="eastAsia" w:ascii="方正仿宋_GBK" w:hAnsi="方正仿宋_GBK" w:eastAsia="方正仿宋_GBK" w:cs="方正仿宋_GBK"/>
          <w:lang w:val="en-US" w:eastAsia="zh-CN"/>
        </w:rPr>
        <w:t>，12万元</w:t>
      </w:r>
      <w:r>
        <w:rPr>
          <w:rFonts w:hint="eastAsia" w:ascii="方正仿宋_GBK" w:hAnsi="方正仿宋_GBK" w:eastAsia="方正仿宋_GBK" w:cs="方正仿宋_GBK"/>
        </w:rPr>
        <w:t>。</w:t>
      </w:r>
    </w:p>
    <w:p w14:paraId="7A609FFF">
      <w:pPr>
        <w:pStyle w:val="28"/>
      </w:pPr>
      <w:r>
        <w:t>3、比上年增减情况</w:t>
      </w:r>
    </w:p>
    <w:p w14:paraId="470D4A3C">
      <w:pPr>
        <w:pStyle w:val="28"/>
        <w:rPr>
          <w:highlight w:val="none"/>
        </w:rPr>
      </w:pPr>
      <w:r>
        <w:rPr>
          <w:rFonts w:hint="eastAsia"/>
          <w:highlight w:val="none"/>
          <w:lang w:val="en-US" w:eastAsia="zh-CN"/>
        </w:rPr>
        <w:t>2018</w:t>
      </w:r>
      <w:r>
        <w:rPr>
          <w:highlight w:val="none"/>
        </w:rPr>
        <w:t>年预算收支安排</w:t>
      </w:r>
      <w:r>
        <w:rPr>
          <w:rFonts w:hint="eastAsia"/>
          <w:highlight w:val="none"/>
          <w:lang w:val="en-US" w:eastAsia="zh-CN"/>
        </w:rPr>
        <w:t>707.73</w:t>
      </w:r>
      <w:r>
        <w:rPr>
          <w:highlight w:val="none"/>
        </w:rPr>
        <w:t>万元，较</w:t>
      </w:r>
      <w:r>
        <w:rPr>
          <w:rFonts w:hint="eastAsia"/>
          <w:highlight w:val="none"/>
          <w:lang w:val="en-US" w:eastAsia="zh-CN"/>
        </w:rPr>
        <w:t>2017</w:t>
      </w:r>
      <w:r>
        <w:rPr>
          <w:highlight w:val="none"/>
        </w:rPr>
        <w:t>年预算</w:t>
      </w:r>
      <w:r>
        <w:rPr>
          <w:rFonts w:hint="eastAsia"/>
          <w:highlight w:val="none"/>
          <w:lang w:val="en-US" w:eastAsia="zh-CN"/>
        </w:rPr>
        <w:t>增加74.11</w:t>
      </w:r>
      <w:r>
        <w:rPr>
          <w:highlight w:val="none"/>
        </w:rPr>
        <w:t>万元，其中：基本支出</w:t>
      </w:r>
      <w:r>
        <w:rPr>
          <w:rFonts w:hint="eastAsia"/>
          <w:highlight w:val="none"/>
          <w:lang w:val="en-US" w:eastAsia="zh-CN"/>
        </w:rPr>
        <w:t>增加2.63</w:t>
      </w:r>
      <w:r>
        <w:rPr>
          <w:highlight w:val="none"/>
        </w:rPr>
        <w:t>万元，主要为人员经费</w:t>
      </w:r>
      <w:r>
        <w:rPr>
          <w:rFonts w:hint="eastAsia"/>
          <w:highlight w:val="none"/>
          <w:lang w:val="en-US" w:eastAsia="zh-CN"/>
        </w:rPr>
        <w:t>增加4.96万元</w:t>
      </w:r>
      <w:r>
        <w:rPr>
          <w:rFonts w:hint="eastAsia"/>
          <w:highlight w:val="none"/>
          <w:lang w:eastAsia="zh-CN"/>
        </w:rPr>
        <w:t>，公用经费</w:t>
      </w:r>
      <w:r>
        <w:rPr>
          <w:highlight w:val="none"/>
        </w:rPr>
        <w:t>减少</w:t>
      </w:r>
      <w:r>
        <w:rPr>
          <w:rFonts w:hint="eastAsia"/>
          <w:highlight w:val="none"/>
          <w:lang w:val="en-US" w:eastAsia="zh-CN"/>
        </w:rPr>
        <w:t>2.33</w:t>
      </w:r>
      <w:r>
        <w:rPr>
          <w:highlight w:val="none"/>
        </w:rPr>
        <w:t>。项目支出</w:t>
      </w:r>
      <w:r>
        <w:rPr>
          <w:rFonts w:hint="eastAsia"/>
          <w:highlight w:val="none"/>
          <w:lang w:val="en-US" w:eastAsia="zh-CN"/>
        </w:rPr>
        <w:t>增加71.48</w:t>
      </w:r>
      <w:r>
        <w:rPr>
          <w:highlight w:val="none"/>
        </w:rPr>
        <w:t>万元，主要为</w:t>
      </w:r>
      <w:r>
        <w:rPr>
          <w:rFonts w:hint="eastAsia"/>
          <w:highlight w:val="none"/>
          <w:lang w:val="en-US" w:eastAsia="zh-CN"/>
        </w:rPr>
        <w:t>城乡规划制定费用</w:t>
      </w:r>
      <w:r>
        <w:rPr>
          <w:highlight w:val="none"/>
        </w:rPr>
        <w:t>减少。</w:t>
      </w:r>
    </w:p>
    <w:p w14:paraId="1B7B1300">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14:paraId="7D155328">
      <w:pPr>
        <w:pStyle w:val="29"/>
      </w:pPr>
      <w:r>
        <w:rPr>
          <w:rFonts w:hint="eastAsia"/>
          <w:lang w:val="en-US" w:eastAsia="zh-CN"/>
        </w:rPr>
        <w:t>2018</w:t>
      </w:r>
      <w:r>
        <w:t>年，我部门机关运行经费共计安排89.88万元，主要用于日常维修、办公用房水电费、办公用房取暖费、办公用房物业管理费等日常运行支出。</w:t>
      </w:r>
    </w:p>
    <w:p w14:paraId="5F255C8D">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14:paraId="02B9E8FB">
      <w:pPr>
        <w:pStyle w:val="37"/>
      </w:pPr>
      <w:bookmarkStart w:id="4" w:name="_Toc_3_3_0000000014"/>
      <w:r>
        <w:rPr>
          <w:rFonts w:hint="eastAsia"/>
          <w:lang w:val="en-US" w:eastAsia="zh-CN"/>
        </w:rPr>
        <w:t>2018</w:t>
      </w:r>
      <w:r>
        <w:t>年，我单位财政拨款“三公”经费预算安排</w:t>
      </w:r>
      <w:r>
        <w:rPr>
          <w:rFonts w:hint="eastAsia"/>
          <w:lang w:val="en-US" w:eastAsia="zh-CN"/>
        </w:rPr>
        <w:t>12</w:t>
      </w:r>
      <w:r>
        <w:t>万元，其中因公出国（境）费0万元；公务用车购置及运维费</w:t>
      </w:r>
      <w:r>
        <w:rPr>
          <w:rFonts w:hint="eastAsia"/>
          <w:lang w:val="en-US" w:eastAsia="zh-CN"/>
        </w:rPr>
        <w:t>3.5</w:t>
      </w:r>
      <w:r>
        <w:t>万元（其中：公务用车购置费为0万元，公务用车运维费</w:t>
      </w:r>
      <w:r>
        <w:rPr>
          <w:rFonts w:hint="eastAsia"/>
          <w:lang w:val="en-US" w:eastAsia="zh-CN"/>
        </w:rPr>
        <w:t>3.5</w:t>
      </w:r>
      <w:r>
        <w:t>万元)；公务接待费</w:t>
      </w:r>
      <w:r>
        <w:rPr>
          <w:rFonts w:hint="eastAsia"/>
          <w:lang w:val="en-US" w:eastAsia="zh-CN"/>
        </w:rPr>
        <w:t>0</w:t>
      </w:r>
      <w:r>
        <w:t>万元。与</w:t>
      </w:r>
      <w:r>
        <w:rPr>
          <w:rFonts w:hint="eastAsia"/>
          <w:lang w:val="en-US" w:eastAsia="zh-CN"/>
        </w:rPr>
        <w:t>2017</w:t>
      </w:r>
      <w:r>
        <w:t>年持平，有增减变化。</w:t>
      </w:r>
    </w:p>
    <w:bookmarkEnd w:id="4"/>
    <w:p w14:paraId="2E43C24F">
      <w:pPr>
        <w:spacing w:line="360" w:lineRule="auto"/>
        <w:ind w:firstLine="630"/>
        <w:rPr>
          <w:rFonts w:ascii="黑体" w:hAnsi="黑体" w:eastAsia="黑体"/>
          <w:sz w:val="32"/>
          <w:szCs w:val="32"/>
          <w:highlight w:val="none"/>
        </w:rPr>
      </w:pPr>
      <w:r>
        <w:rPr>
          <w:rFonts w:hint="eastAsia" w:ascii="黑体" w:hAnsi="黑体" w:eastAsia="黑体"/>
          <w:sz w:val="32"/>
          <w:szCs w:val="32"/>
          <w:highlight w:val="none"/>
        </w:rPr>
        <w:t>五、绩效预算信息</w:t>
      </w:r>
    </w:p>
    <w:p w14:paraId="02278430">
      <w:pPr>
        <w:jc w:val="left"/>
        <w:rPr>
          <w:rFonts w:hint="eastAsia" w:ascii="方正楷体_GBK" w:eastAsia="方正楷体_GBK"/>
          <w:b/>
          <w:sz w:val="28"/>
        </w:rPr>
      </w:pPr>
      <w:bookmarkStart w:id="5" w:name="_Toc_3_3_0000000017"/>
      <w:r>
        <w:rPr>
          <w:rFonts w:hint="eastAsia" w:ascii="方正楷体_GBK" w:eastAsia="方正楷体_GBK"/>
          <w:b/>
          <w:sz w:val="28"/>
        </w:rPr>
        <w:t>总体目标：</w:t>
      </w:r>
    </w:p>
    <w:p w14:paraId="03EA26ED">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hAnsi="宋体" w:eastAsia="方正仿宋_GBK" w:cs="宋体"/>
          <w:sz w:val="28"/>
        </w:rPr>
        <w:t>协助市局调整《唐山市城市总体规划》，完成《唐山市中心城区控制性详细规划》（丰南部分）的多个地块的控规调整，完成北国丰、贝钢区域的城市设计。完成黑沿子镇总体规划修编工作，编制部分镇区重点地块的控制性详细规划和重点村村庄规划、完善美丽乡村规划。依法严格城市用地管理，优化城市公共空间，保证城市功能，抓好城市基础设施建设和管理。完成城区内所有在建项目及综合科新批项目的批后管理工作，按照《建设工程规划批后管理手册》的要求，在现状工作的基础上，在九个管理环节方面注重细节管理。</w:t>
      </w:r>
      <w:r>
        <w:rPr>
          <w:rFonts w:ascii="方正仿宋_GBK" w:eastAsia="方正仿宋_GBK"/>
          <w:sz w:val="28"/>
        </w:rPr>
        <w:t xml:space="preserve"> </w:t>
      </w:r>
    </w:p>
    <w:p w14:paraId="27801F62">
      <w:pPr>
        <w:jc w:val="left"/>
        <w:rPr>
          <w:rFonts w:hint="eastAsia" w:ascii="方正楷体_GBK" w:eastAsia="方正楷体_GBK"/>
          <w:b/>
          <w:sz w:val="28"/>
        </w:rPr>
      </w:pPr>
      <w:r>
        <w:rPr>
          <w:rFonts w:hint="eastAsia" w:ascii="方正楷体_GBK" w:eastAsia="方正楷体_GBK"/>
          <w:b/>
          <w:sz w:val="28"/>
        </w:rPr>
        <w:t xml:space="preserve">    职责分类绩效目标：</w:t>
      </w:r>
    </w:p>
    <w:p w14:paraId="39EF470C">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hAnsi="宋体" w:eastAsia="方正仿宋_GBK" w:cs="宋体"/>
          <w:sz w:val="28"/>
        </w:rPr>
        <w:t>从实际完成率、质量达标率、及时完成率、经济效益指标、社会效益指标、生态效益指标等六大方面，根据本部门城乡规划制定、实施与监督的工作职责确定绩效目标。</w:t>
      </w:r>
    </w:p>
    <w:p w14:paraId="21049883">
      <w:pPr>
        <w:jc w:val="left"/>
        <w:rPr>
          <w:rFonts w:hint="eastAsia" w:ascii="方正黑体_GBK" w:eastAsia="方正黑体_GBK"/>
          <w:sz w:val="28"/>
        </w:rPr>
      </w:pPr>
      <w:r>
        <w:rPr>
          <w:rFonts w:hint="eastAsia" w:ascii="方正黑体_GBK" w:eastAsia="方正黑体_GBK"/>
          <w:sz w:val="28"/>
        </w:rPr>
        <w:t xml:space="preserve">    二、实现年度发展规划目标的保障措施</w:t>
      </w:r>
    </w:p>
    <w:p w14:paraId="07373852">
      <w:pPr>
        <w:spacing w:line="500" w:lineRule="exact"/>
        <w:ind w:firstLine="560"/>
        <w:rPr>
          <w:rFonts w:ascii="方正仿宋_GBK" w:eastAsia="方正仿宋_GBK"/>
          <w:sz w:val="28"/>
        </w:rPr>
      </w:pPr>
      <w:r>
        <w:rPr>
          <w:rFonts w:ascii="方正仿宋_GBK" w:eastAsia="方正仿宋_GBK"/>
          <w:sz w:val="28"/>
        </w:rPr>
        <w:t xml:space="preserve">    </w:t>
      </w:r>
      <w:r>
        <w:rPr>
          <w:rFonts w:hint="eastAsia" w:ascii="方正仿宋_GBK" w:hAnsi="宋体" w:eastAsia="方正仿宋_GBK" w:cs="宋体"/>
          <w:sz w:val="28"/>
        </w:rPr>
        <w:t>为保证</w:t>
      </w:r>
      <w:r>
        <w:rPr>
          <w:rFonts w:ascii="方正仿宋_GBK" w:eastAsia="方正仿宋_GBK"/>
          <w:sz w:val="28"/>
        </w:rPr>
        <w:t>2018</w:t>
      </w:r>
      <w:r>
        <w:rPr>
          <w:rFonts w:hint="eastAsia" w:ascii="方正仿宋_GBK" w:hAnsi="宋体" w:eastAsia="方正仿宋_GBK" w:cs="宋体"/>
          <w:sz w:val="28"/>
        </w:rPr>
        <w:t>年度发展规划目标切实行使有效，特制订如下发展规划的保障措施：</w:t>
      </w:r>
    </w:p>
    <w:p w14:paraId="4502515D">
      <w:pPr>
        <w:spacing w:line="500" w:lineRule="exact"/>
        <w:ind w:firstLine="560"/>
        <w:rPr>
          <w:rFonts w:ascii="方正仿宋_GBK" w:eastAsia="方正仿宋_GBK"/>
          <w:sz w:val="28"/>
        </w:rPr>
      </w:pPr>
      <w:r>
        <w:rPr>
          <w:rFonts w:ascii="方正仿宋_GBK" w:eastAsia="方正仿宋_GBK"/>
          <w:sz w:val="28"/>
        </w:rPr>
        <w:t xml:space="preserve">    1</w:t>
      </w:r>
      <w:r>
        <w:rPr>
          <w:rFonts w:hint="eastAsia" w:ascii="方正仿宋_GBK" w:hAnsi="宋体" w:eastAsia="方正仿宋_GBK" w:cs="宋体"/>
          <w:sz w:val="28"/>
        </w:rPr>
        <w:t>、结合财政制度改革，深化预算执行审计。</w:t>
      </w:r>
    </w:p>
    <w:p w14:paraId="2157211B">
      <w:pPr>
        <w:spacing w:line="500" w:lineRule="exact"/>
        <w:ind w:firstLine="560"/>
        <w:rPr>
          <w:rFonts w:ascii="方正仿宋_GBK" w:eastAsia="方正仿宋_GBK"/>
          <w:sz w:val="28"/>
        </w:rPr>
      </w:pPr>
      <w:r>
        <w:rPr>
          <w:rFonts w:ascii="方正仿宋_GBK" w:eastAsia="方正仿宋_GBK"/>
          <w:sz w:val="28"/>
        </w:rPr>
        <w:t xml:space="preserve">    2</w:t>
      </w:r>
      <w:r>
        <w:rPr>
          <w:rFonts w:hint="eastAsia" w:ascii="方正仿宋_GBK" w:hAnsi="宋体" w:eastAsia="方正仿宋_GBK" w:cs="宋体"/>
          <w:sz w:val="28"/>
        </w:rPr>
        <w:t>、确保各项资金高效运行，强化预算管理。</w:t>
      </w:r>
    </w:p>
    <w:p w14:paraId="601EB9AD">
      <w:pPr>
        <w:spacing w:line="500" w:lineRule="exact"/>
        <w:ind w:firstLine="560"/>
        <w:rPr>
          <w:rFonts w:ascii="方正仿宋_GBK" w:eastAsia="方正仿宋_GBK"/>
          <w:sz w:val="28"/>
        </w:rPr>
      </w:pPr>
      <w:r>
        <w:rPr>
          <w:rFonts w:ascii="方正仿宋_GBK" w:eastAsia="方正仿宋_GBK"/>
          <w:sz w:val="28"/>
        </w:rPr>
        <w:t xml:space="preserve">    3</w:t>
      </w:r>
      <w:r>
        <w:rPr>
          <w:rFonts w:hint="eastAsia" w:ascii="方正仿宋_GBK" w:hAnsi="宋体" w:eastAsia="方正仿宋_GBK" w:cs="宋体"/>
          <w:sz w:val="28"/>
        </w:rPr>
        <w:t>、加强重点项目资金管理，提高资金利用效率。</w:t>
      </w:r>
    </w:p>
    <w:p w14:paraId="3A243549">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14:paraId="0FD6E7FC">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4D25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14:paraId="0ED516FA">
            <w:pPr>
              <w:spacing w:line="300" w:lineRule="exact"/>
              <w:rPr>
                <w:rFonts w:ascii="方正小标宋_GBK" w:eastAsia="方正小标宋_GBK"/>
                <w:lang w:eastAsia="zh-CN"/>
              </w:rPr>
            </w:pPr>
            <w:r>
              <w:rPr>
                <w:rFonts w:ascii="方正小标宋_GBK" w:eastAsia="方正小标宋_GBK"/>
                <w:sz w:val="24"/>
              </w:rPr>
              <w:t>440</w:t>
            </w:r>
            <w:r>
              <w:rPr>
                <w:rFonts w:hint="eastAsia" w:ascii="方正小标宋_GBK" w:eastAsia="方正小标宋_GBK"/>
                <w:sz w:val="24"/>
              </w:rPr>
              <w:t>规划局丰南分局</w:t>
            </w:r>
          </w:p>
        </w:tc>
      </w:tr>
      <w:tr w14:paraId="0839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1E957914">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4A373DF2">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6E4C6616">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5525C459">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3ED9BFB2">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1623679A">
            <w:pPr>
              <w:spacing w:line="300" w:lineRule="exact"/>
              <w:jc w:val="center"/>
              <w:rPr>
                <w:rFonts w:ascii="方正书宋_GBK" w:eastAsia="方正书宋_GBK"/>
                <w:b/>
              </w:rPr>
            </w:pPr>
            <w:r>
              <w:rPr>
                <w:rFonts w:hint="eastAsia" w:ascii="方正书宋_GBK" w:eastAsia="方正书宋_GBK"/>
                <w:b/>
              </w:rPr>
              <w:t>评价标准</w:t>
            </w:r>
          </w:p>
        </w:tc>
      </w:tr>
      <w:tr w14:paraId="5FA0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43B303D4">
            <w:pPr>
              <w:spacing w:line="300" w:lineRule="exact"/>
              <w:outlineLvl w:val="0"/>
            </w:pPr>
          </w:p>
        </w:tc>
        <w:tc>
          <w:tcPr>
            <w:tcW w:w="1276" w:type="dxa"/>
            <w:vMerge w:val="continue"/>
            <w:shd w:val="clear" w:color="auto" w:fill="auto"/>
            <w:vAlign w:val="center"/>
          </w:tcPr>
          <w:p w14:paraId="20E00033">
            <w:pPr>
              <w:spacing w:line="300" w:lineRule="exact"/>
              <w:outlineLvl w:val="0"/>
            </w:pPr>
          </w:p>
        </w:tc>
        <w:tc>
          <w:tcPr>
            <w:tcW w:w="2976" w:type="dxa"/>
            <w:vMerge w:val="continue"/>
            <w:shd w:val="clear" w:color="auto" w:fill="auto"/>
            <w:vAlign w:val="center"/>
          </w:tcPr>
          <w:p w14:paraId="65DE146B">
            <w:pPr>
              <w:spacing w:line="300" w:lineRule="exact"/>
              <w:outlineLvl w:val="0"/>
            </w:pPr>
          </w:p>
        </w:tc>
        <w:tc>
          <w:tcPr>
            <w:tcW w:w="2976" w:type="dxa"/>
            <w:vMerge w:val="continue"/>
            <w:shd w:val="clear" w:color="auto" w:fill="auto"/>
            <w:vAlign w:val="center"/>
          </w:tcPr>
          <w:p w14:paraId="1B375151">
            <w:pPr>
              <w:spacing w:line="300" w:lineRule="exact"/>
              <w:outlineLvl w:val="0"/>
            </w:pPr>
          </w:p>
        </w:tc>
        <w:tc>
          <w:tcPr>
            <w:tcW w:w="1417" w:type="dxa"/>
            <w:vMerge w:val="continue"/>
            <w:shd w:val="clear" w:color="auto" w:fill="auto"/>
            <w:vAlign w:val="center"/>
          </w:tcPr>
          <w:p w14:paraId="099B51D6">
            <w:pPr>
              <w:spacing w:line="300" w:lineRule="exact"/>
              <w:outlineLvl w:val="0"/>
            </w:pPr>
          </w:p>
        </w:tc>
        <w:tc>
          <w:tcPr>
            <w:tcW w:w="737" w:type="dxa"/>
            <w:shd w:val="clear" w:color="auto" w:fill="auto"/>
            <w:vAlign w:val="center"/>
          </w:tcPr>
          <w:p w14:paraId="5B1CEF3E">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149D2879">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356E99D4">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51826D5E">
            <w:pPr>
              <w:spacing w:line="300" w:lineRule="exact"/>
              <w:jc w:val="center"/>
              <w:rPr>
                <w:rFonts w:ascii="方正书宋_GBK" w:eastAsia="方正书宋_GBK"/>
                <w:b/>
              </w:rPr>
            </w:pPr>
            <w:r>
              <w:rPr>
                <w:rFonts w:hint="eastAsia" w:ascii="方正书宋_GBK" w:eastAsia="方正书宋_GBK"/>
                <w:b/>
              </w:rPr>
              <w:t>差</w:t>
            </w:r>
          </w:p>
        </w:tc>
      </w:tr>
      <w:tr w14:paraId="189E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14:paraId="49787A2C">
            <w:pPr>
              <w:spacing w:line="300" w:lineRule="exact"/>
              <w:jc w:val="left"/>
              <w:rPr>
                <w:rFonts w:ascii="方正书宋_GBK" w:eastAsia="方正书宋_GBK"/>
                <w:b/>
              </w:rPr>
            </w:pPr>
            <w:r>
              <w:rPr>
                <w:rFonts w:hint="eastAsia" w:ascii="方正书宋_GBK" w:eastAsia="方正书宋_GBK"/>
                <w:b/>
              </w:rPr>
              <w:t>一、城乡规划</w:t>
            </w:r>
          </w:p>
        </w:tc>
        <w:tc>
          <w:tcPr>
            <w:tcW w:w="1276" w:type="dxa"/>
            <w:shd w:val="clear" w:color="auto" w:fill="auto"/>
            <w:noWrap w:val="0"/>
            <w:vAlign w:val="center"/>
          </w:tcPr>
          <w:p w14:paraId="1B6673D7">
            <w:pPr>
              <w:spacing w:line="300" w:lineRule="exact"/>
              <w:jc w:val="left"/>
              <w:rPr>
                <w:rFonts w:ascii="方正书宋_GBK" w:eastAsia="方正书宋_GBK"/>
              </w:rPr>
            </w:pPr>
            <w:r>
              <w:rPr>
                <w:rFonts w:ascii="方正书宋_GBK" w:eastAsia="方正书宋_GBK"/>
              </w:rPr>
              <w:t>568.00</w:t>
            </w:r>
          </w:p>
        </w:tc>
        <w:tc>
          <w:tcPr>
            <w:tcW w:w="2976" w:type="dxa"/>
            <w:shd w:val="clear" w:color="auto" w:fill="auto"/>
            <w:noWrap w:val="0"/>
            <w:vAlign w:val="center"/>
          </w:tcPr>
          <w:p w14:paraId="231071AE">
            <w:pPr>
              <w:spacing w:line="300" w:lineRule="exact"/>
              <w:jc w:val="left"/>
              <w:rPr>
                <w:rFonts w:ascii="方正书宋_GBK" w:eastAsia="方正书宋_GBK"/>
              </w:rPr>
            </w:pPr>
            <w:r>
              <w:rPr>
                <w:rFonts w:hint="eastAsia" w:ascii="方正书宋_GBK" w:eastAsia="方正书宋_GBK"/>
              </w:rPr>
              <w:t>制定城乡规划技术管理标准和导则。组织城镇体系规划等层面规划编制，组织参与层面规划编制，督导各地依法编制总体规划、专项规划、控制性详细规划、历史文化名城和街区保护规划等。对由政府审批的规划进行监督实施。</w:t>
            </w:r>
          </w:p>
        </w:tc>
        <w:tc>
          <w:tcPr>
            <w:tcW w:w="2976" w:type="dxa"/>
            <w:shd w:val="clear" w:color="auto" w:fill="auto"/>
            <w:noWrap w:val="0"/>
            <w:vAlign w:val="center"/>
          </w:tcPr>
          <w:p w14:paraId="6ADB6FB7">
            <w:pPr>
              <w:spacing w:line="300" w:lineRule="exact"/>
              <w:jc w:val="left"/>
              <w:rPr>
                <w:rFonts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shd w:val="clear" w:color="auto" w:fill="auto"/>
            <w:noWrap w:val="0"/>
            <w:vAlign w:val="center"/>
          </w:tcPr>
          <w:p w14:paraId="31E2BE27">
            <w:pPr>
              <w:spacing w:line="300" w:lineRule="exact"/>
              <w:jc w:val="left"/>
              <w:rPr>
                <w:rFonts w:ascii="方正书宋_GBK" w:eastAsia="方正书宋_GBK"/>
              </w:rPr>
            </w:pPr>
          </w:p>
        </w:tc>
        <w:tc>
          <w:tcPr>
            <w:tcW w:w="737" w:type="dxa"/>
            <w:shd w:val="clear" w:color="auto" w:fill="auto"/>
            <w:noWrap w:val="0"/>
            <w:vAlign w:val="center"/>
          </w:tcPr>
          <w:p w14:paraId="595B1FE5">
            <w:pPr>
              <w:spacing w:line="300" w:lineRule="exact"/>
              <w:jc w:val="center"/>
              <w:rPr>
                <w:rFonts w:ascii="方正书宋_GBK" w:eastAsia="方正书宋_GBK"/>
              </w:rPr>
            </w:pPr>
          </w:p>
        </w:tc>
        <w:tc>
          <w:tcPr>
            <w:tcW w:w="737" w:type="dxa"/>
            <w:shd w:val="clear" w:color="auto" w:fill="auto"/>
            <w:noWrap w:val="0"/>
            <w:vAlign w:val="center"/>
          </w:tcPr>
          <w:p w14:paraId="7BCAC8BD">
            <w:pPr>
              <w:spacing w:line="300" w:lineRule="exact"/>
              <w:jc w:val="center"/>
              <w:rPr>
                <w:rFonts w:ascii="方正书宋_GBK" w:eastAsia="方正书宋_GBK"/>
              </w:rPr>
            </w:pPr>
          </w:p>
        </w:tc>
        <w:tc>
          <w:tcPr>
            <w:tcW w:w="737" w:type="dxa"/>
            <w:shd w:val="clear" w:color="auto" w:fill="auto"/>
            <w:noWrap w:val="0"/>
            <w:vAlign w:val="center"/>
          </w:tcPr>
          <w:p w14:paraId="6C90A6B1">
            <w:pPr>
              <w:spacing w:line="300" w:lineRule="exact"/>
              <w:jc w:val="center"/>
              <w:rPr>
                <w:rFonts w:ascii="方正书宋_GBK" w:eastAsia="方正书宋_GBK"/>
              </w:rPr>
            </w:pPr>
          </w:p>
        </w:tc>
        <w:tc>
          <w:tcPr>
            <w:tcW w:w="737" w:type="dxa"/>
            <w:shd w:val="clear" w:color="auto" w:fill="auto"/>
            <w:noWrap w:val="0"/>
            <w:vAlign w:val="center"/>
          </w:tcPr>
          <w:p w14:paraId="16656A47">
            <w:pPr>
              <w:spacing w:line="300" w:lineRule="exact"/>
              <w:jc w:val="center"/>
              <w:rPr>
                <w:rFonts w:ascii="方正书宋_GBK" w:eastAsia="方正书宋_GBK"/>
              </w:rPr>
            </w:pPr>
          </w:p>
        </w:tc>
      </w:tr>
      <w:tr w14:paraId="25D0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4E7DA5B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、城乡规划制订、实施与监督</w:t>
            </w:r>
          </w:p>
        </w:tc>
        <w:tc>
          <w:tcPr>
            <w:tcW w:w="1276" w:type="dxa"/>
            <w:vMerge w:val="restart"/>
            <w:shd w:val="clear" w:color="auto" w:fill="auto"/>
            <w:noWrap w:val="0"/>
            <w:vAlign w:val="center"/>
          </w:tcPr>
          <w:p w14:paraId="4423F347">
            <w:pPr>
              <w:spacing w:line="300" w:lineRule="exact"/>
              <w:jc w:val="left"/>
              <w:rPr>
                <w:rFonts w:ascii="方正书宋_GBK" w:eastAsia="方正书宋_GBK"/>
              </w:rPr>
            </w:pPr>
            <w:r>
              <w:rPr>
                <w:rFonts w:ascii="方正书宋_GBK" w:eastAsia="方正书宋_GBK"/>
              </w:rPr>
              <w:t>16.00</w:t>
            </w:r>
          </w:p>
        </w:tc>
        <w:tc>
          <w:tcPr>
            <w:tcW w:w="2976" w:type="dxa"/>
            <w:vMerge w:val="restart"/>
            <w:shd w:val="clear" w:color="auto" w:fill="auto"/>
            <w:noWrap w:val="0"/>
            <w:vAlign w:val="center"/>
          </w:tcPr>
          <w:p w14:paraId="34851860">
            <w:pPr>
              <w:spacing w:line="300" w:lineRule="exact"/>
              <w:jc w:val="left"/>
              <w:rPr>
                <w:rFonts w:hint="eastAsia" w:ascii="方正书宋_GBK" w:eastAsia="方正书宋_GBK"/>
              </w:rPr>
            </w:pPr>
            <w:r>
              <w:rPr>
                <w:rFonts w:hint="eastAsia" w:ascii="方正书宋_GBK" w:eastAsia="方正书宋_GBK"/>
              </w:rPr>
              <w:t>拟定全区城乡规划管理政策，制定城乡规划技术管理标准和导则；组织编制区域总体规划、专项规划、控制性详细规划。加强规划监督管理。开展地形图测绘工作。</w:t>
            </w:r>
          </w:p>
        </w:tc>
        <w:tc>
          <w:tcPr>
            <w:tcW w:w="2976" w:type="dxa"/>
            <w:vMerge w:val="restart"/>
            <w:shd w:val="clear" w:color="auto" w:fill="auto"/>
            <w:noWrap w:val="0"/>
            <w:vAlign w:val="center"/>
          </w:tcPr>
          <w:p w14:paraId="02546932">
            <w:pPr>
              <w:spacing w:line="300" w:lineRule="exact"/>
              <w:jc w:val="left"/>
              <w:rPr>
                <w:rFonts w:hint="eastAsia" w:ascii="方正书宋_GBK" w:eastAsia="方正书宋_GBK"/>
              </w:rPr>
            </w:pPr>
            <w:r>
              <w:rPr>
                <w:rFonts w:hint="eastAsia" w:ascii="方正书宋_GBK" w:eastAsia="方正书宋_GBK"/>
              </w:rPr>
              <w:t>完成本级规划编制，健全规划体系</w:t>
            </w:r>
          </w:p>
        </w:tc>
        <w:tc>
          <w:tcPr>
            <w:tcW w:w="1417" w:type="dxa"/>
            <w:shd w:val="clear" w:color="auto" w:fill="auto"/>
            <w:noWrap w:val="0"/>
            <w:vAlign w:val="center"/>
          </w:tcPr>
          <w:p w14:paraId="39E159A1">
            <w:pPr>
              <w:spacing w:line="300" w:lineRule="exact"/>
              <w:jc w:val="left"/>
              <w:rPr>
                <w:rFonts w:ascii="方正书宋_GBK" w:eastAsia="方正书宋_GBK"/>
              </w:rPr>
            </w:pPr>
            <w:r>
              <w:rPr>
                <w:rFonts w:hint="eastAsia" w:ascii="方正书宋_GBK" w:eastAsia="方正书宋_GBK"/>
              </w:rPr>
              <w:t>规划审批率</w:t>
            </w:r>
          </w:p>
        </w:tc>
        <w:tc>
          <w:tcPr>
            <w:tcW w:w="737" w:type="dxa"/>
            <w:shd w:val="clear" w:color="auto" w:fill="auto"/>
            <w:noWrap w:val="0"/>
            <w:vAlign w:val="center"/>
          </w:tcPr>
          <w:p w14:paraId="79E074C2">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4C04E26F">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1969185C">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42C9E2A5">
            <w:pPr>
              <w:spacing w:line="300" w:lineRule="exact"/>
              <w:jc w:val="center"/>
              <w:rPr>
                <w:rFonts w:ascii="方正书宋_GBK" w:eastAsia="方正书宋_GBK"/>
              </w:rPr>
            </w:pPr>
            <w:r>
              <w:rPr>
                <w:rFonts w:hint="eastAsia" w:ascii="方正书宋_GBK" w:eastAsia="方正书宋_GBK"/>
              </w:rPr>
              <w:t>完成小于</w:t>
            </w:r>
            <w:r>
              <w:rPr>
                <w:rFonts w:ascii="方正书宋_GBK" w:eastAsia="方正书宋_GBK"/>
              </w:rPr>
              <w:t>60%</w:t>
            </w:r>
          </w:p>
        </w:tc>
      </w:tr>
      <w:tr w14:paraId="1B60E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AEA37BC">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A138AD4">
            <w:pPr>
              <w:spacing w:line="300" w:lineRule="exact"/>
              <w:jc w:val="left"/>
              <w:rPr>
                <w:rFonts w:ascii="方正书宋_GBK" w:eastAsia="方正书宋_GBK"/>
              </w:rPr>
            </w:pPr>
          </w:p>
        </w:tc>
        <w:tc>
          <w:tcPr>
            <w:tcW w:w="2976" w:type="dxa"/>
            <w:vMerge w:val="continue"/>
            <w:shd w:val="clear" w:color="auto" w:fill="auto"/>
            <w:noWrap w:val="0"/>
            <w:vAlign w:val="center"/>
          </w:tcPr>
          <w:p w14:paraId="227BE4D5">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1D452DBD">
            <w:pPr>
              <w:spacing w:line="300" w:lineRule="exact"/>
              <w:jc w:val="left"/>
              <w:rPr>
                <w:rFonts w:hint="eastAsia" w:ascii="方正书宋_GBK" w:eastAsia="方正书宋_GBK"/>
              </w:rPr>
            </w:pPr>
          </w:p>
        </w:tc>
        <w:tc>
          <w:tcPr>
            <w:tcW w:w="1417" w:type="dxa"/>
            <w:shd w:val="clear" w:color="auto" w:fill="auto"/>
            <w:noWrap w:val="0"/>
            <w:vAlign w:val="center"/>
          </w:tcPr>
          <w:p w14:paraId="54126DC8">
            <w:pPr>
              <w:spacing w:line="300" w:lineRule="exact"/>
              <w:jc w:val="left"/>
              <w:rPr>
                <w:rFonts w:hint="eastAsia" w:ascii="方正书宋_GBK" w:eastAsia="方正书宋_GBK"/>
              </w:rPr>
            </w:pPr>
            <w:r>
              <w:rPr>
                <w:rFonts w:hint="eastAsia" w:ascii="方正书宋_GBK" w:eastAsia="方正书宋_GBK"/>
              </w:rPr>
              <w:t>规划监管率</w:t>
            </w:r>
          </w:p>
        </w:tc>
        <w:tc>
          <w:tcPr>
            <w:tcW w:w="737" w:type="dxa"/>
            <w:shd w:val="clear" w:color="auto" w:fill="auto"/>
            <w:noWrap w:val="0"/>
            <w:vAlign w:val="center"/>
          </w:tcPr>
          <w:p w14:paraId="37D8D175">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7298CDCE">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34300F5E">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10D0B113">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566F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786EB96">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0777B1B">
            <w:pPr>
              <w:spacing w:line="300" w:lineRule="exact"/>
              <w:jc w:val="left"/>
              <w:rPr>
                <w:rFonts w:ascii="方正书宋_GBK" w:eastAsia="方正书宋_GBK"/>
              </w:rPr>
            </w:pPr>
          </w:p>
        </w:tc>
        <w:tc>
          <w:tcPr>
            <w:tcW w:w="2976" w:type="dxa"/>
            <w:vMerge w:val="continue"/>
            <w:shd w:val="clear" w:color="auto" w:fill="auto"/>
            <w:noWrap w:val="0"/>
            <w:vAlign w:val="center"/>
          </w:tcPr>
          <w:p w14:paraId="09DCC7E8">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01D923CD">
            <w:pPr>
              <w:spacing w:line="300" w:lineRule="exact"/>
              <w:jc w:val="left"/>
              <w:rPr>
                <w:rFonts w:hint="eastAsia" w:ascii="方正书宋_GBK" w:eastAsia="方正书宋_GBK"/>
              </w:rPr>
            </w:pPr>
          </w:p>
        </w:tc>
        <w:tc>
          <w:tcPr>
            <w:tcW w:w="1417" w:type="dxa"/>
            <w:shd w:val="clear" w:color="auto" w:fill="auto"/>
            <w:noWrap w:val="0"/>
            <w:vAlign w:val="center"/>
          </w:tcPr>
          <w:p w14:paraId="635E4D85">
            <w:pPr>
              <w:spacing w:line="300" w:lineRule="exact"/>
              <w:jc w:val="left"/>
              <w:rPr>
                <w:rFonts w:hint="eastAsia" w:ascii="方正书宋_GBK" w:eastAsia="方正书宋_GBK"/>
              </w:rPr>
            </w:pPr>
            <w:r>
              <w:rPr>
                <w:rFonts w:hint="eastAsia" w:ascii="方正书宋_GBK" w:eastAsia="方正书宋_GBK"/>
              </w:rPr>
              <w:t>规划完成率</w:t>
            </w:r>
          </w:p>
        </w:tc>
        <w:tc>
          <w:tcPr>
            <w:tcW w:w="737" w:type="dxa"/>
            <w:shd w:val="clear" w:color="auto" w:fill="auto"/>
            <w:noWrap w:val="0"/>
            <w:vAlign w:val="center"/>
          </w:tcPr>
          <w:p w14:paraId="739B8895">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26072E02">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37F91A26">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1D3817F6">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4F14B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1A754BD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、城乡规划方案审查</w:t>
            </w:r>
          </w:p>
        </w:tc>
        <w:tc>
          <w:tcPr>
            <w:tcW w:w="1276" w:type="dxa"/>
            <w:vMerge w:val="restart"/>
            <w:shd w:val="clear" w:color="auto" w:fill="auto"/>
            <w:noWrap w:val="0"/>
            <w:vAlign w:val="center"/>
          </w:tcPr>
          <w:p w14:paraId="323C2804">
            <w:pPr>
              <w:spacing w:line="300" w:lineRule="exact"/>
              <w:jc w:val="left"/>
              <w:rPr>
                <w:rFonts w:ascii="方正书宋_GBK" w:eastAsia="方正书宋_GBK"/>
              </w:rPr>
            </w:pPr>
            <w:r>
              <w:rPr>
                <w:rFonts w:ascii="方正书宋_GBK" w:eastAsia="方正书宋_GBK"/>
              </w:rPr>
              <w:t>485.00</w:t>
            </w:r>
          </w:p>
        </w:tc>
        <w:tc>
          <w:tcPr>
            <w:tcW w:w="2976" w:type="dxa"/>
            <w:vMerge w:val="restart"/>
            <w:shd w:val="clear" w:color="auto" w:fill="auto"/>
            <w:noWrap w:val="0"/>
            <w:vAlign w:val="center"/>
          </w:tcPr>
          <w:p w14:paraId="3F9FDF7A">
            <w:pPr>
              <w:spacing w:line="300" w:lineRule="exact"/>
              <w:jc w:val="left"/>
              <w:rPr>
                <w:rFonts w:hint="eastAsia" w:ascii="方正书宋_GBK" w:eastAsia="方正书宋_GBK"/>
              </w:rPr>
            </w:pPr>
            <w:r>
              <w:rPr>
                <w:rFonts w:hint="eastAsia" w:ascii="方正书宋_GBK" w:eastAsia="方正书宋_GBK"/>
              </w:rPr>
              <w:t>经设计方案审查和市政管线对接委员会审查后，对丰南区各项规划进行审查；对各乡镇、各工业区总体规划、控制性详细规划进行审议；装订各项规划文本、聘请相关规划专家，开展各项规划工作及各项业务培训工作</w:t>
            </w:r>
          </w:p>
        </w:tc>
        <w:tc>
          <w:tcPr>
            <w:tcW w:w="2976" w:type="dxa"/>
            <w:vMerge w:val="restart"/>
            <w:shd w:val="clear" w:color="auto" w:fill="auto"/>
            <w:noWrap w:val="0"/>
            <w:vAlign w:val="center"/>
          </w:tcPr>
          <w:p w14:paraId="22C02C15">
            <w:pPr>
              <w:spacing w:line="300" w:lineRule="exact"/>
              <w:jc w:val="left"/>
              <w:rPr>
                <w:rFonts w:hint="eastAsia" w:ascii="方正书宋_GBK" w:eastAsia="方正书宋_GBK"/>
              </w:rPr>
            </w:pPr>
            <w:r>
              <w:rPr>
                <w:rFonts w:hint="eastAsia" w:ascii="方正书宋_GBK" w:eastAsia="方正书宋_GBK"/>
              </w:rPr>
              <w:t>完成本年度城乡规划委员会工作任务</w:t>
            </w:r>
          </w:p>
        </w:tc>
        <w:tc>
          <w:tcPr>
            <w:tcW w:w="1417" w:type="dxa"/>
            <w:shd w:val="clear" w:color="auto" w:fill="auto"/>
            <w:noWrap w:val="0"/>
            <w:vAlign w:val="center"/>
          </w:tcPr>
          <w:p w14:paraId="313E2C43">
            <w:pPr>
              <w:spacing w:line="300" w:lineRule="exact"/>
              <w:jc w:val="left"/>
              <w:rPr>
                <w:rFonts w:hint="eastAsia" w:ascii="方正书宋_GBK" w:eastAsia="方正书宋_GBK"/>
              </w:rPr>
            </w:pPr>
            <w:r>
              <w:rPr>
                <w:rFonts w:hint="eastAsia" w:ascii="方正书宋_GBK" w:eastAsia="方正书宋_GBK"/>
              </w:rPr>
              <w:t>方案审查业务培训率</w:t>
            </w:r>
          </w:p>
        </w:tc>
        <w:tc>
          <w:tcPr>
            <w:tcW w:w="737" w:type="dxa"/>
            <w:shd w:val="clear" w:color="auto" w:fill="auto"/>
            <w:noWrap w:val="0"/>
            <w:vAlign w:val="center"/>
          </w:tcPr>
          <w:p w14:paraId="0D23F895">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72CAD340">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3DDCACA0">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7B1B0EF4">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46A8A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706FA56F">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19E5244D">
            <w:pPr>
              <w:spacing w:line="300" w:lineRule="exact"/>
              <w:jc w:val="left"/>
              <w:rPr>
                <w:rFonts w:ascii="方正书宋_GBK" w:eastAsia="方正书宋_GBK"/>
              </w:rPr>
            </w:pPr>
          </w:p>
        </w:tc>
        <w:tc>
          <w:tcPr>
            <w:tcW w:w="2976" w:type="dxa"/>
            <w:vMerge w:val="continue"/>
            <w:shd w:val="clear" w:color="auto" w:fill="auto"/>
            <w:noWrap w:val="0"/>
            <w:vAlign w:val="center"/>
          </w:tcPr>
          <w:p w14:paraId="1DF56335">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4AD8D13">
            <w:pPr>
              <w:spacing w:line="300" w:lineRule="exact"/>
              <w:jc w:val="left"/>
              <w:rPr>
                <w:rFonts w:hint="eastAsia" w:ascii="方正书宋_GBK" w:eastAsia="方正书宋_GBK"/>
              </w:rPr>
            </w:pPr>
          </w:p>
        </w:tc>
        <w:tc>
          <w:tcPr>
            <w:tcW w:w="1417" w:type="dxa"/>
            <w:shd w:val="clear" w:color="auto" w:fill="auto"/>
            <w:noWrap w:val="0"/>
            <w:vAlign w:val="center"/>
          </w:tcPr>
          <w:p w14:paraId="19B9532A">
            <w:pPr>
              <w:spacing w:line="300" w:lineRule="exact"/>
              <w:jc w:val="left"/>
              <w:rPr>
                <w:rFonts w:hint="eastAsia" w:ascii="方正书宋_GBK" w:eastAsia="方正书宋_GBK"/>
              </w:rPr>
            </w:pPr>
            <w:r>
              <w:rPr>
                <w:rFonts w:hint="eastAsia" w:ascii="方正书宋_GBK" w:eastAsia="方正书宋_GBK"/>
              </w:rPr>
              <w:t>方案审查组织会议率</w:t>
            </w:r>
          </w:p>
        </w:tc>
        <w:tc>
          <w:tcPr>
            <w:tcW w:w="737" w:type="dxa"/>
            <w:shd w:val="clear" w:color="auto" w:fill="auto"/>
            <w:noWrap w:val="0"/>
            <w:vAlign w:val="center"/>
          </w:tcPr>
          <w:p w14:paraId="382C4D53">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5355B902">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33C1E100">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46B023CB">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607B7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BD1CCD5">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3E1A6483">
            <w:pPr>
              <w:spacing w:line="300" w:lineRule="exact"/>
              <w:jc w:val="left"/>
              <w:rPr>
                <w:rFonts w:ascii="方正书宋_GBK" w:eastAsia="方正书宋_GBK"/>
              </w:rPr>
            </w:pPr>
          </w:p>
        </w:tc>
        <w:tc>
          <w:tcPr>
            <w:tcW w:w="2976" w:type="dxa"/>
            <w:vMerge w:val="continue"/>
            <w:shd w:val="clear" w:color="auto" w:fill="auto"/>
            <w:noWrap w:val="0"/>
            <w:vAlign w:val="center"/>
          </w:tcPr>
          <w:p w14:paraId="5F80C9DB">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229D7EF7">
            <w:pPr>
              <w:spacing w:line="300" w:lineRule="exact"/>
              <w:jc w:val="left"/>
              <w:rPr>
                <w:rFonts w:hint="eastAsia" w:ascii="方正书宋_GBK" w:eastAsia="方正书宋_GBK"/>
              </w:rPr>
            </w:pPr>
          </w:p>
        </w:tc>
        <w:tc>
          <w:tcPr>
            <w:tcW w:w="1417" w:type="dxa"/>
            <w:shd w:val="clear" w:color="auto" w:fill="auto"/>
            <w:noWrap w:val="0"/>
            <w:vAlign w:val="center"/>
          </w:tcPr>
          <w:p w14:paraId="4AB857A1">
            <w:pPr>
              <w:spacing w:line="300" w:lineRule="exact"/>
              <w:jc w:val="left"/>
              <w:rPr>
                <w:rFonts w:hint="eastAsia" w:ascii="方正书宋_GBK" w:eastAsia="方正书宋_GBK"/>
              </w:rPr>
            </w:pPr>
            <w:r>
              <w:rPr>
                <w:rFonts w:hint="eastAsia" w:ascii="方正书宋_GBK" w:eastAsia="方正书宋_GBK"/>
              </w:rPr>
              <w:t>方案审查完成率</w:t>
            </w:r>
          </w:p>
        </w:tc>
        <w:tc>
          <w:tcPr>
            <w:tcW w:w="737" w:type="dxa"/>
            <w:shd w:val="clear" w:color="auto" w:fill="auto"/>
            <w:noWrap w:val="0"/>
            <w:vAlign w:val="center"/>
          </w:tcPr>
          <w:p w14:paraId="0216A701">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6E654007">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5383B57E">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23D8D75C">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0EC0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442994B2">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、设计方案审查和市政管线对接</w:t>
            </w:r>
          </w:p>
        </w:tc>
        <w:tc>
          <w:tcPr>
            <w:tcW w:w="1276" w:type="dxa"/>
            <w:vMerge w:val="restart"/>
            <w:shd w:val="clear" w:color="auto" w:fill="auto"/>
            <w:noWrap w:val="0"/>
            <w:vAlign w:val="center"/>
          </w:tcPr>
          <w:p w14:paraId="574AD0A7">
            <w:pPr>
              <w:spacing w:line="300" w:lineRule="exact"/>
              <w:jc w:val="left"/>
              <w:rPr>
                <w:rFonts w:ascii="方正书宋_GBK" w:eastAsia="方正书宋_GBK"/>
              </w:rPr>
            </w:pPr>
          </w:p>
        </w:tc>
        <w:tc>
          <w:tcPr>
            <w:tcW w:w="2976" w:type="dxa"/>
            <w:vMerge w:val="restart"/>
            <w:shd w:val="clear" w:color="auto" w:fill="auto"/>
            <w:noWrap w:val="0"/>
            <w:vAlign w:val="center"/>
          </w:tcPr>
          <w:p w14:paraId="022A07C8">
            <w:pPr>
              <w:spacing w:line="300" w:lineRule="exact"/>
              <w:jc w:val="left"/>
              <w:rPr>
                <w:rFonts w:hint="eastAsia" w:ascii="方正书宋_GBK" w:eastAsia="方正书宋_GBK"/>
              </w:rPr>
            </w:pPr>
            <w:r>
              <w:rPr>
                <w:rFonts w:hint="eastAsia" w:ascii="方正书宋_GBK" w:eastAsia="方正书宋_GBK"/>
              </w:rPr>
              <w:t>对丰南区各项规划进行审查；对各乡镇、各工业区总体规划、控制性详细规划进行审议；装订各项规划文本、聘请相关规划专家，开展各项规划工作及各项业务培训工作</w:t>
            </w:r>
          </w:p>
        </w:tc>
        <w:tc>
          <w:tcPr>
            <w:tcW w:w="2976" w:type="dxa"/>
            <w:vMerge w:val="restart"/>
            <w:shd w:val="clear" w:color="auto" w:fill="auto"/>
            <w:noWrap w:val="0"/>
            <w:vAlign w:val="center"/>
          </w:tcPr>
          <w:p w14:paraId="6144839A">
            <w:pPr>
              <w:spacing w:line="300" w:lineRule="exact"/>
              <w:jc w:val="left"/>
              <w:rPr>
                <w:rFonts w:hint="eastAsia" w:ascii="方正书宋_GBK" w:eastAsia="方正书宋_GBK"/>
              </w:rPr>
            </w:pPr>
            <w:r>
              <w:rPr>
                <w:rFonts w:hint="eastAsia" w:ascii="方正书宋_GBK" w:eastAsia="方正书宋_GBK"/>
              </w:rPr>
              <w:t>完成本年度设计方案审查和管线对接工作任务</w:t>
            </w:r>
          </w:p>
        </w:tc>
        <w:tc>
          <w:tcPr>
            <w:tcW w:w="1417" w:type="dxa"/>
            <w:shd w:val="clear" w:color="auto" w:fill="auto"/>
            <w:noWrap w:val="0"/>
            <w:vAlign w:val="center"/>
          </w:tcPr>
          <w:p w14:paraId="4C0CB6C6">
            <w:pPr>
              <w:spacing w:line="300" w:lineRule="exact"/>
              <w:jc w:val="left"/>
              <w:rPr>
                <w:rFonts w:hint="eastAsia" w:ascii="方正书宋_GBK" w:eastAsia="方正书宋_GBK"/>
              </w:rPr>
            </w:pPr>
            <w:r>
              <w:rPr>
                <w:rFonts w:hint="eastAsia" w:ascii="方正书宋_GBK" w:eastAsia="方正书宋_GBK"/>
              </w:rPr>
              <w:t>设计方案审查和管线对接业务培训率</w:t>
            </w:r>
          </w:p>
        </w:tc>
        <w:tc>
          <w:tcPr>
            <w:tcW w:w="737" w:type="dxa"/>
            <w:shd w:val="clear" w:color="auto" w:fill="auto"/>
            <w:noWrap w:val="0"/>
            <w:vAlign w:val="center"/>
          </w:tcPr>
          <w:p w14:paraId="024699EB">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4567F0D3">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2A04F872">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5508C3AE">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18EC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D926654">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4FBA6595">
            <w:pPr>
              <w:spacing w:line="300" w:lineRule="exact"/>
              <w:jc w:val="left"/>
              <w:rPr>
                <w:rFonts w:ascii="方正书宋_GBK" w:eastAsia="方正书宋_GBK"/>
              </w:rPr>
            </w:pPr>
          </w:p>
        </w:tc>
        <w:tc>
          <w:tcPr>
            <w:tcW w:w="2976" w:type="dxa"/>
            <w:vMerge w:val="continue"/>
            <w:shd w:val="clear" w:color="auto" w:fill="auto"/>
            <w:noWrap w:val="0"/>
            <w:vAlign w:val="center"/>
          </w:tcPr>
          <w:p w14:paraId="31115880">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3C183B67">
            <w:pPr>
              <w:spacing w:line="300" w:lineRule="exact"/>
              <w:jc w:val="left"/>
              <w:rPr>
                <w:rFonts w:hint="eastAsia" w:ascii="方正书宋_GBK" w:eastAsia="方正书宋_GBK"/>
              </w:rPr>
            </w:pPr>
          </w:p>
        </w:tc>
        <w:tc>
          <w:tcPr>
            <w:tcW w:w="1417" w:type="dxa"/>
            <w:shd w:val="clear" w:color="auto" w:fill="auto"/>
            <w:noWrap w:val="0"/>
            <w:vAlign w:val="center"/>
          </w:tcPr>
          <w:p w14:paraId="69100157">
            <w:pPr>
              <w:spacing w:line="300" w:lineRule="exact"/>
              <w:jc w:val="left"/>
              <w:rPr>
                <w:rFonts w:hint="eastAsia" w:ascii="方正书宋_GBK" w:eastAsia="方正书宋_GBK"/>
              </w:rPr>
            </w:pPr>
            <w:r>
              <w:rPr>
                <w:rFonts w:hint="eastAsia" w:ascii="方正书宋_GBK" w:eastAsia="方正书宋_GBK"/>
              </w:rPr>
              <w:t>设计方案审查和管线对接组织会议率</w:t>
            </w:r>
          </w:p>
        </w:tc>
        <w:tc>
          <w:tcPr>
            <w:tcW w:w="737" w:type="dxa"/>
            <w:shd w:val="clear" w:color="auto" w:fill="auto"/>
            <w:noWrap w:val="0"/>
            <w:vAlign w:val="center"/>
          </w:tcPr>
          <w:p w14:paraId="3DFF447B">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78997C53">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55484B41">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76CE8C4B">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3BC1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080CB601">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7AF83866">
            <w:pPr>
              <w:spacing w:line="300" w:lineRule="exact"/>
              <w:jc w:val="left"/>
              <w:rPr>
                <w:rFonts w:ascii="方正书宋_GBK" w:eastAsia="方正书宋_GBK"/>
              </w:rPr>
            </w:pPr>
          </w:p>
        </w:tc>
        <w:tc>
          <w:tcPr>
            <w:tcW w:w="2976" w:type="dxa"/>
            <w:vMerge w:val="continue"/>
            <w:shd w:val="clear" w:color="auto" w:fill="auto"/>
            <w:noWrap w:val="0"/>
            <w:vAlign w:val="center"/>
          </w:tcPr>
          <w:p w14:paraId="2A79C752">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03F7425">
            <w:pPr>
              <w:spacing w:line="300" w:lineRule="exact"/>
              <w:jc w:val="left"/>
              <w:rPr>
                <w:rFonts w:hint="eastAsia" w:ascii="方正书宋_GBK" w:eastAsia="方正书宋_GBK"/>
              </w:rPr>
            </w:pPr>
          </w:p>
        </w:tc>
        <w:tc>
          <w:tcPr>
            <w:tcW w:w="1417" w:type="dxa"/>
            <w:shd w:val="clear" w:color="auto" w:fill="auto"/>
            <w:noWrap w:val="0"/>
            <w:vAlign w:val="center"/>
          </w:tcPr>
          <w:p w14:paraId="1DB7B73A">
            <w:pPr>
              <w:spacing w:line="300" w:lineRule="exact"/>
              <w:jc w:val="left"/>
              <w:rPr>
                <w:rFonts w:hint="eastAsia" w:ascii="方正书宋_GBK" w:eastAsia="方正书宋_GBK"/>
              </w:rPr>
            </w:pPr>
            <w:r>
              <w:rPr>
                <w:rFonts w:hint="eastAsia" w:ascii="方正书宋_GBK" w:eastAsia="方正书宋_GBK"/>
              </w:rPr>
              <w:t>设计方案审查和管线对接完成率</w:t>
            </w:r>
          </w:p>
        </w:tc>
        <w:tc>
          <w:tcPr>
            <w:tcW w:w="737" w:type="dxa"/>
            <w:shd w:val="clear" w:color="auto" w:fill="auto"/>
            <w:noWrap w:val="0"/>
            <w:vAlign w:val="center"/>
          </w:tcPr>
          <w:p w14:paraId="684D0669">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074C9FDD">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7B211218">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0B777E42">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433C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14:paraId="2CA4885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、规划展馆运行</w:t>
            </w:r>
          </w:p>
        </w:tc>
        <w:tc>
          <w:tcPr>
            <w:tcW w:w="1276" w:type="dxa"/>
            <w:vMerge w:val="restart"/>
            <w:shd w:val="clear" w:color="auto" w:fill="auto"/>
            <w:noWrap w:val="0"/>
            <w:vAlign w:val="center"/>
          </w:tcPr>
          <w:p w14:paraId="47001FA2">
            <w:pPr>
              <w:spacing w:line="300" w:lineRule="exact"/>
              <w:jc w:val="left"/>
              <w:rPr>
                <w:rFonts w:ascii="方正书宋_GBK" w:eastAsia="方正书宋_GBK"/>
              </w:rPr>
            </w:pPr>
            <w:r>
              <w:rPr>
                <w:rFonts w:ascii="方正书宋_GBK" w:eastAsia="方正书宋_GBK"/>
              </w:rPr>
              <w:t>67.00</w:t>
            </w:r>
          </w:p>
        </w:tc>
        <w:tc>
          <w:tcPr>
            <w:tcW w:w="2976" w:type="dxa"/>
            <w:vMerge w:val="restart"/>
            <w:shd w:val="clear" w:color="auto" w:fill="auto"/>
            <w:noWrap w:val="0"/>
            <w:vAlign w:val="center"/>
          </w:tcPr>
          <w:p w14:paraId="538F94C3">
            <w:pPr>
              <w:spacing w:line="300" w:lineRule="exact"/>
              <w:jc w:val="left"/>
              <w:rPr>
                <w:rFonts w:hint="eastAsia" w:ascii="方正书宋_GBK" w:eastAsia="方正书宋_GBK"/>
              </w:rPr>
            </w:pPr>
            <w:r>
              <w:rPr>
                <w:rFonts w:hint="eastAsia" w:ascii="方正书宋_GBK" w:eastAsia="方正书宋_GBK"/>
              </w:rPr>
              <w:t>接待各级领导客商参观考察；规划馆日常设备和沙盘维护更新、业务培训；馆内外消防设施完善工作。</w:t>
            </w:r>
          </w:p>
        </w:tc>
        <w:tc>
          <w:tcPr>
            <w:tcW w:w="2976" w:type="dxa"/>
            <w:vMerge w:val="restart"/>
            <w:shd w:val="clear" w:color="auto" w:fill="auto"/>
            <w:noWrap w:val="0"/>
            <w:vAlign w:val="center"/>
          </w:tcPr>
          <w:p w14:paraId="49D48833">
            <w:pPr>
              <w:spacing w:line="300" w:lineRule="exact"/>
              <w:jc w:val="left"/>
              <w:rPr>
                <w:rFonts w:hint="eastAsia" w:ascii="方正书宋_GBK" w:eastAsia="方正书宋_GBK"/>
              </w:rPr>
            </w:pPr>
            <w:r>
              <w:rPr>
                <w:rFonts w:hint="eastAsia" w:ascii="方正书宋_GBK" w:eastAsia="方正书宋_GBK"/>
              </w:rPr>
              <w:t>完成本年度规划展馆工作任务</w:t>
            </w:r>
          </w:p>
        </w:tc>
        <w:tc>
          <w:tcPr>
            <w:tcW w:w="1417" w:type="dxa"/>
            <w:shd w:val="clear" w:color="auto" w:fill="auto"/>
            <w:noWrap w:val="0"/>
            <w:vAlign w:val="center"/>
          </w:tcPr>
          <w:p w14:paraId="63C58EAB">
            <w:pPr>
              <w:spacing w:line="300" w:lineRule="exact"/>
              <w:jc w:val="left"/>
              <w:rPr>
                <w:rFonts w:hint="eastAsia" w:ascii="方正书宋_GBK" w:eastAsia="方正书宋_GBK"/>
              </w:rPr>
            </w:pPr>
            <w:r>
              <w:rPr>
                <w:rFonts w:hint="eastAsia" w:ascii="方正书宋_GBK" w:eastAsia="方正书宋_GBK"/>
              </w:rPr>
              <w:t>本年度规划展馆考察接待率</w:t>
            </w:r>
          </w:p>
        </w:tc>
        <w:tc>
          <w:tcPr>
            <w:tcW w:w="737" w:type="dxa"/>
            <w:shd w:val="clear" w:color="auto" w:fill="auto"/>
            <w:noWrap w:val="0"/>
            <w:vAlign w:val="center"/>
          </w:tcPr>
          <w:p w14:paraId="4528843F">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35B4C1F7">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333AEC5A">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035AFA4E">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330B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302235FC">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631C1624">
            <w:pPr>
              <w:spacing w:line="300" w:lineRule="exact"/>
              <w:jc w:val="left"/>
              <w:rPr>
                <w:rFonts w:ascii="方正书宋_GBK" w:eastAsia="方正书宋_GBK"/>
              </w:rPr>
            </w:pPr>
          </w:p>
        </w:tc>
        <w:tc>
          <w:tcPr>
            <w:tcW w:w="2976" w:type="dxa"/>
            <w:vMerge w:val="continue"/>
            <w:shd w:val="clear" w:color="auto" w:fill="auto"/>
            <w:noWrap w:val="0"/>
            <w:vAlign w:val="center"/>
          </w:tcPr>
          <w:p w14:paraId="01844CEE">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432DD0C1">
            <w:pPr>
              <w:spacing w:line="300" w:lineRule="exact"/>
              <w:jc w:val="left"/>
              <w:rPr>
                <w:rFonts w:hint="eastAsia" w:ascii="方正书宋_GBK" w:eastAsia="方正书宋_GBK"/>
              </w:rPr>
            </w:pPr>
          </w:p>
        </w:tc>
        <w:tc>
          <w:tcPr>
            <w:tcW w:w="1417" w:type="dxa"/>
            <w:shd w:val="clear" w:color="auto" w:fill="auto"/>
            <w:noWrap w:val="0"/>
            <w:vAlign w:val="center"/>
          </w:tcPr>
          <w:p w14:paraId="59619AA4">
            <w:pPr>
              <w:spacing w:line="300" w:lineRule="exact"/>
              <w:jc w:val="left"/>
              <w:rPr>
                <w:rFonts w:hint="eastAsia" w:ascii="方正书宋_GBK" w:eastAsia="方正书宋_GBK"/>
              </w:rPr>
            </w:pPr>
            <w:r>
              <w:rPr>
                <w:rFonts w:hint="eastAsia" w:ascii="方正书宋_GBK" w:eastAsia="方正书宋_GBK"/>
              </w:rPr>
              <w:t>本年度规划展馆日常维护率</w:t>
            </w:r>
          </w:p>
        </w:tc>
        <w:tc>
          <w:tcPr>
            <w:tcW w:w="737" w:type="dxa"/>
            <w:shd w:val="clear" w:color="auto" w:fill="auto"/>
            <w:noWrap w:val="0"/>
            <w:vAlign w:val="center"/>
          </w:tcPr>
          <w:p w14:paraId="3010E007">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3B4C777B">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0AB3418B">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1E42AECB">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r w14:paraId="4359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14:paraId="17FCA73A">
            <w:pPr>
              <w:spacing w:line="300" w:lineRule="exact"/>
              <w:jc w:val="left"/>
              <w:rPr>
                <w:rFonts w:hint="eastAsia" w:ascii="方正书宋_GBK" w:eastAsia="方正书宋_GBK"/>
                <w:b/>
              </w:rPr>
            </w:pPr>
          </w:p>
        </w:tc>
        <w:tc>
          <w:tcPr>
            <w:tcW w:w="1276" w:type="dxa"/>
            <w:vMerge w:val="continue"/>
            <w:shd w:val="clear" w:color="auto" w:fill="auto"/>
            <w:noWrap w:val="0"/>
            <w:vAlign w:val="center"/>
          </w:tcPr>
          <w:p w14:paraId="07E49CC1">
            <w:pPr>
              <w:spacing w:line="300" w:lineRule="exact"/>
              <w:jc w:val="left"/>
              <w:rPr>
                <w:rFonts w:ascii="方正书宋_GBK" w:eastAsia="方正书宋_GBK"/>
              </w:rPr>
            </w:pPr>
          </w:p>
        </w:tc>
        <w:tc>
          <w:tcPr>
            <w:tcW w:w="2976" w:type="dxa"/>
            <w:vMerge w:val="continue"/>
            <w:shd w:val="clear" w:color="auto" w:fill="auto"/>
            <w:noWrap w:val="0"/>
            <w:vAlign w:val="center"/>
          </w:tcPr>
          <w:p w14:paraId="24C9A9C6">
            <w:pPr>
              <w:spacing w:line="300" w:lineRule="exact"/>
              <w:jc w:val="left"/>
              <w:rPr>
                <w:rFonts w:hint="eastAsia" w:ascii="方正书宋_GBK" w:eastAsia="方正书宋_GBK"/>
              </w:rPr>
            </w:pPr>
          </w:p>
        </w:tc>
        <w:tc>
          <w:tcPr>
            <w:tcW w:w="2976" w:type="dxa"/>
            <w:vMerge w:val="continue"/>
            <w:shd w:val="clear" w:color="auto" w:fill="auto"/>
            <w:noWrap w:val="0"/>
            <w:vAlign w:val="center"/>
          </w:tcPr>
          <w:p w14:paraId="57C4A180">
            <w:pPr>
              <w:spacing w:line="300" w:lineRule="exact"/>
              <w:jc w:val="left"/>
              <w:rPr>
                <w:rFonts w:hint="eastAsia" w:ascii="方正书宋_GBK" w:eastAsia="方正书宋_GBK"/>
              </w:rPr>
            </w:pPr>
          </w:p>
        </w:tc>
        <w:tc>
          <w:tcPr>
            <w:tcW w:w="1417" w:type="dxa"/>
            <w:shd w:val="clear" w:color="auto" w:fill="auto"/>
            <w:noWrap w:val="0"/>
            <w:vAlign w:val="center"/>
          </w:tcPr>
          <w:p w14:paraId="66248BEF">
            <w:pPr>
              <w:spacing w:line="300" w:lineRule="exact"/>
              <w:jc w:val="left"/>
              <w:rPr>
                <w:rFonts w:hint="eastAsia" w:ascii="方正书宋_GBK" w:eastAsia="方正书宋_GBK"/>
              </w:rPr>
            </w:pPr>
            <w:r>
              <w:rPr>
                <w:rFonts w:hint="eastAsia" w:ascii="方正书宋_GBK" w:eastAsia="方正书宋_GBK"/>
              </w:rPr>
              <w:t>本年度规划展馆工作任务完成率</w:t>
            </w:r>
          </w:p>
        </w:tc>
        <w:tc>
          <w:tcPr>
            <w:tcW w:w="737" w:type="dxa"/>
            <w:shd w:val="clear" w:color="auto" w:fill="auto"/>
            <w:noWrap w:val="0"/>
            <w:vAlign w:val="center"/>
          </w:tcPr>
          <w:p w14:paraId="745E0493">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95%</w:t>
            </w:r>
          </w:p>
        </w:tc>
        <w:tc>
          <w:tcPr>
            <w:tcW w:w="737" w:type="dxa"/>
            <w:shd w:val="clear" w:color="auto" w:fill="auto"/>
            <w:noWrap w:val="0"/>
            <w:vAlign w:val="center"/>
          </w:tcPr>
          <w:p w14:paraId="61016F1F">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80%</w:t>
            </w:r>
          </w:p>
        </w:tc>
        <w:tc>
          <w:tcPr>
            <w:tcW w:w="737" w:type="dxa"/>
            <w:shd w:val="clear" w:color="auto" w:fill="auto"/>
            <w:noWrap w:val="0"/>
            <w:vAlign w:val="center"/>
          </w:tcPr>
          <w:p w14:paraId="08FEA3DD">
            <w:pPr>
              <w:spacing w:line="300" w:lineRule="exact"/>
              <w:jc w:val="center"/>
              <w:rPr>
                <w:rFonts w:hint="eastAsia" w:ascii="方正书宋_GBK" w:eastAsia="方正书宋_GBK"/>
              </w:rPr>
            </w:pPr>
            <w:r>
              <w:rPr>
                <w:rFonts w:hint="eastAsia" w:ascii="方正书宋_GBK" w:eastAsia="方正书宋_GBK"/>
              </w:rPr>
              <w:t>完成</w:t>
            </w:r>
            <w:r>
              <w:rPr>
                <w:rFonts w:ascii="方正书宋_GBK" w:eastAsia="方正书宋_GBK"/>
              </w:rPr>
              <w:t>70%</w:t>
            </w:r>
          </w:p>
        </w:tc>
        <w:tc>
          <w:tcPr>
            <w:tcW w:w="737" w:type="dxa"/>
            <w:shd w:val="clear" w:color="auto" w:fill="auto"/>
            <w:noWrap w:val="0"/>
            <w:vAlign w:val="center"/>
          </w:tcPr>
          <w:p w14:paraId="7B7838CC">
            <w:pPr>
              <w:spacing w:line="300" w:lineRule="exact"/>
              <w:jc w:val="center"/>
              <w:rPr>
                <w:rFonts w:hint="eastAsia" w:ascii="方正书宋_GBK" w:eastAsia="方正书宋_GBK"/>
              </w:rPr>
            </w:pPr>
            <w:r>
              <w:rPr>
                <w:rFonts w:hint="eastAsia" w:ascii="方正书宋_GBK" w:eastAsia="方正书宋_GBK"/>
              </w:rPr>
              <w:t>完成小于</w:t>
            </w:r>
            <w:r>
              <w:rPr>
                <w:rFonts w:ascii="方正书宋_GBK" w:eastAsia="方正书宋_GBK"/>
              </w:rPr>
              <w:t>60%</w:t>
            </w:r>
          </w:p>
        </w:tc>
      </w:tr>
    </w:tbl>
    <w:p w14:paraId="307B54BF">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14:paraId="0E8026C5">
      <w:pPr>
        <w:spacing w:before="10" w:after="10"/>
        <w:ind w:firstLine="640"/>
        <w:outlineLvl w:val="2"/>
      </w:pPr>
      <w:r>
        <w:rPr>
          <w:rFonts w:ascii="黑体" w:hAnsi="黑体" w:eastAsia="黑体" w:cs="黑体"/>
          <w:color w:val="000000"/>
          <w:sz w:val="32"/>
        </w:rPr>
        <w:t>六、政府采购预算情况</w:t>
      </w:r>
      <w:bookmarkEnd w:id="5"/>
    </w:p>
    <w:p w14:paraId="2F411168">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47C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B558D9">
            <w:pPr>
              <w:pStyle w:val="19"/>
            </w:pPr>
            <w:r>
              <w:rPr>
                <w:rFonts w:ascii="方正小标宋_GBK" w:eastAsia="方正小标宋_GBK"/>
                <w:sz w:val="24"/>
              </w:rPr>
              <w:t>440</w:t>
            </w:r>
            <w:r>
              <w:rPr>
                <w:rFonts w:hint="eastAsia" w:ascii="方正小标宋_GBK" w:eastAsia="方正小标宋_GBK"/>
                <w:sz w:val="24"/>
              </w:rPr>
              <w:t>规划局丰南分局</w:t>
            </w:r>
          </w:p>
        </w:tc>
        <w:tc>
          <w:tcPr>
            <w:tcW w:w="7712" w:type="dxa"/>
            <w:gridSpan w:val="8"/>
            <w:tcBorders>
              <w:top w:val="single" w:color="FFFFFF" w:sz="6" w:space="0"/>
              <w:left w:val="single" w:color="FFFFFF" w:sz="6" w:space="0"/>
              <w:right w:val="single" w:color="FFFFFF" w:sz="6" w:space="0"/>
            </w:tcBorders>
            <w:vAlign w:val="center"/>
          </w:tcPr>
          <w:p w14:paraId="2EB2C91C">
            <w:pPr>
              <w:pStyle w:val="34"/>
            </w:pPr>
            <w:r>
              <w:t>单位：万元</w:t>
            </w:r>
          </w:p>
        </w:tc>
      </w:tr>
      <w:tr w14:paraId="3A13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1387A91">
            <w:pPr>
              <w:pStyle w:val="20"/>
            </w:pPr>
            <w:r>
              <w:t>政府采购项目来源</w:t>
            </w:r>
          </w:p>
        </w:tc>
        <w:tc>
          <w:tcPr>
            <w:tcW w:w="1134" w:type="dxa"/>
            <w:vMerge w:val="restart"/>
            <w:vAlign w:val="center"/>
          </w:tcPr>
          <w:p w14:paraId="70DAA5B4">
            <w:pPr>
              <w:pStyle w:val="20"/>
            </w:pPr>
            <w:r>
              <w:t>采购物品名称</w:t>
            </w:r>
          </w:p>
        </w:tc>
        <w:tc>
          <w:tcPr>
            <w:tcW w:w="1134" w:type="dxa"/>
            <w:vMerge w:val="restart"/>
            <w:vAlign w:val="center"/>
          </w:tcPr>
          <w:p w14:paraId="1543D4EE">
            <w:pPr>
              <w:pStyle w:val="20"/>
            </w:pPr>
            <w:r>
              <w:t>政府采购目录序号</w:t>
            </w:r>
          </w:p>
        </w:tc>
        <w:tc>
          <w:tcPr>
            <w:tcW w:w="709" w:type="dxa"/>
            <w:vMerge w:val="restart"/>
            <w:vAlign w:val="center"/>
          </w:tcPr>
          <w:p w14:paraId="1313BCDB">
            <w:pPr>
              <w:pStyle w:val="20"/>
            </w:pPr>
            <w:r>
              <w:t>计量  单位</w:t>
            </w:r>
          </w:p>
        </w:tc>
        <w:tc>
          <w:tcPr>
            <w:tcW w:w="850" w:type="dxa"/>
            <w:vMerge w:val="restart"/>
            <w:vAlign w:val="center"/>
          </w:tcPr>
          <w:p w14:paraId="613549CC">
            <w:pPr>
              <w:pStyle w:val="20"/>
            </w:pPr>
            <w:r>
              <w:t>数量</w:t>
            </w:r>
          </w:p>
        </w:tc>
        <w:tc>
          <w:tcPr>
            <w:tcW w:w="850" w:type="dxa"/>
            <w:vMerge w:val="restart"/>
            <w:vAlign w:val="center"/>
          </w:tcPr>
          <w:p w14:paraId="0E62FEF0">
            <w:pPr>
              <w:pStyle w:val="20"/>
            </w:pPr>
            <w:r>
              <w:t>单价</w:t>
            </w:r>
          </w:p>
        </w:tc>
        <w:tc>
          <w:tcPr>
            <w:tcW w:w="6748" w:type="dxa"/>
            <w:gridSpan w:val="7"/>
            <w:vAlign w:val="center"/>
          </w:tcPr>
          <w:p w14:paraId="75157E6D">
            <w:pPr>
              <w:pStyle w:val="20"/>
            </w:pPr>
            <w:r>
              <w:t>政府采购金额（当年部门预算安排资金）</w:t>
            </w:r>
          </w:p>
        </w:tc>
        <w:tc>
          <w:tcPr>
            <w:tcW w:w="964" w:type="dxa"/>
            <w:vMerge w:val="restart"/>
            <w:vAlign w:val="center"/>
          </w:tcPr>
          <w:p w14:paraId="12C9CF4B">
            <w:pPr>
              <w:pStyle w:val="20"/>
            </w:pPr>
            <w:r>
              <w:rPr>
                <w:rFonts w:hint="eastAsia"/>
                <w:lang w:eastAsia="zh-CN"/>
              </w:rPr>
              <w:t>XXXX</w:t>
            </w:r>
            <w:r>
              <w:t>年  预留中  小微企  业份额</w:t>
            </w:r>
          </w:p>
        </w:tc>
      </w:tr>
      <w:tr w14:paraId="47520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319B70">
            <w:pPr>
              <w:pStyle w:val="20"/>
            </w:pPr>
            <w:r>
              <w:t>项目名称</w:t>
            </w:r>
          </w:p>
        </w:tc>
        <w:tc>
          <w:tcPr>
            <w:tcW w:w="964" w:type="dxa"/>
            <w:vAlign w:val="center"/>
          </w:tcPr>
          <w:p w14:paraId="0D2646CD">
            <w:pPr>
              <w:pStyle w:val="20"/>
            </w:pPr>
            <w:r>
              <w:t>预算    资金</w:t>
            </w:r>
          </w:p>
        </w:tc>
        <w:tc>
          <w:tcPr>
            <w:tcW w:w="1134" w:type="dxa"/>
            <w:vMerge w:val="continue"/>
          </w:tcPr>
          <w:p w14:paraId="0158758C"/>
        </w:tc>
        <w:tc>
          <w:tcPr>
            <w:tcW w:w="1134" w:type="dxa"/>
            <w:vMerge w:val="continue"/>
          </w:tcPr>
          <w:p w14:paraId="310E4CAA"/>
        </w:tc>
        <w:tc>
          <w:tcPr>
            <w:tcW w:w="709" w:type="dxa"/>
            <w:vMerge w:val="continue"/>
          </w:tcPr>
          <w:p w14:paraId="6E0F5BAE"/>
        </w:tc>
        <w:tc>
          <w:tcPr>
            <w:tcW w:w="850" w:type="dxa"/>
            <w:vMerge w:val="continue"/>
          </w:tcPr>
          <w:p w14:paraId="4232CF49"/>
        </w:tc>
        <w:tc>
          <w:tcPr>
            <w:tcW w:w="850" w:type="dxa"/>
            <w:vMerge w:val="continue"/>
          </w:tcPr>
          <w:p w14:paraId="537B1E5C"/>
        </w:tc>
        <w:tc>
          <w:tcPr>
            <w:tcW w:w="964" w:type="dxa"/>
            <w:vAlign w:val="center"/>
          </w:tcPr>
          <w:p w14:paraId="261D686D">
            <w:pPr>
              <w:pStyle w:val="20"/>
            </w:pPr>
            <w:r>
              <w:t>合计</w:t>
            </w:r>
          </w:p>
        </w:tc>
        <w:tc>
          <w:tcPr>
            <w:tcW w:w="964" w:type="dxa"/>
            <w:vAlign w:val="center"/>
          </w:tcPr>
          <w:p w14:paraId="5735554F">
            <w:pPr>
              <w:pStyle w:val="20"/>
            </w:pPr>
            <w:r>
              <w:t>一般公共预算拨款</w:t>
            </w:r>
          </w:p>
        </w:tc>
        <w:tc>
          <w:tcPr>
            <w:tcW w:w="964" w:type="dxa"/>
            <w:vAlign w:val="center"/>
          </w:tcPr>
          <w:p w14:paraId="1EFF7DE7">
            <w:pPr>
              <w:pStyle w:val="20"/>
            </w:pPr>
            <w:r>
              <w:t>基金预算拨款</w:t>
            </w:r>
          </w:p>
        </w:tc>
        <w:tc>
          <w:tcPr>
            <w:tcW w:w="964" w:type="dxa"/>
            <w:vAlign w:val="center"/>
          </w:tcPr>
          <w:p w14:paraId="7572536B">
            <w:pPr>
              <w:pStyle w:val="20"/>
            </w:pPr>
            <w:r>
              <w:t>国有资本经营预算拨款</w:t>
            </w:r>
          </w:p>
        </w:tc>
        <w:tc>
          <w:tcPr>
            <w:tcW w:w="964" w:type="dxa"/>
            <w:vAlign w:val="center"/>
          </w:tcPr>
          <w:p w14:paraId="79F7AADF">
            <w:pPr>
              <w:pStyle w:val="20"/>
            </w:pPr>
            <w:r>
              <w:t>财政专户核拨</w:t>
            </w:r>
          </w:p>
        </w:tc>
        <w:tc>
          <w:tcPr>
            <w:tcW w:w="964" w:type="dxa"/>
            <w:vAlign w:val="center"/>
          </w:tcPr>
          <w:p w14:paraId="655AD716">
            <w:pPr>
              <w:pStyle w:val="20"/>
            </w:pPr>
            <w:r>
              <w:t>单位    资金</w:t>
            </w:r>
          </w:p>
        </w:tc>
        <w:tc>
          <w:tcPr>
            <w:tcW w:w="964" w:type="dxa"/>
            <w:vAlign w:val="center"/>
          </w:tcPr>
          <w:p w14:paraId="3D7B35F3">
            <w:pPr>
              <w:pStyle w:val="20"/>
            </w:pPr>
            <w:r>
              <w:t>上年结转结余</w:t>
            </w:r>
          </w:p>
        </w:tc>
        <w:tc>
          <w:tcPr>
            <w:tcW w:w="964" w:type="dxa"/>
            <w:vMerge w:val="continue"/>
          </w:tcPr>
          <w:p w14:paraId="3AA4E7FB"/>
        </w:tc>
      </w:tr>
      <w:tr w14:paraId="632D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55BFF5">
            <w:pPr>
              <w:pStyle w:val="24"/>
            </w:pPr>
            <w:r>
              <w:t>合  计</w:t>
            </w:r>
          </w:p>
        </w:tc>
        <w:tc>
          <w:tcPr>
            <w:tcW w:w="964" w:type="dxa"/>
            <w:vAlign w:val="center"/>
          </w:tcPr>
          <w:p w14:paraId="52490233">
            <w:pPr>
              <w:pStyle w:val="25"/>
            </w:pPr>
          </w:p>
        </w:tc>
        <w:tc>
          <w:tcPr>
            <w:tcW w:w="1134" w:type="dxa"/>
            <w:vAlign w:val="center"/>
          </w:tcPr>
          <w:p w14:paraId="264A98AC">
            <w:pPr>
              <w:pStyle w:val="26"/>
            </w:pPr>
          </w:p>
        </w:tc>
        <w:tc>
          <w:tcPr>
            <w:tcW w:w="1134" w:type="dxa"/>
            <w:vAlign w:val="center"/>
          </w:tcPr>
          <w:p w14:paraId="5C5F12FC">
            <w:pPr>
              <w:pStyle w:val="26"/>
            </w:pPr>
          </w:p>
        </w:tc>
        <w:tc>
          <w:tcPr>
            <w:tcW w:w="709" w:type="dxa"/>
            <w:vAlign w:val="center"/>
          </w:tcPr>
          <w:p w14:paraId="21609D4E">
            <w:pPr>
              <w:pStyle w:val="24"/>
            </w:pPr>
          </w:p>
        </w:tc>
        <w:tc>
          <w:tcPr>
            <w:tcW w:w="850" w:type="dxa"/>
            <w:vAlign w:val="center"/>
          </w:tcPr>
          <w:p w14:paraId="4DC6A426">
            <w:pPr>
              <w:pStyle w:val="25"/>
            </w:pPr>
          </w:p>
        </w:tc>
        <w:tc>
          <w:tcPr>
            <w:tcW w:w="850" w:type="dxa"/>
            <w:vAlign w:val="center"/>
          </w:tcPr>
          <w:p w14:paraId="507300BE">
            <w:pPr>
              <w:pStyle w:val="25"/>
            </w:pPr>
          </w:p>
        </w:tc>
        <w:tc>
          <w:tcPr>
            <w:tcW w:w="964" w:type="dxa"/>
            <w:vAlign w:val="center"/>
          </w:tcPr>
          <w:p w14:paraId="6B257569">
            <w:pPr>
              <w:pStyle w:val="25"/>
              <w:rPr>
                <w:rFonts w:hint="default"/>
                <w:lang w:val="en-US"/>
              </w:rPr>
            </w:pPr>
            <w:r>
              <w:rPr>
                <w:rFonts w:hint="eastAsia"/>
                <w:lang w:val="en-US" w:eastAsia="zh-CN"/>
              </w:rPr>
              <w:t>0</w:t>
            </w:r>
          </w:p>
        </w:tc>
        <w:tc>
          <w:tcPr>
            <w:tcW w:w="964" w:type="dxa"/>
            <w:vAlign w:val="center"/>
          </w:tcPr>
          <w:p w14:paraId="4BB1C39B">
            <w:pPr>
              <w:pStyle w:val="25"/>
              <w:rPr>
                <w:rFonts w:hint="eastAsia" w:eastAsia="方正书宋_GBK"/>
                <w:lang w:val="en-US" w:eastAsia="zh-CN"/>
              </w:rPr>
            </w:pPr>
            <w:r>
              <w:rPr>
                <w:rFonts w:hint="eastAsia"/>
                <w:lang w:val="en-US" w:eastAsia="zh-CN"/>
              </w:rPr>
              <w:t>0</w:t>
            </w:r>
          </w:p>
        </w:tc>
        <w:tc>
          <w:tcPr>
            <w:tcW w:w="964" w:type="dxa"/>
            <w:vAlign w:val="center"/>
          </w:tcPr>
          <w:p w14:paraId="79EA28B6">
            <w:pPr>
              <w:pStyle w:val="25"/>
            </w:pPr>
          </w:p>
        </w:tc>
        <w:tc>
          <w:tcPr>
            <w:tcW w:w="964" w:type="dxa"/>
            <w:vAlign w:val="center"/>
          </w:tcPr>
          <w:p w14:paraId="7BA6FD5A">
            <w:pPr>
              <w:pStyle w:val="25"/>
            </w:pPr>
          </w:p>
        </w:tc>
        <w:tc>
          <w:tcPr>
            <w:tcW w:w="964" w:type="dxa"/>
            <w:vAlign w:val="center"/>
          </w:tcPr>
          <w:p w14:paraId="0CDC30F8">
            <w:pPr>
              <w:pStyle w:val="25"/>
            </w:pPr>
          </w:p>
        </w:tc>
        <w:tc>
          <w:tcPr>
            <w:tcW w:w="964" w:type="dxa"/>
            <w:vAlign w:val="center"/>
          </w:tcPr>
          <w:p w14:paraId="144B967A">
            <w:pPr>
              <w:pStyle w:val="25"/>
            </w:pPr>
          </w:p>
        </w:tc>
        <w:tc>
          <w:tcPr>
            <w:tcW w:w="964" w:type="dxa"/>
            <w:vAlign w:val="center"/>
          </w:tcPr>
          <w:p w14:paraId="1EA58587">
            <w:pPr>
              <w:pStyle w:val="25"/>
            </w:pPr>
          </w:p>
        </w:tc>
        <w:tc>
          <w:tcPr>
            <w:tcW w:w="964" w:type="dxa"/>
            <w:vAlign w:val="center"/>
          </w:tcPr>
          <w:p w14:paraId="58457E6A">
            <w:pPr>
              <w:pStyle w:val="25"/>
            </w:pPr>
            <w:r>
              <w:rPr>
                <w:rFonts w:hint="eastAsia"/>
                <w:lang w:eastAsia="zh-CN"/>
              </w:rPr>
              <w:t>0</w:t>
            </w:r>
          </w:p>
        </w:tc>
      </w:tr>
      <w:tr w14:paraId="20E96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DE8B59">
            <w:pPr>
              <w:pStyle w:val="24"/>
            </w:pPr>
            <w:r>
              <w:t>唐山市丰南区</w:t>
            </w:r>
            <w:r>
              <w:rPr>
                <w:rFonts w:hint="eastAsia"/>
                <w:lang w:eastAsia="zh-CN"/>
              </w:rPr>
              <w:t>全称</w:t>
            </w:r>
            <w:r>
              <w:t>本级小计</w:t>
            </w:r>
          </w:p>
        </w:tc>
        <w:tc>
          <w:tcPr>
            <w:tcW w:w="964" w:type="dxa"/>
            <w:vAlign w:val="center"/>
          </w:tcPr>
          <w:p w14:paraId="624462A1">
            <w:pPr>
              <w:pStyle w:val="25"/>
            </w:pPr>
          </w:p>
        </w:tc>
        <w:tc>
          <w:tcPr>
            <w:tcW w:w="1134" w:type="dxa"/>
            <w:vAlign w:val="center"/>
          </w:tcPr>
          <w:p w14:paraId="611BBFED">
            <w:pPr>
              <w:pStyle w:val="26"/>
            </w:pPr>
          </w:p>
        </w:tc>
        <w:tc>
          <w:tcPr>
            <w:tcW w:w="1134" w:type="dxa"/>
            <w:vAlign w:val="center"/>
          </w:tcPr>
          <w:p w14:paraId="4DFE000E">
            <w:pPr>
              <w:pStyle w:val="26"/>
            </w:pPr>
          </w:p>
        </w:tc>
        <w:tc>
          <w:tcPr>
            <w:tcW w:w="709" w:type="dxa"/>
            <w:vAlign w:val="center"/>
          </w:tcPr>
          <w:p w14:paraId="33487588">
            <w:pPr>
              <w:pStyle w:val="24"/>
            </w:pPr>
          </w:p>
        </w:tc>
        <w:tc>
          <w:tcPr>
            <w:tcW w:w="850" w:type="dxa"/>
            <w:vAlign w:val="center"/>
          </w:tcPr>
          <w:p w14:paraId="24AFC888">
            <w:pPr>
              <w:pStyle w:val="25"/>
            </w:pPr>
          </w:p>
        </w:tc>
        <w:tc>
          <w:tcPr>
            <w:tcW w:w="850" w:type="dxa"/>
            <w:vAlign w:val="center"/>
          </w:tcPr>
          <w:p w14:paraId="37CF3F37">
            <w:pPr>
              <w:pStyle w:val="25"/>
            </w:pPr>
          </w:p>
        </w:tc>
        <w:tc>
          <w:tcPr>
            <w:tcW w:w="964" w:type="dxa"/>
            <w:vAlign w:val="center"/>
          </w:tcPr>
          <w:p w14:paraId="428D7F67">
            <w:pPr>
              <w:pStyle w:val="25"/>
              <w:rPr>
                <w:rFonts w:hint="default"/>
                <w:lang w:val="en-US"/>
              </w:rPr>
            </w:pPr>
            <w:r>
              <w:rPr>
                <w:rFonts w:hint="eastAsia"/>
                <w:lang w:val="en-US" w:eastAsia="zh-CN"/>
              </w:rPr>
              <w:t>0</w:t>
            </w:r>
          </w:p>
        </w:tc>
        <w:tc>
          <w:tcPr>
            <w:tcW w:w="964" w:type="dxa"/>
            <w:vAlign w:val="center"/>
          </w:tcPr>
          <w:p w14:paraId="51B33274">
            <w:pPr>
              <w:pStyle w:val="25"/>
              <w:rPr>
                <w:rFonts w:hint="eastAsia" w:eastAsia="方正书宋_GBK"/>
                <w:lang w:val="en-US" w:eastAsia="zh-CN"/>
              </w:rPr>
            </w:pPr>
            <w:r>
              <w:rPr>
                <w:rFonts w:hint="eastAsia"/>
                <w:lang w:val="en-US" w:eastAsia="zh-CN"/>
              </w:rPr>
              <w:t>0</w:t>
            </w:r>
          </w:p>
        </w:tc>
        <w:tc>
          <w:tcPr>
            <w:tcW w:w="964" w:type="dxa"/>
            <w:vAlign w:val="center"/>
          </w:tcPr>
          <w:p w14:paraId="21E6CE51">
            <w:pPr>
              <w:pStyle w:val="25"/>
            </w:pPr>
          </w:p>
        </w:tc>
        <w:tc>
          <w:tcPr>
            <w:tcW w:w="964" w:type="dxa"/>
            <w:vAlign w:val="center"/>
          </w:tcPr>
          <w:p w14:paraId="5C6C655F">
            <w:pPr>
              <w:pStyle w:val="25"/>
            </w:pPr>
          </w:p>
        </w:tc>
        <w:tc>
          <w:tcPr>
            <w:tcW w:w="964" w:type="dxa"/>
            <w:vAlign w:val="center"/>
          </w:tcPr>
          <w:p w14:paraId="566C4412">
            <w:pPr>
              <w:pStyle w:val="25"/>
            </w:pPr>
          </w:p>
        </w:tc>
        <w:tc>
          <w:tcPr>
            <w:tcW w:w="964" w:type="dxa"/>
            <w:vAlign w:val="center"/>
          </w:tcPr>
          <w:p w14:paraId="2DB95072">
            <w:pPr>
              <w:pStyle w:val="25"/>
            </w:pPr>
          </w:p>
        </w:tc>
        <w:tc>
          <w:tcPr>
            <w:tcW w:w="964" w:type="dxa"/>
            <w:vAlign w:val="center"/>
          </w:tcPr>
          <w:p w14:paraId="12C669F3">
            <w:pPr>
              <w:pStyle w:val="25"/>
            </w:pPr>
          </w:p>
        </w:tc>
        <w:tc>
          <w:tcPr>
            <w:tcW w:w="964" w:type="dxa"/>
            <w:vAlign w:val="center"/>
          </w:tcPr>
          <w:p w14:paraId="68A88EDF">
            <w:pPr>
              <w:pStyle w:val="25"/>
              <w:rPr>
                <w:rFonts w:hint="default"/>
                <w:lang w:val="en-US"/>
              </w:rPr>
            </w:pPr>
            <w:r>
              <w:rPr>
                <w:rFonts w:hint="default"/>
                <w:lang w:val="en-US"/>
              </w:rPr>
              <w:t>0</w:t>
            </w:r>
          </w:p>
        </w:tc>
      </w:tr>
    </w:tbl>
    <w:p w14:paraId="3519149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A33B69">
      <w:pPr>
        <w:ind w:firstLine="420"/>
      </w:pPr>
      <w:r>
        <w:rPr>
          <w:rFonts w:ascii="方正书宋_GBK" w:hAnsi="方正书宋_GBK" w:eastAsia="方正书宋_GBK" w:cs="方正书宋_GBK"/>
          <w:color w:val="000000"/>
          <w:sz w:val="21"/>
        </w:rPr>
        <w:t>注：无政府采购预算，空表列示。</w:t>
      </w:r>
    </w:p>
    <w:p w14:paraId="56A07CF4">
      <w:pPr>
        <w:ind w:firstLine="640"/>
      </w:pPr>
      <w:r>
        <w:rPr>
          <w:rFonts w:eastAsia="方正仿宋_GBK"/>
          <w:color w:val="000000"/>
          <w:sz w:val="32"/>
        </w:rPr>
        <w:t xml:space="preserve"> </w:t>
      </w:r>
    </w:p>
    <w:p w14:paraId="25A5A64C">
      <w:pPr>
        <w:spacing w:before="10" w:after="10"/>
        <w:ind w:firstLine="640"/>
        <w:outlineLvl w:val="2"/>
      </w:pPr>
      <w:bookmarkStart w:id="7" w:name="_Toc_3_3_0000000018"/>
      <w:r>
        <w:rPr>
          <w:rFonts w:ascii="黑体" w:hAnsi="黑体" w:eastAsia="黑体" w:cs="黑体"/>
          <w:color w:val="000000"/>
          <w:sz w:val="32"/>
        </w:rPr>
        <w:t>七、国有资产信息</w:t>
      </w:r>
      <w:bookmarkEnd w:id="7"/>
    </w:p>
    <w:p w14:paraId="2413FD9D">
      <w:pPr>
        <w:spacing w:line="500" w:lineRule="exact"/>
        <w:ind w:firstLine="560"/>
      </w:pPr>
      <w:r>
        <w:rPr>
          <w:rFonts w:eastAsia="方正仿宋_GBK"/>
          <w:color w:val="000000"/>
          <w:sz w:val="28"/>
        </w:rPr>
        <w:t>唐山市</w:t>
      </w:r>
      <w:r>
        <w:rPr>
          <w:rFonts w:hint="eastAsia" w:eastAsia="方正仿宋_GBK"/>
          <w:color w:val="000000"/>
          <w:sz w:val="28"/>
          <w:lang w:val="en-US" w:eastAsia="zh-CN"/>
        </w:rPr>
        <w:t>规划局丰南分局</w:t>
      </w:r>
      <w:r>
        <w:rPr>
          <w:rFonts w:eastAsia="方正仿宋_GBK"/>
          <w:color w:val="000000"/>
          <w:sz w:val="28"/>
        </w:rPr>
        <w:t>上年末固定资产金额为</w:t>
      </w:r>
      <w:r>
        <w:rPr>
          <w:rFonts w:hint="eastAsia" w:eastAsia="方正仿宋_GBK"/>
          <w:color w:val="000000"/>
          <w:sz w:val="28"/>
          <w:lang w:val="en-US" w:eastAsia="zh-CN"/>
        </w:rPr>
        <w:t>75.17</w:t>
      </w:r>
      <w:r>
        <w:rPr>
          <w:rFonts w:eastAsia="方正仿宋_GBK"/>
          <w:color w:val="000000"/>
          <w:sz w:val="28"/>
        </w:rPr>
        <w:t>万元（详见下表）。本年度拟购置固定资产总额为</w:t>
      </w:r>
      <w:r>
        <w:rPr>
          <w:rFonts w:hint="eastAsia" w:eastAsia="方正仿宋_GBK"/>
          <w:color w:val="000000"/>
          <w:sz w:val="28"/>
          <w:lang w:val="en-US" w:eastAsia="zh-CN"/>
        </w:rPr>
        <w:t>5</w:t>
      </w:r>
      <w:r>
        <w:rPr>
          <w:rFonts w:eastAsia="方正仿宋_GBK"/>
          <w:color w:val="000000"/>
          <w:sz w:val="28"/>
        </w:rPr>
        <w:t>万元，已按要求列入政府采购预算，详见政府采购预算表。</w:t>
      </w:r>
    </w:p>
    <w:p w14:paraId="31B3C0BF">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2C69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1CD98F0C">
            <w:pPr>
              <w:pStyle w:val="19"/>
              <w:rPr>
                <w:lang w:eastAsia="zh-CN"/>
              </w:rPr>
            </w:pPr>
            <w:r>
              <w:rPr>
                <w:rFonts w:ascii="方正小标宋_GBK" w:eastAsia="方正小标宋_GBK"/>
                <w:sz w:val="24"/>
              </w:rPr>
              <w:t>440</w:t>
            </w:r>
            <w:r>
              <w:rPr>
                <w:rFonts w:hint="eastAsia" w:ascii="方正小标宋_GBK" w:eastAsia="方正小标宋_GBK"/>
                <w:sz w:val="24"/>
              </w:rPr>
              <w:t>规划局丰南分局</w:t>
            </w:r>
          </w:p>
        </w:tc>
        <w:tc>
          <w:tcPr>
            <w:tcW w:w="5669" w:type="dxa"/>
            <w:gridSpan w:val="2"/>
            <w:tcBorders>
              <w:top w:val="single" w:color="FFFFFF" w:sz="6" w:space="0"/>
              <w:left w:val="single" w:color="FFFFFF" w:sz="6" w:space="0"/>
              <w:right w:val="single" w:color="FFFFFF" w:sz="6" w:space="0"/>
            </w:tcBorders>
            <w:vAlign w:val="center"/>
          </w:tcPr>
          <w:p w14:paraId="4B857ED9">
            <w:pPr>
              <w:pStyle w:val="17"/>
            </w:pPr>
            <w:r>
              <w:t>截止时间：</w:t>
            </w:r>
            <w:r>
              <w:rPr>
                <w:rFonts w:hint="eastAsia"/>
                <w:lang w:val="en-US" w:eastAsia="zh-CN"/>
              </w:rPr>
              <w:t>2017</w:t>
            </w:r>
            <w:r>
              <w:t>-12-31</w:t>
            </w:r>
          </w:p>
        </w:tc>
      </w:tr>
      <w:tr w14:paraId="4F2D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4BF3877">
            <w:pPr>
              <w:pStyle w:val="20"/>
            </w:pPr>
            <w:r>
              <w:t>项   目</w:t>
            </w:r>
          </w:p>
        </w:tc>
        <w:tc>
          <w:tcPr>
            <w:tcW w:w="2835" w:type="dxa"/>
            <w:vAlign w:val="center"/>
          </w:tcPr>
          <w:p w14:paraId="03D4687F">
            <w:pPr>
              <w:pStyle w:val="20"/>
            </w:pPr>
            <w:r>
              <w:t>数量</w:t>
            </w:r>
          </w:p>
        </w:tc>
        <w:tc>
          <w:tcPr>
            <w:tcW w:w="2835" w:type="dxa"/>
            <w:vAlign w:val="center"/>
          </w:tcPr>
          <w:p w14:paraId="6BA6F49B">
            <w:pPr>
              <w:pStyle w:val="20"/>
            </w:pPr>
            <w:r>
              <w:t>价值（金额单位：万元）</w:t>
            </w:r>
          </w:p>
        </w:tc>
      </w:tr>
      <w:tr w14:paraId="690B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9BF33E">
            <w:pPr>
              <w:pStyle w:val="22"/>
            </w:pPr>
            <w:r>
              <w:t>资产总额</w:t>
            </w:r>
          </w:p>
        </w:tc>
        <w:tc>
          <w:tcPr>
            <w:tcW w:w="2835" w:type="dxa"/>
            <w:vAlign w:val="center"/>
          </w:tcPr>
          <w:p w14:paraId="5663AA25">
            <w:pPr>
              <w:pStyle w:val="23"/>
            </w:pPr>
          </w:p>
        </w:tc>
        <w:tc>
          <w:tcPr>
            <w:tcW w:w="2835" w:type="dxa"/>
            <w:vAlign w:val="center"/>
          </w:tcPr>
          <w:p w14:paraId="67E71704">
            <w:pPr>
              <w:pStyle w:val="21"/>
              <w:rPr>
                <w:rFonts w:hint="default" w:eastAsia="方正书宋_GBK"/>
                <w:lang w:val="en-US" w:eastAsia="zh-CN"/>
              </w:rPr>
            </w:pPr>
            <w:r>
              <w:rPr>
                <w:rFonts w:hint="eastAsia"/>
                <w:lang w:val="en-US" w:eastAsia="zh-CN"/>
              </w:rPr>
              <w:t>70.12</w:t>
            </w:r>
          </w:p>
        </w:tc>
      </w:tr>
      <w:tr w14:paraId="79D5E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39BC89">
            <w:pPr>
              <w:pStyle w:val="22"/>
            </w:pPr>
            <w:r>
              <w:t>1、房屋（平方米）</w:t>
            </w:r>
          </w:p>
        </w:tc>
        <w:tc>
          <w:tcPr>
            <w:tcW w:w="2835" w:type="dxa"/>
            <w:vAlign w:val="center"/>
          </w:tcPr>
          <w:p w14:paraId="770734DA">
            <w:pPr>
              <w:pStyle w:val="23"/>
            </w:pPr>
          </w:p>
        </w:tc>
        <w:tc>
          <w:tcPr>
            <w:tcW w:w="2835" w:type="dxa"/>
            <w:vAlign w:val="center"/>
          </w:tcPr>
          <w:p w14:paraId="475BC2FD">
            <w:pPr>
              <w:pStyle w:val="21"/>
            </w:pPr>
          </w:p>
        </w:tc>
      </w:tr>
      <w:tr w14:paraId="2D34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A18BF3">
            <w:pPr>
              <w:pStyle w:val="22"/>
            </w:pPr>
            <w:r>
              <w:t>　　其中：办公用房（平方米）</w:t>
            </w:r>
          </w:p>
        </w:tc>
        <w:tc>
          <w:tcPr>
            <w:tcW w:w="2835" w:type="dxa"/>
            <w:vAlign w:val="center"/>
          </w:tcPr>
          <w:p w14:paraId="58BED8A1">
            <w:pPr>
              <w:pStyle w:val="23"/>
            </w:pPr>
          </w:p>
        </w:tc>
        <w:tc>
          <w:tcPr>
            <w:tcW w:w="2835" w:type="dxa"/>
            <w:vAlign w:val="center"/>
          </w:tcPr>
          <w:p w14:paraId="7DE8A209">
            <w:pPr>
              <w:pStyle w:val="21"/>
            </w:pPr>
          </w:p>
        </w:tc>
      </w:tr>
      <w:tr w14:paraId="5D61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B75EF6">
            <w:pPr>
              <w:pStyle w:val="22"/>
            </w:pPr>
            <w:r>
              <w:t>2、车辆（台、辆）</w:t>
            </w:r>
          </w:p>
        </w:tc>
        <w:tc>
          <w:tcPr>
            <w:tcW w:w="2835" w:type="dxa"/>
            <w:vAlign w:val="center"/>
          </w:tcPr>
          <w:p w14:paraId="11FCBE94">
            <w:pPr>
              <w:pStyle w:val="23"/>
              <w:rPr>
                <w:rFonts w:hint="eastAsia" w:eastAsia="方正书宋_GBK"/>
                <w:lang w:eastAsia="zh-CN"/>
              </w:rPr>
            </w:pPr>
            <w:r>
              <w:rPr>
                <w:rFonts w:hint="eastAsia"/>
                <w:lang w:val="en-US" w:eastAsia="zh-CN"/>
              </w:rPr>
              <w:t>1</w:t>
            </w:r>
          </w:p>
        </w:tc>
        <w:tc>
          <w:tcPr>
            <w:tcW w:w="2835" w:type="dxa"/>
            <w:vAlign w:val="center"/>
          </w:tcPr>
          <w:p w14:paraId="27695A2A">
            <w:pPr>
              <w:pStyle w:val="21"/>
              <w:rPr>
                <w:rFonts w:hint="default" w:eastAsia="方正书宋_GBK"/>
                <w:lang w:val="en-US" w:eastAsia="zh-CN"/>
              </w:rPr>
            </w:pPr>
            <w:r>
              <w:rPr>
                <w:rFonts w:hint="eastAsia"/>
                <w:lang w:val="en-US" w:eastAsia="zh-CN"/>
              </w:rPr>
              <w:t>20</w:t>
            </w:r>
          </w:p>
        </w:tc>
      </w:tr>
      <w:tr w14:paraId="29B8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EF88FD">
            <w:pPr>
              <w:pStyle w:val="22"/>
            </w:pPr>
            <w:r>
              <w:t>3、单价在20万元以上的设备</w:t>
            </w:r>
          </w:p>
        </w:tc>
        <w:tc>
          <w:tcPr>
            <w:tcW w:w="2835" w:type="dxa"/>
            <w:vAlign w:val="center"/>
          </w:tcPr>
          <w:p w14:paraId="77FB664C">
            <w:pPr>
              <w:pStyle w:val="23"/>
            </w:pPr>
          </w:p>
        </w:tc>
        <w:tc>
          <w:tcPr>
            <w:tcW w:w="2835" w:type="dxa"/>
            <w:vAlign w:val="center"/>
          </w:tcPr>
          <w:p w14:paraId="47402EC1">
            <w:pPr>
              <w:pStyle w:val="21"/>
            </w:pPr>
          </w:p>
        </w:tc>
      </w:tr>
      <w:tr w14:paraId="4CAA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72A8F1">
            <w:pPr>
              <w:pStyle w:val="22"/>
            </w:pPr>
            <w:r>
              <w:t>4、其他固定资产</w:t>
            </w:r>
          </w:p>
        </w:tc>
        <w:tc>
          <w:tcPr>
            <w:tcW w:w="2835" w:type="dxa"/>
            <w:vAlign w:val="center"/>
          </w:tcPr>
          <w:p w14:paraId="47159EB6">
            <w:pPr>
              <w:pStyle w:val="23"/>
              <w:rPr>
                <w:rFonts w:hint="eastAsia" w:eastAsia="方正书宋_GBK"/>
                <w:lang w:eastAsia="zh-CN"/>
              </w:rPr>
            </w:pPr>
            <w:r>
              <w:rPr>
                <w:rFonts w:hint="eastAsia"/>
                <w:lang w:val="en-US" w:eastAsia="zh-CN"/>
              </w:rPr>
              <w:t>-</w:t>
            </w:r>
          </w:p>
        </w:tc>
        <w:tc>
          <w:tcPr>
            <w:tcW w:w="2835" w:type="dxa"/>
            <w:vAlign w:val="center"/>
          </w:tcPr>
          <w:p w14:paraId="7376A348">
            <w:pPr>
              <w:pStyle w:val="21"/>
              <w:rPr>
                <w:rFonts w:hint="default" w:eastAsia="方正书宋_GBK"/>
                <w:lang w:val="en-US" w:eastAsia="zh-CN"/>
              </w:rPr>
            </w:pPr>
            <w:r>
              <w:rPr>
                <w:rFonts w:hint="eastAsia"/>
                <w:lang w:val="en-US" w:eastAsia="zh-CN"/>
              </w:rPr>
              <w:t>50.12</w:t>
            </w:r>
          </w:p>
        </w:tc>
      </w:tr>
    </w:tbl>
    <w:p w14:paraId="3A9A4064">
      <w:pPr>
        <w:ind w:firstLine="640"/>
      </w:pPr>
      <w:r>
        <w:rPr>
          <w:rFonts w:eastAsia="方正仿宋_GBK"/>
          <w:color w:val="000000"/>
          <w:sz w:val="32"/>
        </w:rPr>
        <w:t xml:space="preserve"> </w:t>
      </w:r>
    </w:p>
    <w:p w14:paraId="0072F29F">
      <w:pPr>
        <w:spacing w:before="10" w:after="10"/>
        <w:ind w:firstLine="640"/>
        <w:outlineLvl w:val="2"/>
      </w:pPr>
      <w:bookmarkStart w:id="8" w:name="_Toc_3_3_0000000019"/>
      <w:r>
        <w:rPr>
          <w:rFonts w:ascii="黑体" w:hAnsi="黑体" w:eastAsia="黑体" w:cs="黑体"/>
          <w:color w:val="000000"/>
          <w:sz w:val="32"/>
        </w:rPr>
        <w:t>八、名词解释</w:t>
      </w:r>
      <w:bookmarkEnd w:id="8"/>
    </w:p>
    <w:p w14:paraId="74EAB35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0571FC6">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BD868B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FEDB5F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6D3C6E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3E6FA8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C43FCD4">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0FFCC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E4BA26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1D0F9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183C67">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14:paraId="02051082">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roman"/>
    <w:pitch w:val="default"/>
    <w:sig w:usb0="A00002BF" w:usb1="38CF7CFA" w:usb2="00082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F0EE">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B004A">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8AAE6"/>
    <w:multiLevelType w:val="singleLevel"/>
    <w:tmpl w:val="F538AA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ZmE5MDZhNTJhZjhhNWU2MDJkODVjOWZmNDY5MGEifQ=="/>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41847A3"/>
    <w:rsid w:val="078D1C71"/>
    <w:rsid w:val="12C2557C"/>
    <w:rsid w:val="17936E30"/>
    <w:rsid w:val="17EA0A1A"/>
    <w:rsid w:val="23722A14"/>
    <w:rsid w:val="2D9C39D4"/>
    <w:rsid w:val="3C3739C2"/>
    <w:rsid w:val="49155047"/>
    <w:rsid w:val="6C1F16A5"/>
    <w:rsid w:val="70354A62"/>
    <w:rsid w:val="7C0711F7"/>
    <w:rsid w:val="7CCB6AD1"/>
    <w:rsid w:val="7FCA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uiPriority w:val="0"/>
    <w:pPr>
      <w:tabs>
        <w:tab w:val="center" w:pos="4153"/>
        <w:tab w:val="right" w:pos="8306"/>
      </w:tabs>
      <w:snapToGrid w:val="0"/>
    </w:pPr>
    <w:rPr>
      <w:sz w:val="18"/>
      <w:szCs w:val="18"/>
    </w:rPr>
  </w:style>
  <w:style w:type="paragraph" w:styleId="8">
    <w:name w:val="header"/>
    <w:basedOn w:val="1"/>
    <w:link w:val="35"/>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table" w:styleId="13">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2390BA-D9ED-4209-B823-78702ED00FD9}">
  <ds:schemaRefs/>
</ds:datastoreItem>
</file>

<file path=customXml/itemProps10.xml><?xml version="1.0" encoding="utf-8"?>
<ds:datastoreItem xmlns:ds="http://schemas.openxmlformats.org/officeDocument/2006/customXml" ds:itemID="{9BA4627D-51E2-414D-BAD3-6FA7A394E770}">
  <ds:schemaRefs/>
</ds:datastoreItem>
</file>

<file path=customXml/itemProps11.xml><?xml version="1.0" encoding="utf-8"?>
<ds:datastoreItem xmlns:ds="http://schemas.openxmlformats.org/officeDocument/2006/customXml" ds:itemID="{590DCAF1-D4C8-4C79-9E84-3D6D21FCA2DF}">
  <ds:schemaRefs/>
</ds:datastoreItem>
</file>

<file path=customXml/itemProps12.xml><?xml version="1.0" encoding="utf-8"?>
<ds:datastoreItem xmlns:ds="http://schemas.openxmlformats.org/officeDocument/2006/customXml" ds:itemID="{71BA1E49-5683-4584-B508-59F594FA0C8F}">
  <ds:schemaRefs/>
</ds:datastoreItem>
</file>

<file path=customXml/itemProps13.xml><?xml version="1.0" encoding="utf-8"?>
<ds:datastoreItem xmlns:ds="http://schemas.openxmlformats.org/officeDocument/2006/customXml" ds:itemID="{7DFE330B-1A60-4E85-8AB8-8E4F9E0355E8}">
  <ds:schemaRefs/>
</ds:datastoreItem>
</file>

<file path=customXml/itemProps14.xml><?xml version="1.0" encoding="utf-8"?>
<ds:datastoreItem xmlns:ds="http://schemas.openxmlformats.org/officeDocument/2006/customXml" ds:itemID="{78E5979C-97E7-47D5-AEA1-CDD50C40EA94}">
  <ds:schemaRefs/>
</ds:datastoreItem>
</file>

<file path=customXml/itemProps15.xml><?xml version="1.0" encoding="utf-8"?>
<ds:datastoreItem xmlns:ds="http://schemas.openxmlformats.org/officeDocument/2006/customXml" ds:itemID="{7F00D4D5-0020-496D-B59A-407FFB73482C}">
  <ds:schemaRefs/>
</ds:datastoreItem>
</file>

<file path=customXml/itemProps16.xml><?xml version="1.0" encoding="utf-8"?>
<ds:datastoreItem xmlns:ds="http://schemas.openxmlformats.org/officeDocument/2006/customXml" ds:itemID="{1D749E7D-BFD6-40F9-9DEC-CECC0DB51434}">
  <ds:schemaRefs/>
</ds:datastoreItem>
</file>

<file path=customXml/itemProps17.xml><?xml version="1.0" encoding="utf-8"?>
<ds:datastoreItem xmlns:ds="http://schemas.openxmlformats.org/officeDocument/2006/customXml" ds:itemID="{81DA4214-09F5-421A-A4A5-59DE7E3A667B}">
  <ds:schemaRefs/>
</ds:datastoreItem>
</file>

<file path=customXml/itemProps18.xml><?xml version="1.0" encoding="utf-8"?>
<ds:datastoreItem xmlns:ds="http://schemas.openxmlformats.org/officeDocument/2006/customXml" ds:itemID="{A7A8A8C2-3ADD-439A-A4A3-9D4D936376F6}">
  <ds:schemaRefs/>
</ds:datastoreItem>
</file>

<file path=customXml/itemProps19.xml><?xml version="1.0" encoding="utf-8"?>
<ds:datastoreItem xmlns:ds="http://schemas.openxmlformats.org/officeDocument/2006/customXml" ds:itemID="{F9FF386D-A4B0-47CD-B297-404825FA2112}">
  <ds:schemaRefs/>
</ds:datastoreItem>
</file>

<file path=customXml/itemProps2.xml><?xml version="1.0" encoding="utf-8"?>
<ds:datastoreItem xmlns:ds="http://schemas.openxmlformats.org/officeDocument/2006/customXml" ds:itemID="{404EA866-08CA-4D86-B2E5-CCA192ED2CDC}">
  <ds:schemaRefs/>
</ds:datastoreItem>
</file>

<file path=customXml/itemProps20.xml><?xml version="1.0" encoding="utf-8"?>
<ds:datastoreItem xmlns:ds="http://schemas.openxmlformats.org/officeDocument/2006/customXml" ds:itemID="{A71FD7F5-5F4B-4135-9681-FF39299F7340}">
  <ds:schemaRefs/>
</ds:datastoreItem>
</file>

<file path=customXml/itemProps21.xml><?xml version="1.0" encoding="utf-8"?>
<ds:datastoreItem xmlns:ds="http://schemas.openxmlformats.org/officeDocument/2006/customXml" ds:itemID="{61205465-A135-41B9-9E3B-2CB107CB49D0}">
  <ds:schemaRefs/>
</ds:datastoreItem>
</file>

<file path=customXml/itemProps22.xml><?xml version="1.0" encoding="utf-8"?>
<ds:datastoreItem xmlns:ds="http://schemas.openxmlformats.org/officeDocument/2006/customXml" ds:itemID="{D4774865-B743-4B10-8A81-6376B3C056D5}">
  <ds:schemaRefs/>
</ds:datastoreItem>
</file>

<file path=customXml/itemProps3.xml><?xml version="1.0" encoding="utf-8"?>
<ds:datastoreItem xmlns:ds="http://schemas.openxmlformats.org/officeDocument/2006/customXml" ds:itemID="{8576DE6E-C1A6-442A-A85F-68C8D0DB18A9}">
  <ds:schemaRefs/>
</ds:datastoreItem>
</file>

<file path=customXml/itemProps4.xml><?xml version="1.0" encoding="utf-8"?>
<ds:datastoreItem xmlns:ds="http://schemas.openxmlformats.org/officeDocument/2006/customXml" ds:itemID="{BBE63375-195F-4526-8474-764936AD7129}">
  <ds:schemaRefs/>
</ds:datastoreItem>
</file>

<file path=customXml/itemProps5.xml><?xml version="1.0" encoding="utf-8"?>
<ds:datastoreItem xmlns:ds="http://schemas.openxmlformats.org/officeDocument/2006/customXml" ds:itemID="{21089136-BA2F-4D54-89E4-0D9D0064AE77}">
  <ds:schemaRefs/>
</ds:datastoreItem>
</file>

<file path=customXml/itemProps6.xml><?xml version="1.0" encoding="utf-8"?>
<ds:datastoreItem xmlns:ds="http://schemas.openxmlformats.org/officeDocument/2006/customXml" ds:itemID="{20FE05CD-3C79-4E7A-9AD2-5F5B52562D10}">
  <ds:schemaRefs/>
</ds:datastoreItem>
</file>

<file path=customXml/itemProps7.xml><?xml version="1.0" encoding="utf-8"?>
<ds:datastoreItem xmlns:ds="http://schemas.openxmlformats.org/officeDocument/2006/customXml" ds:itemID="{C6EC87E6-5E97-42CF-B7A6-6227396A9F22}">
  <ds:schemaRefs/>
</ds:datastoreItem>
</file>

<file path=customXml/itemProps8.xml><?xml version="1.0" encoding="utf-8"?>
<ds:datastoreItem xmlns:ds="http://schemas.openxmlformats.org/officeDocument/2006/customXml" ds:itemID="{6AAC531E-5310-43E4-8F09-A6BF4FDB056F}">
  <ds:schemaRefs/>
</ds:datastoreItem>
</file>

<file path=customXml/itemProps9.xml><?xml version="1.0" encoding="utf-8"?>
<ds:datastoreItem xmlns:ds="http://schemas.openxmlformats.org/officeDocument/2006/customXml" ds:itemID="{F10AFA5F-8285-4C84-8AD7-40EEEDDA18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4185</Words>
  <Characters>4439</Characters>
  <Lines>41</Lines>
  <Paragraphs>11</Paragraphs>
  <TotalTime>0</TotalTime>
  <ScaleCrop>false</ScaleCrop>
  <LinksUpToDate>false</LinksUpToDate>
  <CharactersWithSpaces>4508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Lenovo</cp:lastModifiedBy>
  <dcterms:modified xsi:type="dcterms:W3CDTF">2025-03-17T07:44:52Z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240C1F2260BC4A96B72ADA77F51ED2F7_13</vt:lpwstr>
  </property>
</Properties>
</file>