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847.73</w:t>
            </w:r>
          </w:p>
        </w:tc>
        <w:tc>
          <w:tcPr>
            <w:tcW w:w="4535" w:type="dxa"/>
            <w:vAlign w:val="center"/>
          </w:tcPr>
          <w:p>
            <w:pPr>
              <w:pStyle w:val="16"/>
            </w:pPr>
            <w:r>
              <w:t>一、一般公共服务支出</w:t>
            </w:r>
          </w:p>
        </w:tc>
        <w:tc>
          <w:tcPr>
            <w:tcW w:w="2126" w:type="dxa"/>
            <w:vAlign w:val="center"/>
          </w:tcPr>
          <w:p>
            <w:pPr>
              <w:pStyle w:val="15"/>
            </w:pPr>
            <w:r>
              <w:t>644.02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847.73</w:t>
            </w:r>
          </w:p>
        </w:tc>
        <w:tc>
          <w:tcPr>
            <w:tcW w:w="4535" w:type="dxa"/>
            <w:vAlign w:val="center"/>
          </w:tcPr>
          <w:p>
            <w:pPr>
              <w:pStyle w:val="18"/>
            </w:pPr>
            <w:r>
              <w:t>本年支出合计</w:t>
            </w:r>
          </w:p>
        </w:tc>
        <w:tc>
          <w:tcPr>
            <w:tcW w:w="2126" w:type="dxa"/>
            <w:vAlign w:val="center"/>
          </w:tcPr>
          <w:p>
            <w:pPr>
              <w:pStyle w:val="19"/>
            </w:pPr>
            <w:r>
              <w:t>847.73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847.73</w:t>
            </w:r>
          </w:p>
        </w:tc>
        <w:tc>
          <w:tcPr>
            <w:tcW w:w="4535" w:type="dxa"/>
            <w:vAlign w:val="center"/>
          </w:tcPr>
          <w:p>
            <w:pPr>
              <w:pStyle w:val="18"/>
            </w:pPr>
            <w:r>
              <w:t>支出总计</w:t>
            </w:r>
          </w:p>
        </w:tc>
        <w:tc>
          <w:tcPr>
            <w:tcW w:w="2126" w:type="dxa"/>
            <w:vAlign w:val="center"/>
          </w:tcPr>
          <w:p>
            <w:pPr>
              <w:pStyle w:val="19"/>
            </w:pPr>
            <w:r>
              <w:t>847.73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847.73</w:t>
            </w:r>
          </w:p>
        </w:tc>
        <w:tc>
          <w:tcPr>
            <w:tcW w:w="1134" w:type="dxa"/>
            <w:vAlign w:val="center"/>
          </w:tcPr>
          <w:p>
            <w:pPr>
              <w:pStyle w:val="19"/>
            </w:pPr>
            <w:r>
              <w:t>847.73</w:t>
            </w:r>
          </w:p>
        </w:tc>
        <w:tc>
          <w:tcPr>
            <w:tcW w:w="1134" w:type="dxa"/>
            <w:vAlign w:val="center"/>
          </w:tcPr>
          <w:p>
            <w:pPr>
              <w:pStyle w:val="19"/>
            </w:pPr>
            <w:r>
              <w:t>847.73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354.92</w:t>
            </w:r>
          </w:p>
        </w:tc>
        <w:tc>
          <w:tcPr>
            <w:tcW w:w="1134" w:type="dxa"/>
            <w:vAlign w:val="center"/>
          </w:tcPr>
          <w:p>
            <w:pPr>
              <w:pStyle w:val="15"/>
            </w:pPr>
            <w:r>
              <w:t>354.92</w:t>
            </w:r>
          </w:p>
        </w:tc>
        <w:tc>
          <w:tcPr>
            <w:tcW w:w="1134" w:type="dxa"/>
            <w:vAlign w:val="center"/>
          </w:tcPr>
          <w:p>
            <w:pPr>
              <w:pStyle w:val="15"/>
            </w:pPr>
            <w:r>
              <w:t>354.92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2010102</w:t>
            </w:r>
          </w:p>
        </w:tc>
        <w:tc>
          <w:tcPr>
            <w:tcW w:w="1559" w:type="dxa"/>
            <w:vAlign w:val="center"/>
          </w:tcPr>
          <w:p>
            <w:pPr>
              <w:pStyle w:val="16"/>
            </w:pPr>
            <w:r>
              <w:t>一般行政管理事务</w:t>
            </w:r>
          </w:p>
        </w:tc>
        <w:tc>
          <w:tcPr>
            <w:tcW w:w="1134" w:type="dxa"/>
            <w:vAlign w:val="center"/>
          </w:tcPr>
          <w:p>
            <w:pPr>
              <w:pStyle w:val="15"/>
            </w:pPr>
            <w:r>
              <w:t>106.00</w:t>
            </w:r>
          </w:p>
        </w:tc>
        <w:tc>
          <w:tcPr>
            <w:tcW w:w="1134" w:type="dxa"/>
            <w:vAlign w:val="center"/>
          </w:tcPr>
          <w:p>
            <w:pPr>
              <w:pStyle w:val="15"/>
            </w:pPr>
            <w:r>
              <w:t>106.00</w:t>
            </w:r>
          </w:p>
        </w:tc>
        <w:tc>
          <w:tcPr>
            <w:tcW w:w="1134" w:type="dxa"/>
            <w:vAlign w:val="center"/>
          </w:tcPr>
          <w:p>
            <w:pPr>
              <w:pStyle w:val="15"/>
            </w:pPr>
            <w:r>
              <w:t>106.00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2010104</w:t>
            </w:r>
          </w:p>
        </w:tc>
        <w:tc>
          <w:tcPr>
            <w:tcW w:w="1559" w:type="dxa"/>
            <w:vAlign w:val="center"/>
          </w:tcPr>
          <w:p>
            <w:pPr>
              <w:pStyle w:val="16"/>
            </w:pPr>
            <w:r>
              <w:t>人大会议</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2010106</w:t>
            </w:r>
          </w:p>
        </w:tc>
        <w:tc>
          <w:tcPr>
            <w:tcW w:w="1559" w:type="dxa"/>
            <w:vAlign w:val="center"/>
          </w:tcPr>
          <w:p>
            <w:pPr>
              <w:pStyle w:val="16"/>
            </w:pPr>
            <w:r>
              <w:t>人大监督</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2010150</w:t>
            </w:r>
          </w:p>
        </w:tc>
        <w:tc>
          <w:tcPr>
            <w:tcW w:w="1559" w:type="dxa"/>
            <w:vAlign w:val="center"/>
          </w:tcPr>
          <w:p>
            <w:pPr>
              <w:pStyle w:val="16"/>
            </w:pPr>
            <w:r>
              <w:t>事业运行</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66.20</w:t>
            </w:r>
          </w:p>
        </w:tc>
        <w:tc>
          <w:tcPr>
            <w:tcW w:w="1134" w:type="dxa"/>
            <w:vAlign w:val="center"/>
          </w:tcPr>
          <w:p>
            <w:pPr>
              <w:pStyle w:val="15"/>
            </w:pPr>
            <w:r>
              <w:t>66.20</w:t>
            </w:r>
          </w:p>
        </w:tc>
        <w:tc>
          <w:tcPr>
            <w:tcW w:w="1134" w:type="dxa"/>
            <w:vAlign w:val="center"/>
          </w:tcPr>
          <w:p>
            <w:pPr>
              <w:pStyle w:val="15"/>
            </w:pPr>
            <w:r>
              <w:t>66.20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50.80</w:t>
            </w:r>
          </w:p>
        </w:tc>
        <w:tc>
          <w:tcPr>
            <w:tcW w:w="1134" w:type="dxa"/>
            <w:vAlign w:val="center"/>
          </w:tcPr>
          <w:p>
            <w:pPr>
              <w:pStyle w:val="15"/>
            </w:pPr>
            <w:r>
              <w:t>50.80</w:t>
            </w:r>
          </w:p>
        </w:tc>
        <w:tc>
          <w:tcPr>
            <w:tcW w:w="1134" w:type="dxa"/>
            <w:vAlign w:val="center"/>
          </w:tcPr>
          <w:p>
            <w:pPr>
              <w:pStyle w:val="15"/>
            </w:pPr>
            <w:r>
              <w:t>50.80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23.02</w:t>
            </w:r>
          </w:p>
        </w:tc>
        <w:tc>
          <w:tcPr>
            <w:tcW w:w="1134" w:type="dxa"/>
            <w:vAlign w:val="center"/>
          </w:tcPr>
          <w:p>
            <w:pPr>
              <w:pStyle w:val="15"/>
            </w:pPr>
            <w:r>
              <w:t>23.02</w:t>
            </w:r>
          </w:p>
        </w:tc>
        <w:tc>
          <w:tcPr>
            <w:tcW w:w="1134" w:type="dxa"/>
            <w:vAlign w:val="center"/>
          </w:tcPr>
          <w:p>
            <w:pPr>
              <w:pStyle w:val="15"/>
            </w:pPr>
            <w:r>
              <w:t>23.02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25.40</w:t>
            </w:r>
          </w:p>
        </w:tc>
        <w:tc>
          <w:tcPr>
            <w:tcW w:w="1134" w:type="dxa"/>
            <w:vAlign w:val="center"/>
          </w:tcPr>
          <w:p>
            <w:pPr>
              <w:pStyle w:val="15"/>
            </w:pPr>
            <w:r>
              <w:t>25.40</w:t>
            </w:r>
          </w:p>
        </w:tc>
        <w:tc>
          <w:tcPr>
            <w:tcW w:w="1134" w:type="dxa"/>
            <w:vAlign w:val="center"/>
          </w:tcPr>
          <w:p>
            <w:pPr>
              <w:pStyle w:val="15"/>
            </w:pPr>
            <w:r>
              <w:t>25.40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847.73</w:t>
            </w:r>
          </w:p>
        </w:tc>
        <w:tc>
          <w:tcPr>
            <w:tcW w:w="1361" w:type="dxa"/>
            <w:vAlign w:val="center"/>
          </w:tcPr>
          <w:p>
            <w:pPr>
              <w:pStyle w:val="19"/>
            </w:pPr>
            <w:r>
              <w:t>636.73</w:t>
            </w:r>
          </w:p>
        </w:tc>
        <w:tc>
          <w:tcPr>
            <w:tcW w:w="1361" w:type="dxa"/>
            <w:vAlign w:val="center"/>
          </w:tcPr>
          <w:p>
            <w:pPr>
              <w:pStyle w:val="19"/>
            </w:pPr>
            <w:r>
              <w:t>211.00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644.02</w:t>
            </w:r>
          </w:p>
        </w:tc>
        <w:tc>
          <w:tcPr>
            <w:tcW w:w="1361" w:type="dxa"/>
            <w:vAlign w:val="center"/>
          </w:tcPr>
          <w:p>
            <w:pPr>
              <w:pStyle w:val="15"/>
            </w:pPr>
            <w:r>
              <w:t>433.02</w:t>
            </w:r>
          </w:p>
        </w:tc>
        <w:tc>
          <w:tcPr>
            <w:tcW w:w="1361" w:type="dxa"/>
            <w:vAlign w:val="center"/>
          </w:tcPr>
          <w:p>
            <w:pPr>
              <w:pStyle w:val="15"/>
            </w:pPr>
            <w:r>
              <w:t>211.00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644.02</w:t>
            </w:r>
          </w:p>
        </w:tc>
        <w:tc>
          <w:tcPr>
            <w:tcW w:w="1361" w:type="dxa"/>
            <w:vAlign w:val="center"/>
          </w:tcPr>
          <w:p>
            <w:pPr>
              <w:pStyle w:val="15"/>
            </w:pPr>
            <w:r>
              <w:t>433.02</w:t>
            </w:r>
          </w:p>
        </w:tc>
        <w:tc>
          <w:tcPr>
            <w:tcW w:w="1361" w:type="dxa"/>
            <w:vAlign w:val="center"/>
          </w:tcPr>
          <w:p>
            <w:pPr>
              <w:pStyle w:val="15"/>
            </w:pPr>
            <w:r>
              <w:t>211.00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354.92</w:t>
            </w:r>
          </w:p>
        </w:tc>
        <w:tc>
          <w:tcPr>
            <w:tcW w:w="1361" w:type="dxa"/>
            <w:vAlign w:val="center"/>
          </w:tcPr>
          <w:p>
            <w:pPr>
              <w:pStyle w:val="15"/>
            </w:pPr>
            <w:r>
              <w:t>354.92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2010102</w:t>
            </w:r>
          </w:p>
        </w:tc>
        <w:tc>
          <w:tcPr>
            <w:tcW w:w="4535" w:type="dxa"/>
            <w:vAlign w:val="center"/>
          </w:tcPr>
          <w:p>
            <w:pPr>
              <w:pStyle w:val="16"/>
            </w:pPr>
            <w:r>
              <w:t>一般行政管理事务</w:t>
            </w:r>
          </w:p>
        </w:tc>
        <w:tc>
          <w:tcPr>
            <w:tcW w:w="1361" w:type="dxa"/>
            <w:vAlign w:val="center"/>
          </w:tcPr>
          <w:p>
            <w:pPr>
              <w:pStyle w:val="15"/>
            </w:pPr>
            <w:r>
              <w:t>106.00</w:t>
            </w:r>
          </w:p>
        </w:tc>
        <w:tc>
          <w:tcPr>
            <w:tcW w:w="1361" w:type="dxa"/>
            <w:vAlign w:val="center"/>
          </w:tcPr>
          <w:p>
            <w:pPr>
              <w:pStyle w:val="15"/>
            </w:pPr>
          </w:p>
        </w:tc>
        <w:tc>
          <w:tcPr>
            <w:tcW w:w="1361" w:type="dxa"/>
            <w:vAlign w:val="center"/>
          </w:tcPr>
          <w:p>
            <w:pPr>
              <w:pStyle w:val="15"/>
            </w:pPr>
            <w:r>
              <w:t>106.00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2010104</w:t>
            </w:r>
          </w:p>
        </w:tc>
        <w:tc>
          <w:tcPr>
            <w:tcW w:w="4535" w:type="dxa"/>
            <w:vAlign w:val="center"/>
          </w:tcPr>
          <w:p>
            <w:pPr>
              <w:pStyle w:val="16"/>
            </w:pPr>
            <w:r>
              <w:t>人大会议</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2010106</w:t>
            </w:r>
          </w:p>
        </w:tc>
        <w:tc>
          <w:tcPr>
            <w:tcW w:w="4535" w:type="dxa"/>
            <w:vAlign w:val="center"/>
          </w:tcPr>
          <w:p>
            <w:pPr>
              <w:pStyle w:val="16"/>
            </w:pPr>
            <w:r>
              <w:t>人大监督</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2010150</w:t>
            </w:r>
          </w:p>
        </w:tc>
        <w:tc>
          <w:tcPr>
            <w:tcW w:w="4535" w:type="dxa"/>
            <w:vAlign w:val="center"/>
          </w:tcPr>
          <w:p>
            <w:pPr>
              <w:pStyle w:val="16"/>
            </w:pPr>
            <w:r>
              <w:t>事业运行</w:t>
            </w:r>
          </w:p>
        </w:tc>
        <w:tc>
          <w:tcPr>
            <w:tcW w:w="1361" w:type="dxa"/>
            <w:vAlign w:val="center"/>
          </w:tcPr>
          <w:p>
            <w:pPr>
              <w:pStyle w:val="15"/>
            </w:pPr>
            <w:r>
              <w:t>78.10</w:t>
            </w:r>
          </w:p>
        </w:tc>
        <w:tc>
          <w:tcPr>
            <w:tcW w:w="1361" w:type="dxa"/>
            <w:vAlign w:val="center"/>
          </w:tcPr>
          <w:p>
            <w:pPr>
              <w:pStyle w:val="15"/>
            </w:pPr>
            <w:r>
              <w:t>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117.00</w:t>
            </w:r>
          </w:p>
        </w:tc>
        <w:tc>
          <w:tcPr>
            <w:tcW w:w="1361" w:type="dxa"/>
            <w:vAlign w:val="center"/>
          </w:tcPr>
          <w:p>
            <w:pPr>
              <w:pStyle w:val="15"/>
            </w:pPr>
            <w:r>
              <w:t>117.00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117.00</w:t>
            </w:r>
          </w:p>
        </w:tc>
        <w:tc>
          <w:tcPr>
            <w:tcW w:w="1361" w:type="dxa"/>
            <w:vAlign w:val="center"/>
          </w:tcPr>
          <w:p>
            <w:pPr>
              <w:pStyle w:val="15"/>
            </w:pPr>
            <w:r>
              <w:t>117.00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66.20</w:t>
            </w:r>
          </w:p>
        </w:tc>
        <w:tc>
          <w:tcPr>
            <w:tcW w:w="1361" w:type="dxa"/>
            <w:vAlign w:val="center"/>
          </w:tcPr>
          <w:p>
            <w:pPr>
              <w:pStyle w:val="15"/>
            </w:pPr>
            <w:r>
              <w:t>66.20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50.80</w:t>
            </w:r>
          </w:p>
        </w:tc>
        <w:tc>
          <w:tcPr>
            <w:tcW w:w="1361" w:type="dxa"/>
            <w:vAlign w:val="center"/>
          </w:tcPr>
          <w:p>
            <w:pPr>
              <w:pStyle w:val="15"/>
            </w:pPr>
            <w:r>
              <w:t>50.80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48.42</w:t>
            </w:r>
          </w:p>
        </w:tc>
        <w:tc>
          <w:tcPr>
            <w:tcW w:w="1361" w:type="dxa"/>
            <w:vAlign w:val="center"/>
          </w:tcPr>
          <w:p>
            <w:pPr>
              <w:pStyle w:val="15"/>
            </w:pPr>
            <w:r>
              <w:t>48.42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48.42</w:t>
            </w:r>
          </w:p>
        </w:tc>
        <w:tc>
          <w:tcPr>
            <w:tcW w:w="1361" w:type="dxa"/>
            <w:vAlign w:val="center"/>
          </w:tcPr>
          <w:p>
            <w:pPr>
              <w:pStyle w:val="15"/>
            </w:pPr>
            <w:r>
              <w:t>48.42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23.02</w:t>
            </w:r>
          </w:p>
        </w:tc>
        <w:tc>
          <w:tcPr>
            <w:tcW w:w="1361" w:type="dxa"/>
            <w:vAlign w:val="center"/>
          </w:tcPr>
          <w:p>
            <w:pPr>
              <w:pStyle w:val="15"/>
            </w:pPr>
            <w:r>
              <w:t>23.02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25.40</w:t>
            </w:r>
          </w:p>
        </w:tc>
        <w:tc>
          <w:tcPr>
            <w:tcW w:w="1361" w:type="dxa"/>
            <w:vAlign w:val="center"/>
          </w:tcPr>
          <w:p>
            <w:pPr>
              <w:pStyle w:val="15"/>
            </w:pPr>
            <w:r>
              <w:t>25.40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847.73</w:t>
            </w:r>
          </w:p>
        </w:tc>
        <w:tc>
          <w:tcPr>
            <w:tcW w:w="3402" w:type="dxa"/>
            <w:vAlign w:val="center"/>
          </w:tcPr>
          <w:p>
            <w:pPr>
              <w:pStyle w:val="16"/>
            </w:pPr>
            <w:r>
              <w:t>一、一般公共服务支出</w:t>
            </w:r>
          </w:p>
        </w:tc>
        <w:tc>
          <w:tcPr>
            <w:tcW w:w="1474" w:type="dxa"/>
            <w:vAlign w:val="center"/>
          </w:tcPr>
          <w:p>
            <w:pPr>
              <w:pStyle w:val="15"/>
            </w:pPr>
            <w:r>
              <w:t>644.02</w:t>
            </w:r>
          </w:p>
        </w:tc>
        <w:tc>
          <w:tcPr>
            <w:tcW w:w="1474" w:type="dxa"/>
            <w:vAlign w:val="center"/>
          </w:tcPr>
          <w:p>
            <w:pPr>
              <w:pStyle w:val="15"/>
            </w:pPr>
            <w:r>
              <w:t>644.02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117.00</w:t>
            </w:r>
          </w:p>
        </w:tc>
        <w:tc>
          <w:tcPr>
            <w:tcW w:w="1474" w:type="dxa"/>
            <w:vAlign w:val="center"/>
          </w:tcPr>
          <w:p>
            <w:pPr>
              <w:pStyle w:val="15"/>
            </w:pPr>
            <w:r>
              <w:t>117.00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48.42</w:t>
            </w:r>
          </w:p>
        </w:tc>
        <w:tc>
          <w:tcPr>
            <w:tcW w:w="1474" w:type="dxa"/>
            <w:vAlign w:val="center"/>
          </w:tcPr>
          <w:p>
            <w:pPr>
              <w:pStyle w:val="15"/>
            </w:pPr>
            <w:r>
              <w:t>48.42</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38.29</w:t>
            </w:r>
          </w:p>
        </w:tc>
        <w:tc>
          <w:tcPr>
            <w:tcW w:w="1474" w:type="dxa"/>
            <w:vAlign w:val="center"/>
          </w:tcPr>
          <w:p>
            <w:pPr>
              <w:pStyle w:val="15"/>
            </w:pPr>
            <w:r>
              <w:t>38.29</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847.73</w:t>
            </w:r>
          </w:p>
        </w:tc>
        <w:tc>
          <w:tcPr>
            <w:tcW w:w="3402" w:type="dxa"/>
            <w:vAlign w:val="center"/>
          </w:tcPr>
          <w:p>
            <w:pPr>
              <w:pStyle w:val="18"/>
            </w:pPr>
            <w:r>
              <w:t>本年支出合计</w:t>
            </w:r>
          </w:p>
        </w:tc>
        <w:tc>
          <w:tcPr>
            <w:tcW w:w="1474" w:type="dxa"/>
            <w:vAlign w:val="center"/>
          </w:tcPr>
          <w:p>
            <w:pPr>
              <w:pStyle w:val="19"/>
            </w:pPr>
            <w:r>
              <w:t>847.73</w:t>
            </w:r>
          </w:p>
        </w:tc>
        <w:tc>
          <w:tcPr>
            <w:tcW w:w="1474" w:type="dxa"/>
            <w:vAlign w:val="center"/>
          </w:tcPr>
          <w:p>
            <w:pPr>
              <w:pStyle w:val="19"/>
            </w:pPr>
            <w:r>
              <w:t>847.73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847.73</w:t>
            </w:r>
          </w:p>
        </w:tc>
        <w:tc>
          <w:tcPr>
            <w:tcW w:w="3402" w:type="dxa"/>
            <w:vAlign w:val="center"/>
          </w:tcPr>
          <w:p>
            <w:pPr>
              <w:pStyle w:val="18"/>
            </w:pPr>
            <w:r>
              <w:t>支出总计</w:t>
            </w:r>
          </w:p>
        </w:tc>
        <w:tc>
          <w:tcPr>
            <w:tcW w:w="1474" w:type="dxa"/>
            <w:vAlign w:val="center"/>
          </w:tcPr>
          <w:p>
            <w:pPr>
              <w:pStyle w:val="19"/>
            </w:pPr>
            <w:r>
              <w:t>847.73</w:t>
            </w:r>
          </w:p>
        </w:tc>
        <w:tc>
          <w:tcPr>
            <w:tcW w:w="1474" w:type="dxa"/>
            <w:vAlign w:val="center"/>
          </w:tcPr>
          <w:p>
            <w:pPr>
              <w:pStyle w:val="19"/>
            </w:pPr>
            <w:r>
              <w:t>847.73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847.73</w:t>
            </w:r>
          </w:p>
        </w:tc>
        <w:tc>
          <w:tcPr>
            <w:tcW w:w="2551" w:type="dxa"/>
            <w:vAlign w:val="center"/>
          </w:tcPr>
          <w:p>
            <w:pPr>
              <w:pStyle w:val="19"/>
            </w:pPr>
            <w:r>
              <w:t>636.73</w:t>
            </w:r>
          </w:p>
        </w:tc>
        <w:tc>
          <w:tcPr>
            <w:tcW w:w="2551" w:type="dxa"/>
            <w:vAlign w:val="center"/>
          </w:tcPr>
          <w:p>
            <w:pPr>
              <w:pStyle w:val="19"/>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644.02</w:t>
            </w:r>
          </w:p>
        </w:tc>
        <w:tc>
          <w:tcPr>
            <w:tcW w:w="2551" w:type="dxa"/>
            <w:vAlign w:val="center"/>
          </w:tcPr>
          <w:p>
            <w:pPr>
              <w:pStyle w:val="15"/>
            </w:pPr>
            <w:r>
              <w:t>433.02</w:t>
            </w:r>
          </w:p>
        </w:tc>
        <w:tc>
          <w:tcPr>
            <w:tcW w:w="2551" w:type="dxa"/>
            <w:vAlign w:val="center"/>
          </w:tcPr>
          <w:p>
            <w:pPr>
              <w:pStyle w:val="15"/>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644.02</w:t>
            </w:r>
          </w:p>
        </w:tc>
        <w:tc>
          <w:tcPr>
            <w:tcW w:w="2551" w:type="dxa"/>
            <w:vAlign w:val="center"/>
          </w:tcPr>
          <w:p>
            <w:pPr>
              <w:pStyle w:val="15"/>
            </w:pPr>
            <w:r>
              <w:t>433.02</w:t>
            </w:r>
          </w:p>
        </w:tc>
        <w:tc>
          <w:tcPr>
            <w:tcW w:w="2551" w:type="dxa"/>
            <w:vAlign w:val="center"/>
          </w:tcPr>
          <w:p>
            <w:pPr>
              <w:pStyle w:val="15"/>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354.92</w:t>
            </w:r>
          </w:p>
        </w:tc>
        <w:tc>
          <w:tcPr>
            <w:tcW w:w="2551" w:type="dxa"/>
            <w:vAlign w:val="center"/>
          </w:tcPr>
          <w:p>
            <w:pPr>
              <w:pStyle w:val="15"/>
            </w:pPr>
            <w:r>
              <w:t>354.92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2010102</w:t>
            </w:r>
          </w:p>
        </w:tc>
        <w:tc>
          <w:tcPr>
            <w:tcW w:w="4535" w:type="dxa"/>
            <w:vAlign w:val="center"/>
          </w:tcPr>
          <w:p>
            <w:pPr>
              <w:pStyle w:val="16"/>
            </w:pPr>
            <w:r>
              <w:t>一般行政管理事务</w:t>
            </w:r>
          </w:p>
        </w:tc>
        <w:tc>
          <w:tcPr>
            <w:tcW w:w="2551" w:type="dxa"/>
            <w:vAlign w:val="center"/>
          </w:tcPr>
          <w:p>
            <w:pPr>
              <w:pStyle w:val="15"/>
            </w:pPr>
            <w:r>
              <w:t>106.00</w:t>
            </w:r>
          </w:p>
        </w:tc>
        <w:tc>
          <w:tcPr>
            <w:tcW w:w="2551" w:type="dxa"/>
            <w:vAlign w:val="center"/>
          </w:tcPr>
          <w:p>
            <w:pPr>
              <w:pStyle w:val="15"/>
            </w:pPr>
          </w:p>
        </w:tc>
        <w:tc>
          <w:tcPr>
            <w:tcW w:w="2551" w:type="dxa"/>
            <w:vAlign w:val="center"/>
          </w:tcPr>
          <w:p>
            <w:pPr>
              <w:pStyle w:val="15"/>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2010104</w:t>
            </w:r>
          </w:p>
        </w:tc>
        <w:tc>
          <w:tcPr>
            <w:tcW w:w="4535" w:type="dxa"/>
            <w:vAlign w:val="center"/>
          </w:tcPr>
          <w:p>
            <w:pPr>
              <w:pStyle w:val="16"/>
            </w:pPr>
            <w:r>
              <w:t>人大会议</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2010106</w:t>
            </w:r>
          </w:p>
        </w:tc>
        <w:tc>
          <w:tcPr>
            <w:tcW w:w="4535" w:type="dxa"/>
            <w:vAlign w:val="center"/>
          </w:tcPr>
          <w:p>
            <w:pPr>
              <w:pStyle w:val="16"/>
            </w:pPr>
            <w:r>
              <w:t>人大监督</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2010150</w:t>
            </w:r>
          </w:p>
        </w:tc>
        <w:tc>
          <w:tcPr>
            <w:tcW w:w="4535" w:type="dxa"/>
            <w:vAlign w:val="center"/>
          </w:tcPr>
          <w:p>
            <w:pPr>
              <w:pStyle w:val="16"/>
            </w:pPr>
            <w:r>
              <w:t>事业运行</w:t>
            </w:r>
          </w:p>
        </w:tc>
        <w:tc>
          <w:tcPr>
            <w:tcW w:w="2551" w:type="dxa"/>
            <w:vAlign w:val="center"/>
          </w:tcPr>
          <w:p>
            <w:pPr>
              <w:pStyle w:val="15"/>
            </w:pPr>
            <w:r>
              <w:t>78.10</w:t>
            </w:r>
          </w:p>
        </w:tc>
        <w:tc>
          <w:tcPr>
            <w:tcW w:w="2551" w:type="dxa"/>
            <w:vAlign w:val="center"/>
          </w:tcPr>
          <w:p>
            <w:pPr>
              <w:pStyle w:val="15"/>
            </w:pPr>
            <w:r>
              <w:t>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117.00</w:t>
            </w:r>
          </w:p>
        </w:tc>
        <w:tc>
          <w:tcPr>
            <w:tcW w:w="2551" w:type="dxa"/>
            <w:vAlign w:val="center"/>
          </w:tcPr>
          <w:p>
            <w:pPr>
              <w:pStyle w:val="15"/>
            </w:pPr>
            <w:r>
              <w:t>117.00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117.00</w:t>
            </w:r>
          </w:p>
        </w:tc>
        <w:tc>
          <w:tcPr>
            <w:tcW w:w="2551" w:type="dxa"/>
            <w:vAlign w:val="center"/>
          </w:tcPr>
          <w:p>
            <w:pPr>
              <w:pStyle w:val="15"/>
            </w:pPr>
            <w:r>
              <w:t>117.00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66.20</w:t>
            </w:r>
          </w:p>
        </w:tc>
        <w:tc>
          <w:tcPr>
            <w:tcW w:w="2551" w:type="dxa"/>
            <w:vAlign w:val="center"/>
          </w:tcPr>
          <w:p>
            <w:pPr>
              <w:pStyle w:val="15"/>
            </w:pPr>
            <w:r>
              <w:t>66.20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50.80</w:t>
            </w:r>
          </w:p>
        </w:tc>
        <w:tc>
          <w:tcPr>
            <w:tcW w:w="2551" w:type="dxa"/>
            <w:vAlign w:val="center"/>
          </w:tcPr>
          <w:p>
            <w:pPr>
              <w:pStyle w:val="15"/>
            </w:pPr>
            <w:r>
              <w:t>50.80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48.42</w:t>
            </w:r>
          </w:p>
        </w:tc>
        <w:tc>
          <w:tcPr>
            <w:tcW w:w="2551" w:type="dxa"/>
            <w:vAlign w:val="center"/>
          </w:tcPr>
          <w:p>
            <w:pPr>
              <w:pStyle w:val="15"/>
            </w:pPr>
            <w:r>
              <w:t>48.42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48.42</w:t>
            </w:r>
          </w:p>
        </w:tc>
        <w:tc>
          <w:tcPr>
            <w:tcW w:w="2551" w:type="dxa"/>
            <w:vAlign w:val="center"/>
          </w:tcPr>
          <w:p>
            <w:pPr>
              <w:pStyle w:val="15"/>
            </w:pPr>
            <w:r>
              <w:t>48.42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23.02</w:t>
            </w:r>
          </w:p>
        </w:tc>
        <w:tc>
          <w:tcPr>
            <w:tcW w:w="2551" w:type="dxa"/>
            <w:vAlign w:val="center"/>
          </w:tcPr>
          <w:p>
            <w:pPr>
              <w:pStyle w:val="15"/>
            </w:pPr>
            <w:r>
              <w:t>23.02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25.40</w:t>
            </w:r>
          </w:p>
        </w:tc>
        <w:tc>
          <w:tcPr>
            <w:tcW w:w="2551" w:type="dxa"/>
            <w:vAlign w:val="center"/>
          </w:tcPr>
          <w:p>
            <w:pPr>
              <w:pStyle w:val="15"/>
            </w:pPr>
            <w:r>
              <w:t>25.40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636.73</w:t>
            </w:r>
          </w:p>
        </w:tc>
        <w:tc>
          <w:tcPr>
            <w:tcW w:w="2551" w:type="dxa"/>
            <w:vAlign w:val="center"/>
          </w:tcPr>
          <w:p>
            <w:pPr>
              <w:pStyle w:val="19"/>
            </w:pPr>
            <w:r>
              <w:t>544.98</w:t>
            </w:r>
          </w:p>
        </w:tc>
        <w:tc>
          <w:tcPr>
            <w:tcW w:w="2551" w:type="dxa"/>
            <w:vAlign w:val="center"/>
          </w:tcPr>
          <w:p>
            <w:pPr>
              <w:pStyle w:val="19"/>
            </w:pPr>
            <w:r>
              <w:t>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478.73</w:t>
            </w:r>
          </w:p>
        </w:tc>
        <w:tc>
          <w:tcPr>
            <w:tcW w:w="2551" w:type="dxa"/>
            <w:vAlign w:val="center"/>
          </w:tcPr>
          <w:p>
            <w:pPr>
              <w:pStyle w:val="15"/>
            </w:pPr>
            <w:r>
              <w:t>478.73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165.37</w:t>
            </w:r>
          </w:p>
        </w:tc>
        <w:tc>
          <w:tcPr>
            <w:tcW w:w="2551" w:type="dxa"/>
            <w:vAlign w:val="center"/>
          </w:tcPr>
          <w:p>
            <w:pPr>
              <w:pStyle w:val="15"/>
            </w:pPr>
            <w:r>
              <w:t>165.37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121.47</w:t>
            </w:r>
          </w:p>
        </w:tc>
        <w:tc>
          <w:tcPr>
            <w:tcW w:w="2551" w:type="dxa"/>
            <w:vAlign w:val="center"/>
          </w:tcPr>
          <w:p>
            <w:pPr>
              <w:pStyle w:val="15"/>
            </w:pPr>
            <w:r>
              <w:t>121.47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9.66</w:t>
            </w:r>
          </w:p>
        </w:tc>
        <w:tc>
          <w:tcPr>
            <w:tcW w:w="2551" w:type="dxa"/>
            <w:vAlign w:val="center"/>
          </w:tcPr>
          <w:p>
            <w:pPr>
              <w:pStyle w:val="15"/>
            </w:pPr>
            <w:r>
              <w:t>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40.25</w:t>
            </w:r>
          </w:p>
        </w:tc>
        <w:tc>
          <w:tcPr>
            <w:tcW w:w="2551" w:type="dxa"/>
            <w:vAlign w:val="center"/>
          </w:tcPr>
          <w:p>
            <w:pPr>
              <w:pStyle w:val="15"/>
            </w:pPr>
            <w:r>
              <w:t>40.25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50.80</w:t>
            </w:r>
          </w:p>
        </w:tc>
        <w:tc>
          <w:tcPr>
            <w:tcW w:w="2551" w:type="dxa"/>
            <w:vAlign w:val="center"/>
          </w:tcPr>
          <w:p>
            <w:pPr>
              <w:pStyle w:val="15"/>
            </w:pPr>
            <w:r>
              <w:t>50.80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23.02</w:t>
            </w:r>
          </w:p>
        </w:tc>
        <w:tc>
          <w:tcPr>
            <w:tcW w:w="2551" w:type="dxa"/>
            <w:vAlign w:val="center"/>
          </w:tcPr>
          <w:p>
            <w:pPr>
              <w:pStyle w:val="15"/>
            </w:pPr>
            <w:r>
              <w:t>23.02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25.40</w:t>
            </w:r>
          </w:p>
        </w:tc>
        <w:tc>
          <w:tcPr>
            <w:tcW w:w="2551" w:type="dxa"/>
            <w:vAlign w:val="center"/>
          </w:tcPr>
          <w:p>
            <w:pPr>
              <w:pStyle w:val="15"/>
            </w:pPr>
            <w:r>
              <w:t>25.40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4.47</w:t>
            </w:r>
          </w:p>
        </w:tc>
        <w:tc>
          <w:tcPr>
            <w:tcW w:w="2551" w:type="dxa"/>
            <w:vAlign w:val="center"/>
          </w:tcPr>
          <w:p>
            <w:pPr>
              <w:pStyle w:val="15"/>
            </w:pPr>
            <w:r>
              <w:t>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91.75</w:t>
            </w:r>
          </w:p>
        </w:tc>
        <w:tc>
          <w:tcPr>
            <w:tcW w:w="2551" w:type="dxa"/>
            <w:vAlign w:val="center"/>
          </w:tcPr>
          <w:p>
            <w:pPr>
              <w:pStyle w:val="15"/>
            </w:pPr>
          </w:p>
        </w:tc>
        <w:tc>
          <w:tcPr>
            <w:tcW w:w="2551" w:type="dxa"/>
            <w:vAlign w:val="center"/>
          </w:tcPr>
          <w:p>
            <w:pPr>
              <w:pStyle w:val="15"/>
            </w:pPr>
            <w:r>
              <w:t>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8.50</w:t>
            </w:r>
          </w:p>
        </w:tc>
        <w:tc>
          <w:tcPr>
            <w:tcW w:w="2551" w:type="dxa"/>
            <w:vAlign w:val="center"/>
          </w:tcPr>
          <w:p>
            <w:pPr>
              <w:pStyle w:val="15"/>
            </w:pPr>
          </w:p>
        </w:tc>
        <w:tc>
          <w:tcPr>
            <w:tcW w:w="2551" w:type="dxa"/>
            <w:vAlign w:val="center"/>
          </w:tcPr>
          <w:p>
            <w:pPr>
              <w:pStyle w:val="15"/>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3.25</w:t>
            </w:r>
          </w:p>
        </w:tc>
        <w:tc>
          <w:tcPr>
            <w:tcW w:w="2551" w:type="dxa"/>
            <w:vAlign w:val="center"/>
          </w:tcPr>
          <w:p>
            <w:pPr>
              <w:pStyle w:val="15"/>
            </w:pPr>
          </w:p>
        </w:tc>
        <w:tc>
          <w:tcPr>
            <w:tcW w:w="2551" w:type="dxa"/>
            <w:vAlign w:val="center"/>
          </w:tcPr>
          <w:p>
            <w:pPr>
              <w:pStyle w:val="15"/>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13.60</w:t>
            </w:r>
          </w:p>
        </w:tc>
        <w:tc>
          <w:tcPr>
            <w:tcW w:w="2551" w:type="dxa"/>
            <w:vAlign w:val="center"/>
          </w:tcPr>
          <w:p>
            <w:pPr>
              <w:pStyle w:val="15"/>
            </w:pPr>
          </w:p>
        </w:tc>
        <w:tc>
          <w:tcPr>
            <w:tcW w:w="2551" w:type="dxa"/>
            <w:vAlign w:val="center"/>
          </w:tcPr>
          <w:p>
            <w:pPr>
              <w:pStyle w:val="15"/>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6.20</w:t>
            </w:r>
          </w:p>
        </w:tc>
        <w:tc>
          <w:tcPr>
            <w:tcW w:w="2551" w:type="dxa"/>
            <w:vAlign w:val="center"/>
          </w:tcPr>
          <w:p>
            <w:pPr>
              <w:pStyle w:val="15"/>
            </w:pPr>
          </w:p>
        </w:tc>
        <w:tc>
          <w:tcPr>
            <w:tcW w:w="2551" w:type="dxa"/>
            <w:vAlign w:val="center"/>
          </w:tcPr>
          <w:p>
            <w:pPr>
              <w:pStyle w:val="15"/>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3.90</w:t>
            </w:r>
          </w:p>
        </w:tc>
        <w:tc>
          <w:tcPr>
            <w:tcW w:w="2551" w:type="dxa"/>
            <w:vAlign w:val="center"/>
          </w:tcPr>
          <w:p>
            <w:pPr>
              <w:pStyle w:val="15"/>
            </w:pPr>
          </w:p>
        </w:tc>
        <w:tc>
          <w:tcPr>
            <w:tcW w:w="2551" w:type="dxa"/>
            <w:vAlign w:val="center"/>
          </w:tcPr>
          <w:p>
            <w:pPr>
              <w:pStyle w:val="15"/>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21.80</w:t>
            </w:r>
          </w:p>
        </w:tc>
        <w:tc>
          <w:tcPr>
            <w:tcW w:w="2551" w:type="dxa"/>
            <w:vAlign w:val="center"/>
          </w:tcPr>
          <w:p>
            <w:pPr>
              <w:pStyle w:val="15"/>
            </w:pPr>
          </w:p>
        </w:tc>
        <w:tc>
          <w:tcPr>
            <w:tcW w:w="2551" w:type="dxa"/>
            <w:vAlign w:val="center"/>
          </w:tcPr>
          <w:p>
            <w:pPr>
              <w:pStyle w:val="15"/>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66.25</w:t>
            </w:r>
          </w:p>
        </w:tc>
        <w:tc>
          <w:tcPr>
            <w:tcW w:w="2551" w:type="dxa"/>
            <w:vAlign w:val="center"/>
          </w:tcPr>
          <w:p>
            <w:pPr>
              <w:pStyle w:val="15"/>
            </w:pPr>
            <w:r>
              <w:t>66.25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66.20</w:t>
            </w:r>
          </w:p>
        </w:tc>
        <w:tc>
          <w:tcPr>
            <w:tcW w:w="2551" w:type="dxa"/>
            <w:vAlign w:val="center"/>
          </w:tcPr>
          <w:p>
            <w:pPr>
              <w:pStyle w:val="15"/>
            </w:pPr>
            <w:r>
              <w:t>66.20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0.05</w:t>
            </w:r>
          </w:p>
        </w:tc>
        <w:tc>
          <w:tcPr>
            <w:tcW w:w="2551" w:type="dxa"/>
            <w:vAlign w:val="center"/>
          </w:tcPr>
          <w:p>
            <w:pPr>
              <w:pStyle w:val="15"/>
            </w:pPr>
            <w:r>
              <w:t>0.05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158.00</w:t>
            </w:r>
          </w:p>
        </w:tc>
        <w:tc>
          <w:tcPr>
            <w:tcW w:w="2381" w:type="dxa"/>
            <w:vAlign w:val="center"/>
          </w:tcPr>
          <w:p>
            <w:pPr>
              <w:pStyle w:val="19"/>
            </w:pPr>
            <w:r>
              <w:t>158.00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48.00</w:t>
            </w:r>
          </w:p>
        </w:tc>
        <w:tc>
          <w:tcPr>
            <w:tcW w:w="2381" w:type="dxa"/>
            <w:vAlign w:val="center"/>
          </w:tcPr>
          <w:p>
            <w:pPr>
              <w:pStyle w:val="15"/>
            </w:pPr>
            <w:r>
              <w:t>48.00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38.00</w:t>
            </w:r>
          </w:p>
        </w:tc>
        <w:tc>
          <w:tcPr>
            <w:tcW w:w="2381" w:type="dxa"/>
            <w:vAlign w:val="center"/>
          </w:tcPr>
          <w:p>
            <w:pPr>
              <w:pStyle w:val="15"/>
            </w:pPr>
            <w:r>
              <w:t>38.00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r>
              <w:t>18.00</w:t>
            </w:r>
          </w:p>
        </w:tc>
        <w:tc>
          <w:tcPr>
            <w:tcW w:w="2381" w:type="dxa"/>
            <w:vAlign w:val="center"/>
          </w:tcPr>
          <w:p>
            <w:pPr>
              <w:pStyle w:val="15"/>
            </w:pPr>
            <w:r>
              <w:t>18.00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20.00</w:t>
            </w:r>
          </w:p>
        </w:tc>
        <w:tc>
          <w:tcPr>
            <w:tcW w:w="2381" w:type="dxa"/>
            <w:vAlign w:val="center"/>
          </w:tcPr>
          <w:p>
            <w:pPr>
              <w:pStyle w:val="15"/>
            </w:pPr>
            <w:r>
              <w:t>20.00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r>
              <w:t>60.00</w:t>
            </w:r>
          </w:p>
        </w:tc>
        <w:tc>
          <w:tcPr>
            <w:tcW w:w="2381" w:type="dxa"/>
            <w:vAlign w:val="center"/>
          </w:tcPr>
          <w:p>
            <w:pPr>
              <w:pStyle w:val="15"/>
            </w:pPr>
            <w:r>
              <w:t>60.00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50.00</w:t>
            </w:r>
          </w:p>
        </w:tc>
        <w:tc>
          <w:tcPr>
            <w:tcW w:w="2381" w:type="dxa"/>
            <w:vAlign w:val="center"/>
          </w:tcPr>
          <w:p>
            <w:pPr>
              <w:pStyle w:val="15"/>
            </w:pPr>
            <w:r>
              <w:t>50.00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唐山市丰南区人民代表大会常务委员会办公室2022年部门预算信息公开情况说明</w:t>
      </w:r>
    </w:p>
    <w:p>
      <w:pPr>
        <w:jc w:val="center"/>
      </w:pPr>
      <w:r>
        <w:rPr>
          <w:rFonts w:ascii="方正小标宋_GBK" w:hAnsi="方正小标宋_GBK" w:eastAsia="方正小标宋_GBK" w:cs="方正小标宋_GBK"/>
          <w:color w:val="000000"/>
          <w:sz w:val="44"/>
        </w:rPr>
        <w:t>唐山市丰南区人民代表大会常务委员会办公室2022年部门预算信息公开情况说明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按照《预算法》、《地方预决算公开操作规程》和《关于进一步推进预算公开工作的实施意见》规定，现将唐山市丰南区人民代表大会常务委员会办公室2022年部门预算公开如下：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唐山市丰南区人民代表大会常务委员会办公室本级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rPr>
          <w:rFonts w:eastAsia="黑体" w:cs="黑体" w:asciiTheme="minorHAnsi" w:hAnsiTheme="minorHAnsi"/>
          <w:color w:val="000000"/>
          <w:sz w:val="32"/>
          <w:lang w:val="uk-UA"/>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val="uk-UA"/>
        </w:rPr>
      </w:pPr>
      <w:r>
        <w:rPr>
          <w:rFonts w:eastAsia="方正仿宋_GBK"/>
          <w:color w:val="000000"/>
          <w:sz w:val="28"/>
        </w:rPr>
        <w:t>按照预算管理有关规定，目前我部门预算的编制实行综合预算管理，即全部收入和支出都反映在预算中。唐山市丰南区人民代表大会常务委员会办公室机关及所属事业单位的收支包含在部门预算中。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（一）收入说明</w:t>
      </w:r>
    </w:p>
    <w:p>
      <w:pPr>
        <w:spacing w:line="500" w:lineRule="exact"/>
        <w:ind w:firstLine="560"/>
        <w:rPr>
          <w:rFonts w:eastAsia="方正仿宋_GBK"/>
          <w:color w:val="000000"/>
          <w:sz w:val="28"/>
        </w:rPr>
      </w:pPr>
      <w:r>
        <w:rPr>
          <w:rFonts w:hint="eastAsia" w:eastAsia="方正仿宋_GBK"/>
          <w:color w:val="000000"/>
          <w:sz w:val="28"/>
        </w:rPr>
        <w:t>2022年部门预算收入</w:t>
      </w:r>
      <w:r>
        <w:rPr>
          <w:rFonts w:eastAsia="方正仿宋_GBK"/>
          <w:color w:val="000000"/>
          <w:sz w:val="28"/>
        </w:rPr>
        <w:t>847.73</w:t>
      </w:r>
      <w:r>
        <w:rPr>
          <w:rFonts w:hint="eastAsia" w:eastAsia="方正仿宋_GBK"/>
          <w:color w:val="000000"/>
          <w:sz w:val="28"/>
        </w:rPr>
        <w:t>万元，其中：一般公共预算拨款</w:t>
      </w:r>
      <w:r>
        <w:rPr>
          <w:rFonts w:eastAsia="方正仿宋_GBK"/>
          <w:color w:val="000000"/>
          <w:sz w:val="28"/>
        </w:rPr>
        <w:t>847.73</w:t>
      </w:r>
      <w:r>
        <w:rPr>
          <w:rFonts w:hint="eastAsia" w:eastAsia="方正仿宋_GBK"/>
          <w:color w:val="000000"/>
          <w:sz w:val="28"/>
        </w:rPr>
        <w:t>万元，政府性基金预算拨款</w:t>
      </w:r>
      <w:r>
        <w:rPr>
          <w:rFonts w:eastAsia="方正仿宋_GBK"/>
          <w:color w:val="000000"/>
          <w:sz w:val="28"/>
        </w:rPr>
        <w:t>0</w:t>
      </w:r>
      <w:r>
        <w:rPr>
          <w:rFonts w:hint="eastAsia" w:eastAsia="方正仿宋_GBK"/>
          <w:color w:val="000000"/>
          <w:sz w:val="28"/>
        </w:rPr>
        <w:t>万元，国有资本经营预算拨款</w:t>
      </w:r>
      <w:r>
        <w:rPr>
          <w:rFonts w:eastAsia="方正仿宋_GBK"/>
          <w:color w:val="000000"/>
          <w:sz w:val="28"/>
        </w:rPr>
        <w:t>0</w:t>
      </w:r>
      <w:r>
        <w:rPr>
          <w:rFonts w:hint="eastAsia" w:eastAsia="方正仿宋_GBK"/>
          <w:color w:val="000000"/>
          <w:sz w:val="28"/>
        </w:rPr>
        <w:t>万元，财政专户核拨</w:t>
      </w:r>
      <w:r>
        <w:rPr>
          <w:rFonts w:eastAsia="方正仿宋_GBK"/>
          <w:color w:val="000000"/>
          <w:sz w:val="28"/>
        </w:rPr>
        <w:t>0</w:t>
      </w:r>
      <w:r>
        <w:rPr>
          <w:rFonts w:hint="eastAsia" w:eastAsia="方正仿宋_GBK"/>
          <w:color w:val="000000"/>
          <w:sz w:val="28"/>
        </w:rPr>
        <w:t>万元，单位资金</w:t>
      </w:r>
      <w:r>
        <w:rPr>
          <w:rFonts w:eastAsia="方正仿宋_GBK"/>
          <w:color w:val="000000"/>
          <w:sz w:val="28"/>
        </w:rPr>
        <w:t>0</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（二）支出说明</w:t>
      </w:r>
    </w:p>
    <w:p>
      <w:pPr>
        <w:spacing w:line="500" w:lineRule="exact"/>
        <w:ind w:firstLine="560"/>
        <w:rPr>
          <w:rFonts w:eastAsia="方正仿宋_GBK"/>
          <w:color w:val="000000"/>
          <w:sz w:val="28"/>
        </w:rPr>
      </w:pPr>
      <w:r>
        <w:rPr>
          <w:rFonts w:hint="eastAsia" w:eastAsia="方正仿宋_GBK"/>
          <w:color w:val="000000"/>
          <w:sz w:val="28"/>
        </w:rPr>
        <w:t>2022年部门预算支出</w:t>
      </w:r>
      <w:r>
        <w:rPr>
          <w:rFonts w:eastAsia="方正仿宋_GBK"/>
          <w:color w:val="000000"/>
          <w:sz w:val="28"/>
        </w:rPr>
        <w:t>847.73</w:t>
      </w:r>
      <w:r>
        <w:rPr>
          <w:rFonts w:hint="eastAsia" w:eastAsia="方正仿宋_GBK"/>
          <w:color w:val="000000"/>
          <w:sz w:val="28"/>
        </w:rPr>
        <w:t>万元，其中：人员经费</w:t>
      </w:r>
      <w:r>
        <w:rPr>
          <w:rFonts w:eastAsia="方正仿宋_GBK"/>
          <w:color w:val="000000"/>
          <w:sz w:val="28"/>
        </w:rPr>
        <w:t>544.98</w:t>
      </w:r>
      <w:r>
        <w:rPr>
          <w:rFonts w:hint="eastAsia" w:eastAsia="方正仿宋_GBK"/>
          <w:color w:val="000000"/>
          <w:sz w:val="28"/>
        </w:rPr>
        <w:t>万元，日常公用经费</w:t>
      </w:r>
      <w:r>
        <w:rPr>
          <w:rFonts w:eastAsia="方正仿宋_GBK"/>
          <w:color w:val="000000"/>
          <w:sz w:val="28"/>
        </w:rPr>
        <w:t>91.75</w:t>
      </w:r>
      <w:r>
        <w:rPr>
          <w:rFonts w:hint="eastAsia" w:eastAsia="方正仿宋_GBK"/>
          <w:color w:val="000000"/>
          <w:sz w:val="28"/>
        </w:rPr>
        <w:t>万元，项目支出</w:t>
      </w:r>
      <w:r>
        <w:rPr>
          <w:rFonts w:eastAsia="方正仿宋_GBK"/>
          <w:color w:val="000000"/>
          <w:sz w:val="28"/>
        </w:rPr>
        <w:t>211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（三）比上年增减情况</w:t>
      </w:r>
    </w:p>
    <w:p>
      <w:pPr>
        <w:spacing w:line="500" w:lineRule="exact"/>
        <w:ind w:firstLine="560"/>
        <w:rPr>
          <w:rFonts w:eastAsia="方正仿宋_GBK"/>
          <w:color w:val="000000"/>
          <w:sz w:val="28"/>
          <w:lang w:val="uk-UA"/>
        </w:rPr>
      </w:pPr>
      <w:r>
        <w:rPr>
          <w:rFonts w:hint="eastAsia" w:eastAsia="方正仿宋_GBK"/>
          <w:color w:val="000000"/>
          <w:sz w:val="28"/>
        </w:rPr>
        <w:t>2022年部门预算较2021年</w:t>
      </w:r>
      <w:r>
        <w:rPr>
          <w:rFonts w:eastAsia="方正仿宋_GBK"/>
          <w:color w:val="000000"/>
          <w:sz w:val="28"/>
        </w:rPr>
        <w:t>增加22.82</w:t>
      </w:r>
      <w:r>
        <w:rPr>
          <w:rFonts w:hint="eastAsia" w:eastAsia="方正仿宋_GBK"/>
          <w:color w:val="000000"/>
          <w:sz w:val="28"/>
        </w:rPr>
        <w:t>万元，其中：人员经费</w:t>
      </w:r>
      <w:r>
        <w:rPr>
          <w:rFonts w:hint="eastAsia" w:eastAsia="方正仿宋_GBK"/>
          <w:color w:val="000000"/>
          <w:sz w:val="28"/>
          <w:lang w:eastAsia="zh-CN"/>
        </w:rPr>
        <w:t>增加</w:t>
      </w:r>
      <w:r>
        <w:rPr>
          <w:rFonts w:eastAsia="方正仿宋_GBK"/>
          <w:color w:val="000000"/>
          <w:sz w:val="28"/>
        </w:rPr>
        <w:t>0.57</w:t>
      </w:r>
      <w:r>
        <w:rPr>
          <w:rFonts w:hint="eastAsia" w:eastAsia="方正仿宋_GBK"/>
          <w:color w:val="000000"/>
          <w:sz w:val="28"/>
        </w:rPr>
        <w:t>万元，日常公用经费增加</w:t>
      </w:r>
      <w:r>
        <w:rPr>
          <w:rFonts w:eastAsia="方正仿宋_GBK"/>
          <w:color w:val="000000"/>
          <w:sz w:val="28"/>
        </w:rPr>
        <w:t>12.4</w:t>
      </w:r>
      <w:r>
        <w:rPr>
          <w:rFonts w:hint="eastAsia" w:eastAsia="方正仿宋_GBK"/>
          <w:color w:val="000000"/>
          <w:sz w:val="28"/>
        </w:rPr>
        <w:t>万元，项目经费</w:t>
      </w:r>
      <w:r>
        <w:rPr>
          <w:rFonts w:hint="eastAsia" w:eastAsia="方正仿宋_GBK"/>
          <w:color w:val="000000"/>
          <w:sz w:val="28"/>
          <w:lang w:eastAsia="zh-CN"/>
        </w:rPr>
        <w:t>减少69.5</w:t>
      </w:r>
      <w:r>
        <w:rPr>
          <w:rFonts w:hint="eastAsia" w:eastAsia="方正仿宋_GBK"/>
          <w:color w:val="000000"/>
          <w:sz w:val="28"/>
        </w:rPr>
        <w:t>万元。</w:t>
      </w:r>
    </w:p>
    <w:p>
      <w:pPr>
        <w:spacing w:before="10" w:after="10" w:line="360" w:lineRule="auto"/>
        <w:ind w:firstLine="640"/>
        <w:outlineLvl w:val="2"/>
        <w:rPr>
          <w:rFonts w:eastAsia="黑体" w:cs="黑体" w:asciiTheme="minorHAnsi" w:hAnsiTheme="minorHAnsi"/>
          <w:color w:val="000000"/>
          <w:sz w:val="32"/>
          <w:lang w:val="uk-UA"/>
        </w:rPr>
      </w:pPr>
      <w:bookmarkStart w:id="11" w:name="_Toc_3_3_0000000012"/>
      <w:r>
        <w:rPr>
          <w:rFonts w:ascii="黑体" w:hAnsi="黑体" w:eastAsia="黑体" w:cs="黑体"/>
          <w:color w:val="000000"/>
          <w:sz w:val="32"/>
        </w:rPr>
        <w:t>三、机关运行经费安排情况</w:t>
      </w:r>
      <w:bookmarkEnd w:id="11"/>
    </w:p>
    <w:p>
      <w:pPr>
        <w:spacing w:line="360" w:lineRule="auto"/>
        <w:ind w:firstLine="560" w:firstLineChars="200"/>
        <w:rPr>
          <w:rFonts w:eastAsia="方正仿宋_GBK"/>
          <w:sz w:val="28"/>
          <w:lang w:val="uk-UA"/>
        </w:rPr>
      </w:pPr>
      <w:r>
        <w:rPr>
          <w:rFonts w:hint="eastAsia" w:eastAsia="方正仿宋_GBK"/>
          <w:color w:val="000000"/>
          <w:sz w:val="28"/>
        </w:rPr>
        <w:t>2022年机关运行经费共计安排</w:t>
      </w:r>
      <w:r>
        <w:rPr>
          <w:rFonts w:eastAsia="方正仿宋_GBK"/>
          <w:color w:val="000000"/>
          <w:sz w:val="28"/>
        </w:rPr>
        <w:t>91.75</w:t>
      </w:r>
      <w:r>
        <w:rPr>
          <w:rFonts w:hint="eastAsia" w:eastAsia="方正仿宋_GBK"/>
          <w:color w:val="000000"/>
          <w:sz w:val="28"/>
        </w:rPr>
        <w:t>万元，主要包括用于保证机关正常运转的</w:t>
      </w:r>
      <w:r>
        <w:rPr>
          <w:rFonts w:hint="eastAsia" w:eastAsia="方正仿宋_GBK"/>
          <w:sz w:val="28"/>
        </w:rPr>
        <w:t>办公</w:t>
      </w:r>
      <w:r>
        <w:rPr>
          <w:rFonts w:eastAsia="方正仿宋_GBK"/>
          <w:sz w:val="28"/>
        </w:rPr>
        <w:t>费8.5万元、</w:t>
      </w:r>
      <w:r>
        <w:rPr>
          <w:rFonts w:hint="eastAsia" w:eastAsia="方正仿宋_GBK"/>
          <w:sz w:val="28"/>
        </w:rPr>
        <w:t>邮电费</w:t>
      </w:r>
      <w:r>
        <w:rPr>
          <w:rFonts w:eastAsia="方正仿宋_GBK"/>
          <w:sz w:val="28"/>
        </w:rPr>
        <w:t>3.25万元</w:t>
      </w:r>
      <w:r>
        <w:rPr>
          <w:rFonts w:hint="eastAsia" w:eastAsia="方正仿宋_GBK"/>
          <w:sz w:val="28"/>
        </w:rPr>
        <w:t>、公务用车运行维护费</w:t>
      </w:r>
      <w:r>
        <w:rPr>
          <w:rFonts w:eastAsia="方正仿宋_GBK"/>
          <w:sz w:val="28"/>
        </w:rPr>
        <w:t>20万元</w:t>
      </w:r>
      <w:r>
        <w:rPr>
          <w:rFonts w:hint="eastAsia" w:eastAsia="方正仿宋_GBK"/>
          <w:sz w:val="28"/>
        </w:rPr>
        <w:t>、</w:t>
      </w:r>
      <w:r>
        <w:rPr>
          <w:rFonts w:eastAsia="方正仿宋_GBK"/>
          <w:sz w:val="28"/>
        </w:rPr>
        <w:t>公务接待费10万元、</w:t>
      </w:r>
      <w:r>
        <w:rPr>
          <w:rFonts w:hint="eastAsia" w:eastAsia="方正仿宋_GBK"/>
          <w:sz w:val="28"/>
        </w:rPr>
        <w:t>工会</w:t>
      </w:r>
      <w:r>
        <w:rPr>
          <w:rFonts w:eastAsia="方正仿宋_GBK"/>
          <w:sz w:val="28"/>
        </w:rPr>
        <w:t>经</w:t>
      </w:r>
      <w:r>
        <w:rPr>
          <w:rFonts w:hint="eastAsia" w:eastAsia="方正仿宋_GBK"/>
          <w:sz w:val="28"/>
        </w:rPr>
        <w:t>费</w:t>
      </w:r>
      <w:r>
        <w:rPr>
          <w:rFonts w:eastAsia="方正仿宋_GBK"/>
          <w:sz w:val="28"/>
        </w:rPr>
        <w:t>6.2万元</w:t>
      </w:r>
      <w:r>
        <w:rPr>
          <w:rFonts w:hint="eastAsia" w:eastAsia="方正仿宋_GBK"/>
          <w:sz w:val="28"/>
        </w:rPr>
        <w:t>、</w:t>
      </w:r>
      <w:r>
        <w:rPr>
          <w:rFonts w:eastAsia="方正仿宋_GBK"/>
          <w:sz w:val="28"/>
        </w:rPr>
        <w:t>在职职工</w:t>
      </w:r>
      <w:r>
        <w:rPr>
          <w:rFonts w:hint="eastAsia" w:eastAsia="方正仿宋_GBK"/>
          <w:sz w:val="28"/>
        </w:rPr>
        <w:t>福利费</w:t>
      </w:r>
      <w:r>
        <w:rPr>
          <w:rFonts w:eastAsia="方正仿宋_GBK"/>
          <w:sz w:val="28"/>
        </w:rPr>
        <w:t>3.9万元</w:t>
      </w:r>
      <w:r>
        <w:rPr>
          <w:rFonts w:hint="eastAsia" w:eastAsia="方正仿宋_GBK"/>
          <w:sz w:val="28"/>
        </w:rPr>
        <w:t>、</w:t>
      </w:r>
      <w:r>
        <w:rPr>
          <w:rFonts w:eastAsia="方正仿宋_GBK"/>
          <w:sz w:val="28"/>
        </w:rPr>
        <w:t>离退休福利费2.9万元，公务移动</w:t>
      </w:r>
      <w:r>
        <w:rPr>
          <w:rFonts w:hint="eastAsia" w:eastAsia="方正仿宋_GBK"/>
          <w:sz w:val="28"/>
        </w:rPr>
        <w:t>通讯</w:t>
      </w:r>
      <w:r>
        <w:rPr>
          <w:rFonts w:eastAsia="方正仿宋_GBK"/>
          <w:sz w:val="28"/>
        </w:rPr>
        <w:t>费用</w:t>
      </w:r>
      <w:r>
        <w:rPr>
          <w:rFonts w:hint="eastAsia" w:eastAsia="方正仿宋_GBK"/>
          <w:sz w:val="28"/>
        </w:rPr>
        <w:t>补贴</w:t>
      </w:r>
      <w:r>
        <w:rPr>
          <w:rFonts w:eastAsia="方正仿宋_GBK"/>
          <w:sz w:val="28"/>
        </w:rPr>
        <w:t>13.6万元</w:t>
      </w:r>
      <w:r>
        <w:rPr>
          <w:rFonts w:hint="eastAsia" w:eastAsia="方正仿宋_GBK"/>
          <w:sz w:val="28"/>
        </w:rPr>
        <w:t>、</w:t>
      </w:r>
      <w:r>
        <w:rPr>
          <w:rFonts w:eastAsia="方正仿宋_GBK"/>
          <w:sz w:val="28"/>
        </w:rPr>
        <w:t>公务</w:t>
      </w:r>
      <w:r>
        <w:rPr>
          <w:rFonts w:hint="eastAsia" w:eastAsia="方正仿宋_GBK"/>
          <w:sz w:val="28"/>
        </w:rPr>
        <w:t>交通补贴</w:t>
      </w:r>
      <w:r>
        <w:rPr>
          <w:rFonts w:eastAsia="方正仿宋_GBK"/>
          <w:sz w:val="28"/>
        </w:rPr>
        <w:t>21.8万元</w:t>
      </w:r>
      <w:r>
        <w:rPr>
          <w:rFonts w:hint="eastAsia" w:eastAsia="方正仿宋_GBK"/>
          <w:sz w:val="28"/>
        </w:rPr>
        <w:t>、</w:t>
      </w:r>
      <w:r>
        <w:rPr>
          <w:rFonts w:hint="eastAsia" w:eastAsia="方正仿宋_GBK"/>
          <w:sz w:val="28"/>
          <w:lang w:eastAsia="zh-CN"/>
        </w:rPr>
        <w:t>办公</w:t>
      </w:r>
      <w:r>
        <w:rPr>
          <w:rFonts w:eastAsia="方正仿宋_GBK"/>
          <w:sz w:val="28"/>
          <w:lang w:eastAsia="zh-CN"/>
        </w:rPr>
        <w:t>取暖费</w:t>
      </w:r>
      <w:r>
        <w:rPr>
          <w:rFonts w:hint="eastAsia" w:eastAsia="方正仿宋_GBK"/>
          <w:sz w:val="28"/>
          <w:lang w:eastAsia="zh-CN"/>
        </w:rPr>
        <w:t>0.3万元</w:t>
      </w:r>
      <w:r>
        <w:rPr>
          <w:rFonts w:eastAsia="方正仿宋_GBK"/>
          <w:sz w:val="28"/>
          <w:lang w:eastAsia="zh-CN"/>
        </w:rPr>
        <w:t>、</w:t>
      </w:r>
      <w:r>
        <w:rPr>
          <w:rFonts w:eastAsia="方正仿宋_GBK"/>
          <w:sz w:val="28"/>
        </w:rPr>
        <w:t>离退休干部报刊费1.3万元。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700" w:firstLineChars="250"/>
        <w:rPr>
          <w:rFonts w:eastAsia="方正仿宋_GBK"/>
          <w:color w:val="000000"/>
          <w:sz w:val="28"/>
        </w:rPr>
      </w:pPr>
      <w:r>
        <w:rPr>
          <w:rFonts w:hint="eastAsia" w:eastAsia="方正仿宋_GBK"/>
          <w:color w:val="000000"/>
          <w:sz w:val="28"/>
        </w:rPr>
        <w:t>2022年部门“三公”经费预算安排</w:t>
      </w:r>
      <w:r>
        <w:rPr>
          <w:rFonts w:eastAsia="方正仿宋_GBK"/>
          <w:color w:val="000000"/>
          <w:sz w:val="28"/>
        </w:rPr>
        <w:t>48</w:t>
      </w:r>
      <w:r>
        <w:rPr>
          <w:rFonts w:hint="eastAsia" w:eastAsia="方正仿宋_GBK"/>
          <w:color w:val="000000"/>
          <w:sz w:val="28"/>
        </w:rPr>
        <w:t>万元，比2021年</w:t>
      </w:r>
      <w:r>
        <w:rPr>
          <w:rFonts w:hint="eastAsia" w:eastAsia="方正仿宋_GBK"/>
          <w:sz w:val="28"/>
        </w:rPr>
        <w:t>减少</w:t>
      </w:r>
      <w:r>
        <w:rPr>
          <w:rFonts w:eastAsia="方正仿宋_GBK"/>
          <w:sz w:val="28"/>
        </w:rPr>
        <w:t>2</w:t>
      </w:r>
      <w:r>
        <w:rPr>
          <w:rFonts w:hint="eastAsia" w:eastAsia="方正仿宋_GBK"/>
          <w:color w:val="000000"/>
          <w:sz w:val="28"/>
        </w:rPr>
        <w:t>万元。具体增减情况为：</w:t>
      </w:r>
    </w:p>
    <w:p>
      <w:pPr>
        <w:spacing w:line="360" w:lineRule="auto"/>
        <w:ind w:firstLine="560" w:firstLineChars="200"/>
        <w:rPr>
          <w:rFonts w:eastAsia="方正仿宋_GBK"/>
          <w:color w:val="000000"/>
          <w:sz w:val="28"/>
        </w:rPr>
      </w:pPr>
      <w:bookmarkStart w:id="13" w:name="OLE_LINK1"/>
      <w:r>
        <w:rPr>
          <w:rFonts w:hint="eastAsia" w:eastAsia="方正仿宋_GBK"/>
          <w:color w:val="000000"/>
          <w:sz w:val="28"/>
        </w:rPr>
        <w:t>（一）公务用车购置及运行费</w:t>
      </w:r>
      <w:r>
        <w:rPr>
          <w:rFonts w:eastAsia="方正仿宋_GBK"/>
          <w:color w:val="000000"/>
          <w:sz w:val="28"/>
        </w:rPr>
        <w:t>48</w:t>
      </w:r>
      <w:r>
        <w:rPr>
          <w:rFonts w:hint="eastAsia" w:eastAsia="方正仿宋_GBK"/>
          <w:color w:val="000000"/>
          <w:sz w:val="28"/>
        </w:rPr>
        <w:t>万元，比2021年</w:t>
      </w:r>
      <w:r>
        <w:rPr>
          <w:rFonts w:hint="eastAsia" w:eastAsia="方正仿宋_GBK"/>
          <w:sz w:val="28"/>
        </w:rPr>
        <w:t>减少</w:t>
      </w:r>
      <w:r>
        <w:rPr>
          <w:rFonts w:eastAsia="方正仿宋_GBK"/>
          <w:sz w:val="28"/>
        </w:rPr>
        <w:t>2</w:t>
      </w:r>
      <w:r>
        <w:rPr>
          <w:rFonts w:hint="eastAsia" w:eastAsia="方正仿宋_GBK"/>
          <w:sz w:val="28"/>
        </w:rPr>
        <w:t>万元，</w:t>
      </w:r>
      <w:r>
        <w:rPr>
          <w:rFonts w:hint="eastAsia" w:eastAsia="方正仿宋_GBK"/>
          <w:color w:val="000000"/>
          <w:sz w:val="28"/>
        </w:rPr>
        <w:t>其中：公务用车购置费为</w:t>
      </w:r>
      <w:r>
        <w:rPr>
          <w:rFonts w:eastAsia="方正仿宋_GBK"/>
          <w:color w:val="000000"/>
          <w:sz w:val="28"/>
          <w:lang w:eastAsia="zh-CN"/>
        </w:rPr>
        <w:t>18</w:t>
      </w:r>
      <w:r>
        <w:rPr>
          <w:rFonts w:hint="eastAsia" w:eastAsia="方正仿宋_GBK"/>
          <w:color w:val="000000"/>
          <w:sz w:val="28"/>
        </w:rPr>
        <w:t>万元，比2021年减少</w:t>
      </w:r>
      <w:r>
        <w:rPr>
          <w:rFonts w:eastAsia="方正仿宋_GBK"/>
          <w:color w:val="000000"/>
          <w:sz w:val="28"/>
          <w:lang w:eastAsia="zh-CN"/>
        </w:rPr>
        <w:t>2</w:t>
      </w:r>
      <w:r>
        <w:rPr>
          <w:rFonts w:hint="eastAsia" w:eastAsia="方正仿宋_GBK"/>
          <w:color w:val="000000"/>
          <w:sz w:val="28"/>
        </w:rPr>
        <w:t>万元，原因是</w:t>
      </w:r>
      <w:r>
        <w:rPr>
          <w:rFonts w:hint="eastAsia" w:eastAsia="方正仿宋_GBK"/>
          <w:color w:val="000000"/>
          <w:sz w:val="28"/>
          <w:lang w:eastAsia="zh-CN"/>
        </w:rPr>
        <w:t>2022年压减公务用车购置经费</w:t>
      </w:r>
      <w:r>
        <w:rPr>
          <w:rFonts w:eastAsia="方正仿宋_GBK"/>
          <w:color w:val="000000"/>
          <w:sz w:val="28"/>
          <w:lang w:eastAsia="zh-CN"/>
        </w:rPr>
        <w:t>预算</w:t>
      </w:r>
      <w:r>
        <w:rPr>
          <w:rFonts w:hint="eastAsia" w:eastAsia="方正仿宋_GBK"/>
          <w:color w:val="000000"/>
          <w:sz w:val="28"/>
        </w:rPr>
        <w:t>；公务用车运行</w:t>
      </w:r>
      <w:r>
        <w:rPr>
          <w:rFonts w:hint="eastAsia" w:eastAsia="方正仿宋_GBK"/>
          <w:color w:val="000000"/>
          <w:sz w:val="28"/>
          <w:lang w:eastAsia="zh-CN"/>
        </w:rPr>
        <w:t>维护费</w:t>
      </w:r>
      <w:r>
        <w:rPr>
          <w:rFonts w:eastAsia="方正仿宋_GBK"/>
          <w:color w:val="000000"/>
          <w:sz w:val="28"/>
          <w:lang w:eastAsia="zh-CN"/>
        </w:rPr>
        <w:t>20</w:t>
      </w:r>
      <w:r>
        <w:rPr>
          <w:rFonts w:hint="eastAsia" w:eastAsia="方正仿宋_GBK"/>
          <w:color w:val="000000"/>
          <w:sz w:val="28"/>
        </w:rPr>
        <w:t>万元，比</w:t>
      </w:r>
      <w:r>
        <w:rPr>
          <w:rFonts w:hint="eastAsia" w:eastAsia="方正仿宋_GBK"/>
          <w:color w:val="000000"/>
          <w:sz w:val="28"/>
          <w:lang w:eastAsia="zh-CN"/>
        </w:rPr>
        <w:t>2021</w:t>
      </w:r>
      <w:r>
        <w:rPr>
          <w:rFonts w:hint="eastAsia" w:eastAsia="方正仿宋_GBK"/>
          <w:color w:val="000000"/>
          <w:sz w:val="28"/>
        </w:rPr>
        <w:t>年增加</w:t>
      </w:r>
      <w:r>
        <w:rPr>
          <w:rFonts w:hint="eastAsia" w:eastAsia="方正仿宋_GBK"/>
          <w:color w:val="000000"/>
          <w:sz w:val="28"/>
          <w:lang w:eastAsia="zh-CN"/>
        </w:rPr>
        <w:t>0</w:t>
      </w:r>
      <w:r>
        <w:rPr>
          <w:rFonts w:hint="eastAsia" w:eastAsia="方正仿宋_GBK"/>
          <w:color w:val="000000"/>
          <w:sz w:val="28"/>
        </w:rPr>
        <w:t>万元，无增减变化</w:t>
      </w:r>
      <w:r>
        <w:rPr>
          <w:rFonts w:eastAsia="方正仿宋_GBK"/>
          <w:color w:val="000000"/>
          <w:sz w:val="28"/>
        </w:rPr>
        <w:t>。</w:t>
      </w:r>
    </w:p>
    <w:p>
      <w:pPr>
        <w:spacing w:line="360" w:lineRule="auto"/>
        <w:ind w:firstLine="560" w:firstLineChars="200"/>
        <w:rPr>
          <w:rFonts w:eastAsia="方正仿宋_GBK"/>
          <w:sz w:val="28"/>
        </w:rPr>
      </w:pPr>
      <w:r>
        <w:rPr>
          <w:rFonts w:hint="eastAsia" w:eastAsia="方正仿宋_GBK"/>
          <w:sz w:val="28"/>
        </w:rPr>
        <w:t>（二）公务接待费</w:t>
      </w:r>
      <w:r>
        <w:rPr>
          <w:rFonts w:eastAsia="方正仿宋_GBK"/>
          <w:sz w:val="28"/>
        </w:rPr>
        <w:t>10</w:t>
      </w:r>
      <w:r>
        <w:rPr>
          <w:rFonts w:hint="eastAsia" w:eastAsia="方正仿宋_GBK"/>
          <w:sz w:val="28"/>
        </w:rPr>
        <w:t>万元，</w:t>
      </w:r>
      <w:bookmarkEnd w:id="13"/>
      <w:r>
        <w:rPr>
          <w:rFonts w:hint="eastAsia" w:eastAsia="方正仿宋_GBK"/>
          <w:sz w:val="28"/>
        </w:rPr>
        <w:t>比2021年增加</w:t>
      </w:r>
      <w:r>
        <w:rPr>
          <w:rFonts w:eastAsia="方正仿宋_GBK"/>
          <w:sz w:val="28"/>
        </w:rPr>
        <w:t>0</w:t>
      </w:r>
      <w:r>
        <w:rPr>
          <w:rFonts w:hint="eastAsia" w:eastAsia="方正仿宋_GBK"/>
          <w:sz w:val="28"/>
        </w:rPr>
        <w:t>万元，无增减变化</w:t>
      </w:r>
      <w:r>
        <w:rPr>
          <w:rFonts w:eastAsia="方正仿宋_GBK"/>
          <w:sz w:val="28"/>
        </w:rPr>
        <w:t>。</w:t>
      </w:r>
    </w:p>
    <w:p>
      <w:pPr>
        <w:spacing w:line="360" w:lineRule="auto"/>
        <w:ind w:firstLine="560" w:firstLineChars="200"/>
        <w:rPr>
          <w:rFonts w:eastAsia="方正仿宋_GBK"/>
          <w:sz w:val="28"/>
          <w:lang w:val="uk-UA"/>
        </w:rPr>
      </w:pPr>
      <w:r>
        <w:rPr>
          <w:rFonts w:hint="eastAsia" w:eastAsia="方正仿宋_GBK"/>
          <w:sz w:val="28"/>
        </w:rPr>
        <w:t>（三）因公出国（境）费</w:t>
      </w:r>
      <w:r>
        <w:rPr>
          <w:rFonts w:eastAsia="方正仿宋_GBK"/>
          <w:sz w:val="28"/>
        </w:rPr>
        <w:t>0</w:t>
      </w:r>
      <w:r>
        <w:rPr>
          <w:rFonts w:hint="eastAsia" w:eastAsia="方正仿宋_GBK"/>
          <w:sz w:val="28"/>
        </w:rPr>
        <w:t>万元，比2021年增加</w:t>
      </w:r>
      <w:r>
        <w:rPr>
          <w:rFonts w:eastAsia="方正仿宋_GBK"/>
          <w:sz w:val="28"/>
        </w:rPr>
        <w:t>0</w:t>
      </w:r>
      <w:r>
        <w:rPr>
          <w:rFonts w:hint="eastAsia" w:eastAsia="方正仿宋_GBK"/>
          <w:sz w:val="28"/>
        </w:rPr>
        <w:t>万元，无增减变化</w:t>
      </w:r>
      <w:r>
        <w:rPr>
          <w:rFonts w:eastAsia="方正仿宋_GBK"/>
          <w:sz w:val="28"/>
        </w:rPr>
        <w:t>。</w:t>
      </w: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2022年,丰南区人大常委会在区委的坚强领导下，全面履行法定职责，充分发挥代表作用，切实加强自身建设，与“一府一委两院”积极作为，共促丰南发展，努力建设“高质量发展示范区、生态宜居样板区”。用实际行动践行“丰南发展、人大尽责”的工作理念。注重问题导向，在提升监督实效上用心用力。在监督整改落实上有新举措。继续加强对宏观经济运行的监督，着力推动地方稳健发展。高度重视社会公共事业，加强文化教育、道路交通、医疗卫生、就业保障等民生领域的工作监督。坚持依法治区方略，推动法律法规在丰南有效落实，促进“一府一委两院”及其工作人员依法行政、公正司法、正确履职。创新体制机制，在代表作用发挥上更加充分。不断加强上下联动和工作指导，鼓励支持基层人大创新实践，增强人大工作整体效能。加强自身建设。全面落实省市区委关于加强和改进人大工作的部署要求，全面加强常委会机关思想、作风、制度和党的建设，打造“人讲称职、事争一流”的模范机关。</w:t>
      </w:r>
    </w:p>
    <w:p>
      <w:pPr>
        <w:spacing w:line="500" w:lineRule="exact"/>
        <w:ind w:firstLine="560"/>
      </w:pPr>
      <w:r>
        <w:rPr>
          <w:rFonts w:eastAsia="方正仿宋_GBK"/>
          <w:color w:val="000000"/>
          <w:sz w:val="28"/>
        </w:rPr>
        <w:t>（二）分项绩效目标</w:t>
      </w:r>
    </w:p>
    <w:p>
      <w:pPr>
        <w:pStyle w:val="26"/>
      </w:pPr>
      <w:r>
        <w:rPr>
          <w:rFonts w:hint="eastAsia"/>
          <w:lang w:eastAsia="zh-CN"/>
        </w:rPr>
        <w:t>1、</w:t>
      </w:r>
      <w:r>
        <w:t>促进各项法律法规、人大决议、报告等的落实；促进“一府两院”改进工作；提高规范性文件质量；促进社会和谐稳定。</w:t>
      </w:r>
    </w:p>
    <w:p>
      <w:pPr>
        <w:pStyle w:val="26"/>
      </w:pPr>
      <w:r>
        <w:t>绩效目标：</w:t>
      </w:r>
      <w:r>
        <w:rPr>
          <w:rFonts w:hint="eastAsia"/>
          <w:lang w:eastAsia="zh-CN"/>
        </w:rPr>
        <w:t>持续</w:t>
      </w:r>
      <w:r>
        <w:rPr>
          <w:lang w:eastAsia="zh-CN"/>
        </w:rPr>
        <w:t>做好</w:t>
      </w:r>
      <w:r>
        <w:t>人大监督</w:t>
      </w:r>
      <w:r>
        <w:rPr>
          <w:rFonts w:hint="eastAsia"/>
          <w:lang w:eastAsia="zh-CN"/>
        </w:rPr>
        <w:t>工作</w:t>
      </w:r>
      <w:r>
        <w:t>。</w:t>
      </w:r>
    </w:p>
    <w:p>
      <w:pPr>
        <w:pStyle w:val="26"/>
      </w:pPr>
      <w:r>
        <w:t>绩效指标：促进各项法律法规、人大决议、报告等的落实；促进“一府一委两院”改进工作；提高规范性文件质量；促进社会和谐稳定。</w:t>
      </w:r>
    </w:p>
    <w:p>
      <w:pPr>
        <w:pStyle w:val="26"/>
      </w:pPr>
      <w:r>
        <w:rPr>
          <w:rFonts w:hint="eastAsia"/>
          <w:lang w:eastAsia="zh-CN"/>
        </w:rPr>
        <w:t>2、</w:t>
      </w:r>
      <w:r>
        <w:t>完善各项会议制度，规范会议程序，提高会议质量，提高人大代表及常委会审议水平。</w:t>
      </w:r>
    </w:p>
    <w:p>
      <w:pPr>
        <w:pStyle w:val="26"/>
      </w:pPr>
      <w:r>
        <w:t>绩效目标：</w:t>
      </w:r>
      <w:r>
        <w:rPr>
          <w:rFonts w:hint="eastAsia"/>
          <w:lang w:eastAsia="zh-CN"/>
        </w:rPr>
        <w:t>圆满完成</w:t>
      </w:r>
      <w:r>
        <w:rPr>
          <w:lang w:eastAsia="zh-CN"/>
        </w:rPr>
        <w:t>各项</w:t>
      </w:r>
      <w:r>
        <w:t>人大会议。</w:t>
      </w:r>
    </w:p>
    <w:p>
      <w:pPr>
        <w:pStyle w:val="26"/>
      </w:pPr>
      <w:r>
        <w:t>绩效指标：完善各项会议制度，规范会议程序，提高会议质量，提高人大代表及常委会审议水平。</w:t>
      </w:r>
    </w:p>
    <w:p>
      <w:pPr>
        <w:pStyle w:val="26"/>
      </w:pPr>
      <w:r>
        <w:rPr>
          <w:rFonts w:hint="eastAsia"/>
          <w:lang w:eastAsia="zh-CN"/>
        </w:rPr>
        <w:t>3、</w:t>
      </w:r>
      <w:r>
        <w:t>确保换届选举工作顺利完成，实现省市和区委人事安排部署；提高组织换届选举工作水平。</w:t>
      </w:r>
    </w:p>
    <w:p>
      <w:pPr>
        <w:pStyle w:val="26"/>
      </w:pPr>
      <w:r>
        <w:t>绩效目标：</w:t>
      </w:r>
      <w:r>
        <w:rPr>
          <w:rFonts w:hint="eastAsia"/>
          <w:lang w:eastAsia="zh-CN"/>
        </w:rPr>
        <w:t>做好</w:t>
      </w:r>
      <w:r>
        <w:t>选举和任免</w:t>
      </w:r>
      <w:r>
        <w:rPr>
          <w:rFonts w:hint="eastAsia"/>
          <w:lang w:eastAsia="zh-CN"/>
        </w:rPr>
        <w:t>工作</w:t>
      </w:r>
      <w:r>
        <w:t>。</w:t>
      </w:r>
    </w:p>
    <w:p>
      <w:pPr>
        <w:pStyle w:val="26"/>
      </w:pPr>
      <w:r>
        <w:t>绩效指标：依法组织指导区乡两级人大换届选举工作，确保换届选举工作顺利完成，实现区委人事安排部署；提高组织换届选举工作水平。高质量完成国家机关领导人选举和常委会人事任免服务工作。</w:t>
      </w:r>
    </w:p>
    <w:p>
      <w:pPr>
        <w:pStyle w:val="26"/>
      </w:pPr>
      <w:r>
        <w:rPr>
          <w:rFonts w:hint="eastAsia"/>
          <w:lang w:eastAsia="zh-CN"/>
        </w:rPr>
        <w:t>4、</w:t>
      </w:r>
      <w:r>
        <w:t>促进机关自身建设、服务保障能力进一步提升。</w:t>
      </w:r>
    </w:p>
    <w:p>
      <w:pPr>
        <w:pStyle w:val="26"/>
      </w:pPr>
      <w:r>
        <w:t>绩效目标：</w:t>
      </w:r>
      <w:r>
        <w:rPr>
          <w:rFonts w:hint="eastAsia"/>
          <w:lang w:eastAsia="zh-CN"/>
        </w:rPr>
        <w:t>提高</w:t>
      </w:r>
      <w:r>
        <w:t>人大事务管理</w:t>
      </w:r>
      <w:r>
        <w:rPr>
          <w:rFonts w:hint="eastAsia"/>
          <w:lang w:eastAsia="zh-CN"/>
        </w:rPr>
        <w:t>水平</w:t>
      </w:r>
      <w:r>
        <w:t>。</w:t>
      </w:r>
    </w:p>
    <w:p>
      <w:pPr>
        <w:pStyle w:val="26"/>
      </w:pPr>
      <w:r>
        <w:t>绩效指标：完善工作制度，加强业务培训，不断提高常委会把握大局能力和依法履职水平。促进机关自身建设、服务保障能力进一步提升。</w:t>
      </w:r>
    </w:p>
    <w:p>
      <w:pPr>
        <w:spacing w:line="500" w:lineRule="exact"/>
        <w:ind w:firstLine="560"/>
      </w:pPr>
      <w:r>
        <w:rPr>
          <w:rFonts w:eastAsia="方正仿宋_GBK"/>
          <w:color w:val="000000"/>
          <w:sz w:val="28"/>
        </w:rPr>
        <w:t>（三）工作保障措施</w:t>
      </w:r>
    </w:p>
    <w:p>
      <w:pPr>
        <w:pStyle w:val="27"/>
      </w:pPr>
      <w:r>
        <w:rPr>
          <w:rFonts w:hint="eastAsia"/>
          <w:lang w:eastAsia="zh-CN"/>
        </w:rPr>
        <w:t>1、</w:t>
      </w:r>
      <w:r>
        <w:t>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pStyle w:val="27"/>
      </w:pPr>
      <w:r>
        <w:rPr>
          <w:rFonts w:hint="eastAsia"/>
          <w:lang w:eastAsia="zh-CN"/>
        </w:rPr>
        <w:t>2、</w:t>
      </w:r>
      <w:r>
        <w:t>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pStyle w:val="27"/>
      </w:pPr>
      <w:r>
        <w:rPr>
          <w:rFonts w:hint="eastAsia"/>
          <w:lang w:eastAsia="zh-CN"/>
        </w:rPr>
        <w:t>3、</w:t>
      </w:r>
      <w:r>
        <w:t>强化决议决定落实监督。认真做好区人大及常委会决议决定的交办、反馈工作，通过听取审议报告、满意度测评和组织人大代表视察检查等方式，促进各项决议、决定落到实处。</w:t>
      </w:r>
    </w:p>
    <w:p>
      <w:pPr>
        <w:pStyle w:val="27"/>
      </w:pPr>
      <w:r>
        <w:rPr>
          <w:rFonts w:hint="eastAsia"/>
          <w:lang w:eastAsia="zh-CN"/>
        </w:rPr>
        <w:t>4、</w:t>
      </w:r>
      <w:r>
        <w:t>突出政府专项工作监督。聚焦改革发展稳定全局的重大问题，加强工作监督。常委会将重点听取和审议区政府的专项报告。同时，组织部分省、市、区人大代表开展重点项目视察。</w:t>
      </w:r>
    </w:p>
    <w:p>
      <w:pPr>
        <w:pStyle w:val="27"/>
      </w:pPr>
      <w:r>
        <w:rPr>
          <w:rFonts w:hint="eastAsia"/>
          <w:lang w:eastAsia="zh-CN"/>
        </w:rPr>
        <w:t>5、</w:t>
      </w:r>
      <w:r>
        <w:t>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pStyle w:val="27"/>
      </w:pPr>
      <w:r>
        <w:rPr>
          <w:rFonts w:hint="eastAsia"/>
          <w:lang w:eastAsia="zh-CN"/>
        </w:rPr>
        <w:t>6、</w:t>
      </w:r>
      <w:r>
        <w:t>围绕民生热点问题进行监督。关注人民群众普遍关注的热点、难点问题，加大监督力度，常委会将听取和审议区政府专项工作报告。</w:t>
      </w:r>
    </w:p>
    <w:p>
      <w:pPr>
        <w:pStyle w:val="27"/>
      </w:pPr>
      <w:r>
        <w:rPr>
          <w:rFonts w:hint="eastAsia"/>
          <w:lang w:eastAsia="zh-CN"/>
        </w:rPr>
        <w:t>7、</w:t>
      </w:r>
      <w:r>
        <w:t>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pStyle w:val="27"/>
      </w:pPr>
      <w:r>
        <w:rPr>
          <w:rFonts w:hint="eastAsia"/>
          <w:lang w:eastAsia="zh-CN"/>
        </w:rPr>
        <w:t>8、</w:t>
      </w:r>
      <w:r>
        <w:t>加强司法监督。加强对区法院、区检察院及司法机关的的监督，为全区经济社会发展提供公正、权威、高效的司法保障。围绕学习贯彻《民法典》加强宣传，开展监督，作出决定，营造学习贯彻氛围；对《未成年人保护法》贯彻落实情况进行跟踪监督，深化监督实效；深入开展规范性文件备案审查工作，实现规范化、常态化；做好法官、检察官履职评工作。</w:t>
      </w:r>
    </w:p>
    <w:p>
      <w:pPr>
        <w:pStyle w:val="27"/>
      </w:pPr>
      <w:r>
        <w:rPr>
          <w:rFonts w:hint="eastAsia"/>
          <w:lang w:eastAsia="zh-CN"/>
        </w:rPr>
        <w:t>9、</w:t>
      </w:r>
      <w:r>
        <w:t>关注监察机关运转情况，积极探索、强化监督方式方法，适时听取区监察委员会成立运转情况的专项报告。</w:t>
      </w:r>
    </w:p>
    <w:p>
      <w:pPr>
        <w:pStyle w:val="27"/>
      </w:pPr>
      <w:r>
        <w:rPr>
          <w:rFonts w:hint="eastAsia"/>
          <w:lang w:eastAsia="zh-CN"/>
        </w:rPr>
        <w:t>1</w:t>
      </w:r>
      <w:r>
        <w:rPr>
          <w:lang w:eastAsia="zh-CN"/>
        </w:rPr>
        <w:t>0</w:t>
      </w:r>
      <w:r>
        <w:rPr>
          <w:rFonts w:hint="eastAsia"/>
          <w:lang w:eastAsia="zh-CN"/>
        </w:rPr>
        <w:t>、</w:t>
      </w:r>
      <w:r>
        <w:t>开展对政府所属部门工作评议。通过调研、评议、整改等环节对部分政府所属部门进行工作评议。促进被评议部门进一步增强法律意识、责任意识、服务意识和自觉接受监督的意识，更好的改进工作，提高履职水平。</w:t>
      </w:r>
    </w:p>
    <w:p>
      <w:pPr>
        <w:pStyle w:val="27"/>
      </w:pPr>
      <w:r>
        <w:rPr>
          <w:rFonts w:hint="eastAsia"/>
          <w:lang w:eastAsia="zh-CN"/>
        </w:rPr>
        <w:t>11、</w:t>
      </w:r>
      <w:r>
        <w:t>做好信访工作监督。认真做好来信来访的受理、分析、交办、督查、督办和反馈各项工作，加大重要信访件督办力度。</w:t>
      </w:r>
    </w:p>
    <w:p>
      <w:pPr>
        <w:pStyle w:val="27"/>
      </w:pPr>
      <w:r>
        <w:rPr>
          <w:rFonts w:hint="eastAsia"/>
          <w:lang w:eastAsia="zh-CN"/>
        </w:rPr>
        <w:t>1</w:t>
      </w:r>
      <w:r>
        <w:rPr>
          <w:lang w:eastAsia="zh-CN"/>
        </w:rPr>
        <w:t>2</w:t>
      </w:r>
      <w:r>
        <w:rPr>
          <w:rFonts w:hint="eastAsia"/>
          <w:lang w:eastAsia="zh-CN"/>
        </w:rPr>
        <w:t>、</w:t>
      </w:r>
      <w:r>
        <w:t xml:space="preserve">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pStyle w:val="27"/>
      </w:pPr>
      <w:r>
        <w:rPr>
          <w:rFonts w:hint="eastAsia"/>
          <w:lang w:eastAsia="zh-CN"/>
        </w:rPr>
        <w:t>1</w:t>
      </w:r>
      <w:r>
        <w:rPr>
          <w:lang w:eastAsia="zh-CN"/>
        </w:rPr>
        <w:t>3</w:t>
      </w:r>
      <w:r>
        <w:rPr>
          <w:rFonts w:hint="eastAsia"/>
          <w:lang w:eastAsia="zh-CN"/>
        </w:rPr>
        <w:t>、</w:t>
      </w:r>
      <w:r>
        <w:t>创新联系机制。坚持常委会组成人员联系代表制度，邀请代表列席常委会会议和参加执法检查、视察调研、专题询问等活动，拓宽代表知情知政渠道，扩大代表有序政治参与。深入发挥“代表家站”和“智慧人大”平台作用，强化管理，充实内容，广泛开展丰富多彩的活动，特别是组织开展“代表回选区、见选民”活动，密切代表与选民群众的联系。</w:t>
      </w:r>
    </w:p>
    <w:p>
      <w:pPr>
        <w:pStyle w:val="27"/>
      </w:pPr>
      <w:r>
        <w:rPr>
          <w:rFonts w:hint="eastAsia"/>
          <w:lang w:eastAsia="zh-CN"/>
        </w:rPr>
        <w:t>1</w:t>
      </w:r>
      <w:r>
        <w:rPr>
          <w:lang w:eastAsia="zh-CN"/>
        </w:rPr>
        <w:t>4</w:t>
      </w:r>
      <w:r>
        <w:rPr>
          <w:rFonts w:hint="eastAsia"/>
          <w:lang w:eastAsia="zh-CN"/>
        </w:rPr>
        <w:t>、</w:t>
      </w:r>
      <w:r>
        <w:t>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pStyle w:val="27"/>
      </w:pPr>
      <w:r>
        <w:rPr>
          <w:rFonts w:hint="eastAsia"/>
          <w:lang w:eastAsia="zh-CN"/>
        </w:rPr>
        <w:t>1</w:t>
      </w:r>
      <w:r>
        <w:rPr>
          <w:lang w:eastAsia="zh-CN"/>
        </w:rPr>
        <w:t>5</w:t>
      </w:r>
      <w:r>
        <w:rPr>
          <w:rFonts w:hint="eastAsia"/>
          <w:lang w:eastAsia="zh-CN"/>
        </w:rPr>
        <w:t>、</w:t>
      </w:r>
      <w:r>
        <w:t>创新履职机制。加强代表履职的组织引领和服务推动，有计划地安排代表闭会期间活动。通过组织业务培训、观摩交流、健全履职档案，规范代表管理，实现代表履职常态化。探索更多、更有效的代表活动方式，以争创“三好代表”活动为统领，着力提高代表贡献率和活跃度，引导代表在服务发展大局、紧密联系群众、为民排忧解难上发挥独特作用。</w:t>
      </w:r>
    </w:p>
    <w:p>
      <w:pPr>
        <w:pStyle w:val="27"/>
      </w:pPr>
      <w:r>
        <w:rPr>
          <w:rFonts w:hint="eastAsia"/>
          <w:lang w:eastAsia="zh-CN"/>
        </w:rPr>
        <w:t>1</w:t>
      </w:r>
      <w:r>
        <w:rPr>
          <w:lang w:eastAsia="zh-CN"/>
        </w:rPr>
        <w:t>6</w:t>
      </w:r>
      <w:r>
        <w:rPr>
          <w:rFonts w:hint="eastAsia"/>
          <w:lang w:eastAsia="zh-CN"/>
        </w:rPr>
        <w:t>、</w:t>
      </w:r>
      <w:r>
        <w:t>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pStyle w:val="27"/>
      </w:pPr>
      <w:r>
        <w:rPr>
          <w:rFonts w:hint="eastAsia"/>
          <w:lang w:eastAsia="zh-CN"/>
        </w:rPr>
        <w:t>1</w:t>
      </w:r>
      <w:r>
        <w:rPr>
          <w:lang w:eastAsia="zh-CN"/>
        </w:rPr>
        <w:t>7</w:t>
      </w:r>
      <w:r>
        <w:rPr>
          <w:rFonts w:hint="eastAsia"/>
          <w:lang w:eastAsia="zh-CN"/>
        </w:rPr>
        <w:t>、</w:t>
      </w:r>
      <w:r>
        <w:t>加强履职能力建设。紧紧围绕全区中心工作、常委会年度履职重点、社会关切热点等事项，深入、系统地开展调查研究，广泛汇聚各方智慧，为区委、区政府决策和常委会审议提供参考依据、夯实民意基础。</w:t>
      </w:r>
    </w:p>
    <w:p>
      <w:pPr>
        <w:pStyle w:val="27"/>
      </w:pPr>
      <w:r>
        <w:rPr>
          <w:rFonts w:hint="eastAsia"/>
          <w:lang w:eastAsia="zh-CN"/>
        </w:rPr>
        <w:t>1</w:t>
      </w:r>
      <w:r>
        <w:rPr>
          <w:lang w:eastAsia="zh-CN"/>
        </w:rPr>
        <w:t>8</w:t>
      </w:r>
      <w:r>
        <w:rPr>
          <w:rFonts w:hint="eastAsia"/>
          <w:lang w:eastAsia="zh-CN"/>
        </w:rPr>
        <w:t>、</w:t>
      </w:r>
      <w:r>
        <w:t>加强宣传信息工作。充分发挥丰南人大微信公众号、“代表家站”和“智慧人大”平台作用，为人大工作开展营造良好社会环境。加强向省、市人大信息载体的反馈力度，宣传我区人大工作好的经验和做法。</w:t>
      </w:r>
    </w:p>
    <w:p>
      <w:pPr>
        <w:pStyle w:val="27"/>
      </w:pPr>
      <w:r>
        <w:rPr>
          <w:rFonts w:hint="eastAsia"/>
          <w:lang w:eastAsia="zh-CN"/>
        </w:rPr>
        <w:t>19、</w:t>
      </w:r>
      <w:r>
        <w:t>完善制度建设。制定完善预算绩效管理制度、资金管理办法、工作保障制度等，为全年预算绩效目标的实现奠定制度基础。</w:t>
      </w:r>
    </w:p>
    <w:p>
      <w:pPr>
        <w:pStyle w:val="27"/>
      </w:pPr>
      <w:r>
        <w:rPr>
          <w:rFonts w:hint="eastAsia"/>
          <w:lang w:eastAsia="zh-CN"/>
        </w:rPr>
        <w:t>20、</w:t>
      </w:r>
      <w:r>
        <w:t>加强支出管理。通过优化支出结构、编细编实预算、加快履行政府采购手续、尽快启动项目、及时支付资金、6月底前细化代编预算、按规定及时下达资金等多种措施，确保支出进度达标。</w:t>
      </w:r>
    </w:p>
    <w:p>
      <w:pPr>
        <w:pStyle w:val="27"/>
      </w:pPr>
      <w:r>
        <w:rPr>
          <w:rFonts w:hint="eastAsia"/>
          <w:lang w:eastAsia="zh-CN"/>
        </w:rPr>
        <w:t>21、</w:t>
      </w:r>
      <w:r>
        <w:t>加强绩效运行监控。按要求开展绩效运行监控，发现问题及时采取措施，确保绩效目标如期保质实现。</w:t>
      </w:r>
    </w:p>
    <w:p>
      <w:pPr>
        <w:pStyle w:val="27"/>
      </w:pPr>
      <w:r>
        <w:rPr>
          <w:rFonts w:hint="eastAsia"/>
          <w:lang w:eastAsia="zh-CN"/>
        </w:rPr>
        <w:t>22、</w:t>
      </w:r>
      <w:r>
        <w:t>做好绩效自评。按要求开展上年度部门预算绩效自评和重点评价工作，对评价中发现的问题及时整改，调整优化支出结构，提高财政资金使用效益。</w:t>
      </w:r>
    </w:p>
    <w:p>
      <w:pPr>
        <w:pStyle w:val="27"/>
      </w:pPr>
      <w:r>
        <w:rPr>
          <w:rFonts w:hint="eastAsia"/>
          <w:lang w:eastAsia="zh-CN"/>
        </w:rPr>
        <w:t>23、</w:t>
      </w:r>
      <w:r>
        <w:t>规范财务资产管理。完善财务管理制度，严格审批程序，加强固定资产登记、使用和报废处置管理，做到支出合理，物尽其用。</w:t>
      </w:r>
    </w:p>
    <w:p>
      <w:pPr>
        <w:pStyle w:val="27"/>
      </w:pPr>
      <w:r>
        <w:rPr>
          <w:rFonts w:hint="eastAsia"/>
          <w:lang w:eastAsia="zh-CN"/>
        </w:rPr>
        <w:t>24、</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rPr>
          <w:rFonts w:hint="eastAsia"/>
          <w:lang w:eastAsia="zh-CN"/>
        </w:rPr>
        <w:t>25、</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仿宋_GBK" w:cs="方正楷体_GBK"/>
          <w:sz w:val="28"/>
          <w:lang w:val="uk-UA"/>
        </w:rPr>
        <w:sectPr>
          <w:pgSz w:w="16840" w:h="11900" w:orient="landscape"/>
          <w:pgMar w:top="1361" w:right="1020" w:bottom="1361" w:left="1020" w:header="720" w:footer="720" w:gutter="0"/>
          <w:cols w:space="720" w:num="1"/>
          <w:docGrid w:linePitch="326" w:charSpace="0"/>
        </w:sectPr>
      </w:pPr>
      <w:r>
        <w:rPr>
          <w:rFonts w:eastAsia="方正仿宋_GBK" w:cs="方正楷体_GBK"/>
          <w:sz w:val="28"/>
        </w:rPr>
        <w:t>2022年我部门无专项资金。</w:t>
      </w:r>
    </w:p>
    <w:p>
      <w:pPr>
        <w:ind w:firstLine="640"/>
        <w:rPr>
          <w:rFonts w:asciiTheme="minorHAnsi" w:hAnsiTheme="minorHAnsi"/>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1、公务车购置绩效目标表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1.根据车辆控办批准情况，预计10月底之前完成车辆购置工作。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车辆购置数</w:t>
            </w:r>
          </w:p>
        </w:tc>
        <w:tc>
          <w:tcPr>
            <w:tcW w:w="2835" w:type="dxa"/>
            <w:vAlign w:val="center"/>
          </w:tcPr>
          <w:p>
            <w:pPr>
              <w:pStyle w:val="16"/>
            </w:pPr>
            <w:r>
              <w:t>车辆购置数</w:t>
            </w:r>
          </w:p>
        </w:tc>
        <w:tc>
          <w:tcPr>
            <w:tcW w:w="2551" w:type="dxa"/>
            <w:vAlign w:val="center"/>
          </w:tcPr>
          <w:p>
            <w:pPr>
              <w:pStyle w:val="16"/>
            </w:pPr>
            <w:r>
              <w:t>1辆</w:t>
            </w:r>
          </w:p>
        </w:tc>
        <w:tc>
          <w:tcPr>
            <w:tcW w:w="2268" w:type="dxa"/>
            <w:vAlign w:val="center"/>
          </w:tcPr>
          <w:p>
            <w:pPr>
              <w:pStyle w:val="16"/>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公务车</w:t>
            </w:r>
          </w:p>
        </w:tc>
        <w:tc>
          <w:tcPr>
            <w:tcW w:w="2551" w:type="dxa"/>
            <w:vAlign w:val="center"/>
          </w:tcPr>
          <w:p>
            <w:pPr>
              <w:pStyle w:val="16"/>
            </w:pPr>
            <w:r>
              <w:t>100%</w:t>
            </w:r>
          </w:p>
        </w:tc>
        <w:tc>
          <w:tcPr>
            <w:tcW w:w="2268" w:type="dxa"/>
            <w:vAlign w:val="center"/>
          </w:tcPr>
          <w:p>
            <w:pPr>
              <w:pStyle w:val="16"/>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及时购置</w:t>
            </w:r>
          </w:p>
        </w:tc>
        <w:tc>
          <w:tcPr>
            <w:tcW w:w="2835" w:type="dxa"/>
            <w:vAlign w:val="center"/>
          </w:tcPr>
          <w:p>
            <w:pPr>
              <w:pStyle w:val="16"/>
            </w:pPr>
            <w:r>
              <w:t>及时购置情况</w:t>
            </w:r>
          </w:p>
        </w:tc>
        <w:tc>
          <w:tcPr>
            <w:tcW w:w="2551" w:type="dxa"/>
            <w:vAlign w:val="center"/>
          </w:tcPr>
          <w:p>
            <w:pPr>
              <w:pStyle w:val="16"/>
            </w:pPr>
            <w:r>
              <w:t>按时购置</w:t>
            </w:r>
          </w:p>
        </w:tc>
        <w:tc>
          <w:tcPr>
            <w:tcW w:w="2268" w:type="dxa"/>
            <w:vAlign w:val="center"/>
          </w:tcPr>
          <w:p>
            <w:pPr>
              <w:pStyle w:val="16"/>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投入成本降低比%</w:t>
            </w:r>
          </w:p>
        </w:tc>
        <w:tc>
          <w:tcPr>
            <w:tcW w:w="2835" w:type="dxa"/>
            <w:vAlign w:val="center"/>
          </w:tcPr>
          <w:p>
            <w:pPr>
              <w:pStyle w:val="16"/>
            </w:pPr>
            <w:r>
              <w:t>投入成本降低比%</w:t>
            </w:r>
          </w:p>
        </w:tc>
        <w:tc>
          <w:tcPr>
            <w:tcW w:w="2551" w:type="dxa"/>
            <w:vAlign w:val="center"/>
          </w:tcPr>
          <w:p>
            <w:pPr>
              <w:pStyle w:val="16"/>
            </w:pPr>
            <w:r>
              <w:t>≥1%</w:t>
            </w:r>
          </w:p>
        </w:tc>
        <w:tc>
          <w:tcPr>
            <w:tcW w:w="2268" w:type="dxa"/>
            <w:vAlign w:val="center"/>
          </w:tcPr>
          <w:p>
            <w:pPr>
              <w:pStyle w:val="16"/>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保障机关公务出行需要</w:t>
            </w:r>
          </w:p>
        </w:tc>
        <w:tc>
          <w:tcPr>
            <w:tcW w:w="2551" w:type="dxa"/>
            <w:vAlign w:val="center"/>
          </w:tcPr>
          <w:p>
            <w:pPr>
              <w:pStyle w:val="16"/>
            </w:pPr>
            <w:r>
              <w:t>有力保障</w:t>
            </w:r>
          </w:p>
        </w:tc>
        <w:tc>
          <w:tcPr>
            <w:tcW w:w="2268" w:type="dxa"/>
            <w:vAlign w:val="center"/>
          </w:tcPr>
          <w:p>
            <w:pPr>
              <w:pStyle w:val="16"/>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单位用车满意率</w:t>
            </w:r>
          </w:p>
        </w:tc>
        <w:tc>
          <w:tcPr>
            <w:tcW w:w="2835" w:type="dxa"/>
            <w:vAlign w:val="center"/>
          </w:tcPr>
          <w:p>
            <w:pPr>
              <w:pStyle w:val="16"/>
            </w:pPr>
            <w:r>
              <w:t>单位用车满意情况</w:t>
            </w:r>
          </w:p>
        </w:tc>
        <w:tc>
          <w:tcPr>
            <w:tcW w:w="2551" w:type="dxa"/>
            <w:vAlign w:val="center"/>
          </w:tcPr>
          <w:p>
            <w:pPr>
              <w:pStyle w:val="16"/>
            </w:pPr>
            <w:r>
              <w:t>满意</w:t>
            </w:r>
          </w:p>
        </w:tc>
        <w:tc>
          <w:tcPr>
            <w:tcW w:w="2268" w:type="dxa"/>
            <w:vAlign w:val="center"/>
          </w:tcPr>
          <w:p>
            <w:pPr>
              <w:pStyle w:val="16"/>
            </w:pPr>
            <w:r>
              <w:t>常委会工作计划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1.2022年，圆满完成区七届人大二次会议、预算初审等会议。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代表参会率</w:t>
            </w:r>
          </w:p>
        </w:tc>
        <w:tc>
          <w:tcPr>
            <w:tcW w:w="2835" w:type="dxa"/>
            <w:vAlign w:val="center"/>
          </w:tcPr>
          <w:p>
            <w:pPr>
              <w:pStyle w:val="16"/>
            </w:pPr>
            <w:r>
              <w:t>代表参会率</w:t>
            </w:r>
          </w:p>
        </w:tc>
        <w:tc>
          <w:tcPr>
            <w:tcW w:w="2551" w:type="dxa"/>
            <w:vAlign w:val="center"/>
          </w:tcPr>
          <w:p>
            <w:pPr>
              <w:pStyle w:val="16"/>
            </w:pPr>
            <w:r>
              <w:t>≥98%</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会议任务完成情况</w:t>
            </w:r>
          </w:p>
        </w:tc>
        <w:tc>
          <w:tcPr>
            <w:tcW w:w="2835" w:type="dxa"/>
            <w:vAlign w:val="center"/>
          </w:tcPr>
          <w:p>
            <w:pPr>
              <w:pStyle w:val="16"/>
            </w:pPr>
            <w:r>
              <w:t>会议任务完成情况</w:t>
            </w:r>
          </w:p>
        </w:tc>
        <w:tc>
          <w:tcPr>
            <w:tcW w:w="2551" w:type="dxa"/>
            <w:vAlign w:val="center"/>
          </w:tcPr>
          <w:p>
            <w:pPr>
              <w:pStyle w:val="16"/>
            </w:pPr>
            <w:r>
              <w:t>全部完成</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任务完成及时率</w:t>
            </w:r>
          </w:p>
        </w:tc>
        <w:tc>
          <w:tcPr>
            <w:tcW w:w="2551" w:type="dxa"/>
            <w:vAlign w:val="center"/>
          </w:tcPr>
          <w:p>
            <w:pPr>
              <w:pStyle w:val="16"/>
            </w:pPr>
            <w:r>
              <w:t>100%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按会议标准</w:t>
            </w:r>
          </w:p>
        </w:tc>
        <w:tc>
          <w:tcPr>
            <w:tcW w:w="2835" w:type="dxa"/>
            <w:vAlign w:val="center"/>
          </w:tcPr>
          <w:p>
            <w:pPr>
              <w:pStyle w:val="16"/>
            </w:pPr>
            <w:r>
              <w:t>按会议标准</w:t>
            </w:r>
          </w:p>
        </w:tc>
        <w:tc>
          <w:tcPr>
            <w:tcW w:w="2551" w:type="dxa"/>
            <w:vAlign w:val="center"/>
          </w:tcPr>
          <w:p>
            <w:pPr>
              <w:pStyle w:val="16"/>
            </w:pPr>
            <w:r>
              <w:t>按会议标准</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持续发挥作用力</w:t>
            </w:r>
          </w:p>
        </w:tc>
        <w:tc>
          <w:tcPr>
            <w:tcW w:w="2835" w:type="dxa"/>
            <w:vAlign w:val="center"/>
          </w:tcPr>
          <w:p>
            <w:pPr>
              <w:pStyle w:val="16"/>
            </w:pPr>
            <w:r>
              <w:t>持续发挥作用力</w:t>
            </w:r>
          </w:p>
        </w:tc>
        <w:tc>
          <w:tcPr>
            <w:tcW w:w="2551" w:type="dxa"/>
            <w:vAlign w:val="center"/>
          </w:tcPr>
          <w:p>
            <w:pPr>
              <w:pStyle w:val="16"/>
            </w:pPr>
            <w:r>
              <w:t>有力促进</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代表满意度</w:t>
            </w:r>
          </w:p>
        </w:tc>
        <w:tc>
          <w:tcPr>
            <w:tcW w:w="2835" w:type="dxa"/>
            <w:vAlign w:val="center"/>
          </w:tcPr>
          <w:p>
            <w:pPr>
              <w:pStyle w:val="16"/>
            </w:pPr>
            <w:r>
              <w:t>代表满意度</w:t>
            </w:r>
          </w:p>
        </w:tc>
        <w:tc>
          <w:tcPr>
            <w:tcW w:w="2551" w:type="dxa"/>
            <w:vAlign w:val="center"/>
          </w:tcPr>
          <w:p>
            <w:pPr>
              <w:pStyle w:val="16"/>
            </w:pPr>
            <w:r>
              <w:t>满意</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3、区代表活动经费绩效目标表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1.按照区人大常委会工作安排，计划安排约60人次，分批到全国人大培训基地和其他省市培训中心学习培训，提高代表履职能力。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常委会人员培训率</w:t>
            </w:r>
          </w:p>
        </w:tc>
        <w:tc>
          <w:tcPr>
            <w:tcW w:w="2835" w:type="dxa"/>
            <w:vAlign w:val="center"/>
          </w:tcPr>
          <w:p>
            <w:pPr>
              <w:pStyle w:val="16"/>
            </w:pPr>
            <w:r>
              <w:t>常委会人员培训率</w:t>
            </w:r>
          </w:p>
        </w:tc>
        <w:tc>
          <w:tcPr>
            <w:tcW w:w="2551" w:type="dxa"/>
            <w:vAlign w:val="center"/>
          </w:tcPr>
          <w:p>
            <w:pPr>
              <w:pStyle w:val="16"/>
            </w:pPr>
            <w:r>
              <w:t>100%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培训质量情况</w:t>
            </w:r>
          </w:p>
        </w:tc>
        <w:tc>
          <w:tcPr>
            <w:tcW w:w="2835" w:type="dxa"/>
            <w:vAlign w:val="center"/>
          </w:tcPr>
          <w:p>
            <w:pPr>
              <w:pStyle w:val="16"/>
            </w:pPr>
            <w:r>
              <w:t>培训质量情况</w:t>
            </w:r>
          </w:p>
        </w:tc>
        <w:tc>
          <w:tcPr>
            <w:tcW w:w="2551" w:type="dxa"/>
            <w:vAlign w:val="center"/>
          </w:tcPr>
          <w:p>
            <w:pPr>
              <w:pStyle w:val="16"/>
            </w:pPr>
            <w:r>
              <w:t>提高培训质量</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及时组织培训</w:t>
            </w:r>
          </w:p>
        </w:tc>
        <w:tc>
          <w:tcPr>
            <w:tcW w:w="2835" w:type="dxa"/>
            <w:vAlign w:val="center"/>
          </w:tcPr>
          <w:p>
            <w:pPr>
              <w:pStyle w:val="16"/>
            </w:pPr>
            <w:r>
              <w:t>及时组织培训</w:t>
            </w:r>
          </w:p>
        </w:tc>
        <w:tc>
          <w:tcPr>
            <w:tcW w:w="2551" w:type="dxa"/>
            <w:vAlign w:val="center"/>
          </w:tcPr>
          <w:p>
            <w:pPr>
              <w:pStyle w:val="16"/>
            </w:pPr>
            <w:r>
              <w:t>及时组织</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人均专家聘用费</w:t>
            </w:r>
          </w:p>
        </w:tc>
        <w:tc>
          <w:tcPr>
            <w:tcW w:w="2835" w:type="dxa"/>
            <w:vAlign w:val="center"/>
          </w:tcPr>
          <w:p>
            <w:pPr>
              <w:pStyle w:val="16"/>
            </w:pPr>
            <w:r>
              <w:t>人均专家聘用费</w:t>
            </w:r>
          </w:p>
        </w:tc>
        <w:tc>
          <w:tcPr>
            <w:tcW w:w="2551" w:type="dxa"/>
            <w:vAlign w:val="center"/>
          </w:tcPr>
          <w:p>
            <w:pPr>
              <w:pStyle w:val="16"/>
            </w:pPr>
            <w:r>
              <w:t>按培训标准</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履职能力的提升</w:t>
            </w:r>
          </w:p>
        </w:tc>
        <w:tc>
          <w:tcPr>
            <w:tcW w:w="2835" w:type="dxa"/>
            <w:vAlign w:val="center"/>
          </w:tcPr>
          <w:p>
            <w:pPr>
              <w:pStyle w:val="16"/>
            </w:pPr>
            <w:r>
              <w:t>履职能力的提升</w:t>
            </w:r>
          </w:p>
        </w:tc>
        <w:tc>
          <w:tcPr>
            <w:tcW w:w="2551" w:type="dxa"/>
            <w:vAlign w:val="center"/>
          </w:tcPr>
          <w:p>
            <w:pPr>
              <w:pStyle w:val="16"/>
            </w:pPr>
            <w:r>
              <w:t>显著提高</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参会人员满意度</w:t>
            </w:r>
          </w:p>
        </w:tc>
        <w:tc>
          <w:tcPr>
            <w:tcW w:w="2551" w:type="dxa"/>
            <w:vAlign w:val="center"/>
          </w:tcPr>
          <w:p>
            <w:pPr>
              <w:pStyle w:val="16"/>
            </w:pPr>
            <w:r>
              <w:t>满意</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4、人大代表之家（联络站）运行经费绩效目标表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代表参加活动率</w:t>
            </w:r>
          </w:p>
        </w:tc>
        <w:tc>
          <w:tcPr>
            <w:tcW w:w="2835" w:type="dxa"/>
            <w:vAlign w:val="center"/>
          </w:tcPr>
          <w:p>
            <w:pPr>
              <w:pStyle w:val="16"/>
            </w:pPr>
            <w:r>
              <w:t>代表参加活动的比例</w:t>
            </w:r>
          </w:p>
        </w:tc>
        <w:tc>
          <w:tcPr>
            <w:tcW w:w="2551" w:type="dxa"/>
            <w:vAlign w:val="center"/>
          </w:tcPr>
          <w:p>
            <w:pPr>
              <w:pStyle w:val="16"/>
            </w:pPr>
            <w:r>
              <w:t>≥90%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正常运转率</w:t>
            </w:r>
          </w:p>
        </w:tc>
        <w:tc>
          <w:tcPr>
            <w:tcW w:w="2835" w:type="dxa"/>
            <w:vAlign w:val="center"/>
          </w:tcPr>
          <w:p>
            <w:pPr>
              <w:pStyle w:val="16"/>
            </w:pPr>
            <w:r>
              <w:t>正常运转率</w:t>
            </w:r>
          </w:p>
        </w:tc>
        <w:tc>
          <w:tcPr>
            <w:tcW w:w="2551" w:type="dxa"/>
            <w:vAlign w:val="center"/>
          </w:tcPr>
          <w:p>
            <w:pPr>
              <w:pStyle w:val="16"/>
            </w:pPr>
            <w:r>
              <w:t>≥98%</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活动开展的及时性</w:t>
            </w:r>
          </w:p>
        </w:tc>
        <w:tc>
          <w:tcPr>
            <w:tcW w:w="2835" w:type="dxa"/>
            <w:vAlign w:val="center"/>
          </w:tcPr>
          <w:p>
            <w:pPr>
              <w:pStyle w:val="16"/>
            </w:pPr>
            <w:r>
              <w:t>活动开展的及时性</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2835" w:type="dxa"/>
            <w:vAlign w:val="center"/>
          </w:tcPr>
          <w:p>
            <w:pPr>
              <w:pStyle w:val="16"/>
            </w:pPr>
            <w:r>
              <w:t>运行保障成本</w:t>
            </w:r>
          </w:p>
        </w:tc>
        <w:tc>
          <w:tcPr>
            <w:tcW w:w="2551" w:type="dxa"/>
            <w:vAlign w:val="center"/>
          </w:tcPr>
          <w:p>
            <w:pPr>
              <w:pStyle w:val="16"/>
            </w:pPr>
            <w:r>
              <w:t>降低保障成本</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提高各级代表的履职能力</w:t>
            </w:r>
          </w:p>
        </w:tc>
        <w:tc>
          <w:tcPr>
            <w:tcW w:w="2835" w:type="dxa"/>
            <w:vAlign w:val="center"/>
          </w:tcPr>
          <w:p>
            <w:pPr>
              <w:pStyle w:val="16"/>
            </w:pPr>
            <w:r>
              <w:t>提高各级代表的履职能力</w:t>
            </w:r>
          </w:p>
        </w:tc>
        <w:tc>
          <w:tcPr>
            <w:tcW w:w="2551" w:type="dxa"/>
            <w:vAlign w:val="center"/>
          </w:tcPr>
          <w:p>
            <w:pPr>
              <w:pStyle w:val="16"/>
            </w:pPr>
            <w:r>
              <w:t>显著提高</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≥98%</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工作人员参加培训率</w:t>
            </w:r>
          </w:p>
        </w:tc>
        <w:tc>
          <w:tcPr>
            <w:tcW w:w="2835" w:type="dxa"/>
            <w:vAlign w:val="center"/>
          </w:tcPr>
          <w:p>
            <w:pPr>
              <w:pStyle w:val="16"/>
            </w:pPr>
            <w:r>
              <w:t>工作人员参加培训率</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会刊的编辑及印刷完成率</w:t>
            </w:r>
          </w:p>
        </w:tc>
        <w:tc>
          <w:tcPr>
            <w:tcW w:w="2835" w:type="dxa"/>
            <w:vAlign w:val="center"/>
          </w:tcPr>
          <w:p>
            <w:pPr>
              <w:pStyle w:val="16"/>
            </w:pPr>
            <w:r>
              <w:t>会刊的编辑及印刷完成率</w:t>
            </w:r>
          </w:p>
        </w:tc>
        <w:tc>
          <w:tcPr>
            <w:tcW w:w="2551" w:type="dxa"/>
            <w:vAlign w:val="center"/>
          </w:tcPr>
          <w:p>
            <w:pPr>
              <w:pStyle w:val="16"/>
            </w:pPr>
            <w:r>
              <w:t>100%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综合业务管理工作完成率</w:t>
            </w:r>
          </w:p>
        </w:tc>
        <w:tc>
          <w:tcPr>
            <w:tcW w:w="2835" w:type="dxa"/>
            <w:vAlign w:val="center"/>
          </w:tcPr>
          <w:p>
            <w:pPr>
              <w:pStyle w:val="16"/>
            </w:pPr>
            <w:r>
              <w:t>综合业务管理工作完成率</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显著增强</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满意</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2022年，唐山市丰南区人民代表大会常务委员会办公室安排政府采购预算7万元。具体内容见下表。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lang w:eastAsia="zh-CN"/>
              </w:rPr>
            </w:pPr>
            <w:r>
              <w:rPr>
                <w:rFonts w:hint="eastAsia"/>
                <w:lang w:eastAsia="zh-CN"/>
              </w:rPr>
              <w:t>业务费</w:t>
            </w:r>
            <w:r>
              <w:rPr>
                <w:lang w:eastAsia="zh-CN"/>
              </w:rPr>
              <w:t>-办公设备购置</w:t>
            </w:r>
          </w:p>
        </w:tc>
        <w:tc>
          <w:tcPr>
            <w:tcW w:w="964" w:type="dxa"/>
            <w:vAlign w:val="center"/>
          </w:tcPr>
          <w:p>
            <w:pPr>
              <w:pStyle w:val="15"/>
              <w:rPr>
                <w:lang w:eastAsia="zh-CN"/>
              </w:rPr>
            </w:pPr>
            <w:r>
              <w:rPr>
                <w:rFonts w:hint="eastAsia"/>
                <w:lang w:eastAsia="zh-CN"/>
              </w:rPr>
              <w:t>7</w:t>
            </w:r>
          </w:p>
        </w:tc>
        <w:tc>
          <w:tcPr>
            <w:tcW w:w="1134" w:type="dxa"/>
            <w:vAlign w:val="center"/>
          </w:tcPr>
          <w:p>
            <w:pPr>
              <w:pStyle w:val="16"/>
              <w:rPr>
                <w:lang w:eastAsia="zh-CN"/>
              </w:rPr>
            </w:pPr>
            <w:r>
              <w:rPr>
                <w:rFonts w:hint="eastAsia"/>
                <w:lang w:eastAsia="zh-CN"/>
              </w:rPr>
              <w:t>音响</w:t>
            </w:r>
            <w:r>
              <w:rPr>
                <w:lang w:eastAsia="zh-CN"/>
              </w:rPr>
              <w:t>设备</w:t>
            </w:r>
          </w:p>
        </w:tc>
        <w:tc>
          <w:tcPr>
            <w:tcW w:w="1134" w:type="dxa"/>
            <w:vAlign w:val="center"/>
          </w:tcPr>
          <w:p>
            <w:pPr>
              <w:pStyle w:val="16"/>
            </w:pPr>
          </w:p>
        </w:tc>
        <w:tc>
          <w:tcPr>
            <w:tcW w:w="709" w:type="dxa"/>
            <w:vAlign w:val="center"/>
          </w:tcPr>
          <w:p>
            <w:pPr>
              <w:pStyle w:val="17"/>
              <w:rPr>
                <w:lang w:eastAsia="zh-CN"/>
              </w:rPr>
            </w:pPr>
            <w:r>
              <w:rPr>
                <w:rFonts w:hint="eastAsia"/>
                <w:lang w:eastAsia="zh-CN"/>
              </w:rPr>
              <w:t>套</w:t>
            </w:r>
          </w:p>
        </w:tc>
        <w:tc>
          <w:tcPr>
            <w:tcW w:w="850" w:type="dxa"/>
            <w:vAlign w:val="center"/>
          </w:tcPr>
          <w:p>
            <w:pPr>
              <w:pStyle w:val="15"/>
              <w:rPr>
                <w:lang w:eastAsia="zh-CN"/>
              </w:rPr>
            </w:pPr>
            <w:r>
              <w:rPr>
                <w:rFonts w:hint="eastAsia"/>
                <w:lang w:eastAsia="zh-CN"/>
              </w:rPr>
              <w:t>1</w:t>
            </w:r>
          </w:p>
        </w:tc>
        <w:tc>
          <w:tcPr>
            <w:tcW w:w="850" w:type="dxa"/>
            <w:vAlign w:val="center"/>
          </w:tcPr>
          <w:p>
            <w:pPr>
              <w:pStyle w:val="15"/>
              <w:rPr>
                <w:lang w:eastAsia="zh-CN"/>
              </w:rPr>
            </w:pPr>
            <w:r>
              <w:rPr>
                <w:rFonts w:hint="eastAsia"/>
                <w:lang w:eastAsia="zh-CN"/>
              </w:rPr>
              <w:t>7</w:t>
            </w:r>
          </w:p>
        </w:tc>
        <w:tc>
          <w:tcPr>
            <w:tcW w:w="964" w:type="dxa"/>
            <w:vAlign w:val="center"/>
          </w:tcPr>
          <w:p>
            <w:pPr>
              <w:pStyle w:val="15"/>
              <w:rPr>
                <w:lang w:eastAsia="zh-CN"/>
              </w:rPr>
            </w:pPr>
            <w:r>
              <w:rPr>
                <w:rFonts w:hint="eastAsia"/>
                <w:lang w:eastAsia="zh-CN"/>
              </w:rPr>
              <w:t>7</w:t>
            </w:r>
          </w:p>
        </w:tc>
        <w:tc>
          <w:tcPr>
            <w:tcW w:w="964" w:type="dxa"/>
            <w:vAlign w:val="center"/>
          </w:tcPr>
          <w:p>
            <w:pPr>
              <w:pStyle w:val="15"/>
              <w:rPr>
                <w:lang w:eastAsia="zh-CN"/>
              </w:rPr>
            </w:pPr>
            <w:r>
              <w:rPr>
                <w:rFonts w:hint="eastAsia"/>
                <w:lang w:eastAsia="zh-CN"/>
              </w:rPr>
              <w:t>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唐山市丰南区人民代表大会常务委员会办公室（含所属单位）上年末固定资产金额为114.71万元（详见下表）。本年度拟购置固定资产总额为7万元，已按要求列入政府采购预算，详见政府采购预算表。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301唐山市丰南区人民代表大会常务委员会办公室</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114.71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0</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3</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153</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70.48</w:t>
            </w:r>
          </w:p>
        </w:tc>
      </w:tr>
    </w:tbl>
    <w:p>
      <w:pPr>
        <w:ind w:firstLine="420"/>
        <w:rPr>
          <w:rFonts w:asciiTheme="minorHAnsi" w:hAnsiTheme="minorHAnsi"/>
          <w:lang w:val="uk-UA"/>
        </w:rPr>
      </w:pPr>
    </w:p>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rPr>
          <w:rFonts w:hAnsi="宋体"/>
          <w:color w:val="000000" w:themeColor="text1"/>
          <w:sz w:val="28"/>
        </w:rPr>
      </w:pPr>
      <w:r>
        <w:rPr>
          <w:rFonts w:hint="eastAsia" w:eastAsia="方正仿宋_GBK"/>
          <w:color w:val="000000" w:themeColor="text1"/>
          <w:sz w:val="28"/>
        </w:rPr>
        <w:t>部门预算国有资本经营预算财政拨款支出表，此表无数据，因本单位不涉及国有资本经营，因此无数据。</w:t>
      </w:r>
    </w:p>
    <w:p>
      <w:pPr>
        <w:jc w:val="cente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rPr>
          <w:rFonts w:eastAsia="方正小标宋_GBK" w:cs="方正小标宋_GBK" w:asciiTheme="minorHAnsi" w:hAnsiTheme="minorHAnsi"/>
          <w:color w:val="000000"/>
          <w:sz w:val="44"/>
          <w:lang w:val="uk-UA"/>
        </w:rPr>
      </w:pPr>
    </w:p>
    <w:p>
      <w:pPr>
        <w:jc w:val="center"/>
      </w:pPr>
    </w:p>
    <w:p>
      <w:pPr>
        <w:jc w:val="center"/>
      </w:pPr>
      <w:r>
        <w:rPr>
          <w:rFonts w:ascii="方正小标宋_GBK" w:hAnsi="方正小标宋_GBK" w:eastAsia="方正小标宋_GBK" w:cs="方正小标宋_GBK"/>
          <w:color w:val="000000"/>
          <w:sz w:val="44"/>
        </w:rPr>
        <w:t xml:space="preserve"> </w:t>
      </w:r>
    </w:p>
    <w:p>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9" w:name="_Toc_4_4_0000000019"/>
      <w:r>
        <w:rPr>
          <w:rFonts w:ascii="方正小标宋_GBK" w:hAnsi="方正小标宋_GBK" w:eastAsia="方正小标宋_GBK" w:cs="方正小标宋_GBK"/>
          <w:color w:val="000000"/>
          <w:sz w:val="44"/>
        </w:rPr>
        <w:t>一、唐山市丰南区人民代表大会常务委员会办公室本级收支预算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847.73</w:t>
            </w:r>
          </w:p>
        </w:tc>
        <w:tc>
          <w:tcPr>
            <w:tcW w:w="4535" w:type="dxa"/>
            <w:vAlign w:val="center"/>
          </w:tcPr>
          <w:p>
            <w:pPr>
              <w:pStyle w:val="16"/>
            </w:pPr>
            <w:r>
              <w:t>一、一般公共服务支出</w:t>
            </w:r>
          </w:p>
        </w:tc>
        <w:tc>
          <w:tcPr>
            <w:tcW w:w="2126" w:type="dxa"/>
            <w:vAlign w:val="center"/>
          </w:tcPr>
          <w:p>
            <w:pPr>
              <w:pStyle w:val="15"/>
            </w:pPr>
            <w:r>
              <w:t>644.02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847.73</w:t>
            </w:r>
          </w:p>
        </w:tc>
        <w:tc>
          <w:tcPr>
            <w:tcW w:w="4535" w:type="dxa"/>
            <w:vAlign w:val="center"/>
          </w:tcPr>
          <w:p>
            <w:pPr>
              <w:pStyle w:val="18"/>
            </w:pPr>
            <w:r>
              <w:t>本年支出合计</w:t>
            </w:r>
          </w:p>
        </w:tc>
        <w:tc>
          <w:tcPr>
            <w:tcW w:w="2126" w:type="dxa"/>
            <w:vAlign w:val="center"/>
          </w:tcPr>
          <w:p>
            <w:pPr>
              <w:pStyle w:val="19"/>
            </w:pPr>
            <w:r>
              <w:t>847.73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847.73</w:t>
            </w:r>
          </w:p>
        </w:tc>
        <w:tc>
          <w:tcPr>
            <w:tcW w:w="4535" w:type="dxa"/>
            <w:vAlign w:val="center"/>
          </w:tcPr>
          <w:p>
            <w:pPr>
              <w:pStyle w:val="18"/>
            </w:pPr>
            <w:r>
              <w:t>支出总计</w:t>
            </w:r>
          </w:p>
        </w:tc>
        <w:tc>
          <w:tcPr>
            <w:tcW w:w="2126" w:type="dxa"/>
            <w:vAlign w:val="center"/>
          </w:tcPr>
          <w:p>
            <w:pPr>
              <w:pStyle w:val="19"/>
            </w:pPr>
            <w:r>
              <w:t>847.73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847.73</w:t>
            </w:r>
          </w:p>
        </w:tc>
        <w:tc>
          <w:tcPr>
            <w:tcW w:w="1134" w:type="dxa"/>
            <w:vAlign w:val="center"/>
          </w:tcPr>
          <w:p>
            <w:pPr>
              <w:pStyle w:val="19"/>
            </w:pPr>
            <w:r>
              <w:t>847.73</w:t>
            </w:r>
          </w:p>
        </w:tc>
        <w:tc>
          <w:tcPr>
            <w:tcW w:w="1134" w:type="dxa"/>
            <w:vAlign w:val="center"/>
          </w:tcPr>
          <w:p>
            <w:pPr>
              <w:pStyle w:val="19"/>
            </w:pPr>
            <w:r>
              <w:t>847.73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r>
              <w:t>644.02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354.92</w:t>
            </w:r>
          </w:p>
        </w:tc>
        <w:tc>
          <w:tcPr>
            <w:tcW w:w="1134" w:type="dxa"/>
            <w:vAlign w:val="center"/>
          </w:tcPr>
          <w:p>
            <w:pPr>
              <w:pStyle w:val="15"/>
            </w:pPr>
            <w:r>
              <w:t>354.92</w:t>
            </w:r>
          </w:p>
        </w:tc>
        <w:tc>
          <w:tcPr>
            <w:tcW w:w="1134" w:type="dxa"/>
            <w:vAlign w:val="center"/>
          </w:tcPr>
          <w:p>
            <w:pPr>
              <w:pStyle w:val="15"/>
            </w:pPr>
            <w:r>
              <w:t>354.92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2010102</w:t>
            </w:r>
          </w:p>
        </w:tc>
        <w:tc>
          <w:tcPr>
            <w:tcW w:w="1559" w:type="dxa"/>
            <w:vAlign w:val="center"/>
          </w:tcPr>
          <w:p>
            <w:pPr>
              <w:pStyle w:val="16"/>
            </w:pPr>
            <w:r>
              <w:t>一般行政管理事务</w:t>
            </w:r>
          </w:p>
        </w:tc>
        <w:tc>
          <w:tcPr>
            <w:tcW w:w="1134" w:type="dxa"/>
            <w:vAlign w:val="center"/>
          </w:tcPr>
          <w:p>
            <w:pPr>
              <w:pStyle w:val="15"/>
            </w:pPr>
            <w:r>
              <w:t>106.00</w:t>
            </w:r>
          </w:p>
        </w:tc>
        <w:tc>
          <w:tcPr>
            <w:tcW w:w="1134" w:type="dxa"/>
            <w:vAlign w:val="center"/>
          </w:tcPr>
          <w:p>
            <w:pPr>
              <w:pStyle w:val="15"/>
            </w:pPr>
            <w:r>
              <w:t>106.00</w:t>
            </w:r>
          </w:p>
        </w:tc>
        <w:tc>
          <w:tcPr>
            <w:tcW w:w="1134" w:type="dxa"/>
            <w:vAlign w:val="center"/>
          </w:tcPr>
          <w:p>
            <w:pPr>
              <w:pStyle w:val="15"/>
            </w:pPr>
            <w:r>
              <w:t>106.00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2010104</w:t>
            </w:r>
          </w:p>
        </w:tc>
        <w:tc>
          <w:tcPr>
            <w:tcW w:w="1559" w:type="dxa"/>
            <w:vAlign w:val="center"/>
          </w:tcPr>
          <w:p>
            <w:pPr>
              <w:pStyle w:val="16"/>
            </w:pPr>
            <w:r>
              <w:t>人大会议</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2010106</w:t>
            </w:r>
          </w:p>
        </w:tc>
        <w:tc>
          <w:tcPr>
            <w:tcW w:w="1559" w:type="dxa"/>
            <w:vAlign w:val="center"/>
          </w:tcPr>
          <w:p>
            <w:pPr>
              <w:pStyle w:val="16"/>
            </w:pPr>
            <w:r>
              <w:t>人大监督</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2010150</w:t>
            </w:r>
          </w:p>
        </w:tc>
        <w:tc>
          <w:tcPr>
            <w:tcW w:w="1559" w:type="dxa"/>
            <w:vAlign w:val="center"/>
          </w:tcPr>
          <w:p>
            <w:pPr>
              <w:pStyle w:val="16"/>
            </w:pPr>
            <w:r>
              <w:t>事业运行</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66.20</w:t>
            </w:r>
          </w:p>
        </w:tc>
        <w:tc>
          <w:tcPr>
            <w:tcW w:w="1134" w:type="dxa"/>
            <w:vAlign w:val="center"/>
          </w:tcPr>
          <w:p>
            <w:pPr>
              <w:pStyle w:val="15"/>
            </w:pPr>
            <w:r>
              <w:t>66.20</w:t>
            </w:r>
          </w:p>
        </w:tc>
        <w:tc>
          <w:tcPr>
            <w:tcW w:w="1134" w:type="dxa"/>
            <w:vAlign w:val="center"/>
          </w:tcPr>
          <w:p>
            <w:pPr>
              <w:pStyle w:val="15"/>
            </w:pPr>
            <w:r>
              <w:t>66.20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50.80</w:t>
            </w:r>
          </w:p>
        </w:tc>
        <w:tc>
          <w:tcPr>
            <w:tcW w:w="1134" w:type="dxa"/>
            <w:vAlign w:val="center"/>
          </w:tcPr>
          <w:p>
            <w:pPr>
              <w:pStyle w:val="15"/>
            </w:pPr>
            <w:r>
              <w:t>50.80</w:t>
            </w:r>
          </w:p>
        </w:tc>
        <w:tc>
          <w:tcPr>
            <w:tcW w:w="1134" w:type="dxa"/>
            <w:vAlign w:val="center"/>
          </w:tcPr>
          <w:p>
            <w:pPr>
              <w:pStyle w:val="15"/>
            </w:pPr>
            <w:r>
              <w:t>50.80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r>
              <w:t>48.42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23.02</w:t>
            </w:r>
          </w:p>
        </w:tc>
        <w:tc>
          <w:tcPr>
            <w:tcW w:w="1134" w:type="dxa"/>
            <w:vAlign w:val="center"/>
          </w:tcPr>
          <w:p>
            <w:pPr>
              <w:pStyle w:val="15"/>
            </w:pPr>
            <w:r>
              <w:t>23.02</w:t>
            </w:r>
          </w:p>
        </w:tc>
        <w:tc>
          <w:tcPr>
            <w:tcW w:w="1134" w:type="dxa"/>
            <w:vAlign w:val="center"/>
          </w:tcPr>
          <w:p>
            <w:pPr>
              <w:pStyle w:val="15"/>
            </w:pPr>
            <w:r>
              <w:t>23.02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25.40</w:t>
            </w:r>
          </w:p>
        </w:tc>
        <w:tc>
          <w:tcPr>
            <w:tcW w:w="1134" w:type="dxa"/>
            <w:vAlign w:val="center"/>
          </w:tcPr>
          <w:p>
            <w:pPr>
              <w:pStyle w:val="15"/>
            </w:pPr>
            <w:r>
              <w:t>25.40</w:t>
            </w:r>
          </w:p>
        </w:tc>
        <w:tc>
          <w:tcPr>
            <w:tcW w:w="1134" w:type="dxa"/>
            <w:vAlign w:val="center"/>
          </w:tcPr>
          <w:p>
            <w:pPr>
              <w:pStyle w:val="15"/>
            </w:pPr>
            <w:r>
              <w:t>25.40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847.73</w:t>
            </w:r>
          </w:p>
        </w:tc>
        <w:tc>
          <w:tcPr>
            <w:tcW w:w="1361" w:type="dxa"/>
            <w:vAlign w:val="center"/>
          </w:tcPr>
          <w:p>
            <w:pPr>
              <w:pStyle w:val="19"/>
            </w:pPr>
            <w:r>
              <w:t>636.73</w:t>
            </w:r>
          </w:p>
        </w:tc>
        <w:tc>
          <w:tcPr>
            <w:tcW w:w="1361" w:type="dxa"/>
            <w:vAlign w:val="center"/>
          </w:tcPr>
          <w:p>
            <w:pPr>
              <w:pStyle w:val="19"/>
            </w:pPr>
            <w:r>
              <w:t>211.00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644.02</w:t>
            </w:r>
          </w:p>
        </w:tc>
        <w:tc>
          <w:tcPr>
            <w:tcW w:w="1361" w:type="dxa"/>
            <w:vAlign w:val="center"/>
          </w:tcPr>
          <w:p>
            <w:pPr>
              <w:pStyle w:val="15"/>
            </w:pPr>
            <w:r>
              <w:t>433.02</w:t>
            </w:r>
          </w:p>
        </w:tc>
        <w:tc>
          <w:tcPr>
            <w:tcW w:w="1361" w:type="dxa"/>
            <w:vAlign w:val="center"/>
          </w:tcPr>
          <w:p>
            <w:pPr>
              <w:pStyle w:val="15"/>
            </w:pPr>
            <w:r>
              <w:t>211.00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644.02</w:t>
            </w:r>
          </w:p>
        </w:tc>
        <w:tc>
          <w:tcPr>
            <w:tcW w:w="1361" w:type="dxa"/>
            <w:vAlign w:val="center"/>
          </w:tcPr>
          <w:p>
            <w:pPr>
              <w:pStyle w:val="15"/>
            </w:pPr>
            <w:r>
              <w:t>433.02</w:t>
            </w:r>
          </w:p>
        </w:tc>
        <w:tc>
          <w:tcPr>
            <w:tcW w:w="1361" w:type="dxa"/>
            <w:vAlign w:val="center"/>
          </w:tcPr>
          <w:p>
            <w:pPr>
              <w:pStyle w:val="15"/>
            </w:pPr>
            <w:r>
              <w:t>211.00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354.92</w:t>
            </w:r>
          </w:p>
        </w:tc>
        <w:tc>
          <w:tcPr>
            <w:tcW w:w="1361" w:type="dxa"/>
            <w:vAlign w:val="center"/>
          </w:tcPr>
          <w:p>
            <w:pPr>
              <w:pStyle w:val="15"/>
            </w:pPr>
            <w:r>
              <w:t>354.92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2010102</w:t>
            </w:r>
          </w:p>
        </w:tc>
        <w:tc>
          <w:tcPr>
            <w:tcW w:w="4535" w:type="dxa"/>
            <w:vAlign w:val="center"/>
          </w:tcPr>
          <w:p>
            <w:pPr>
              <w:pStyle w:val="16"/>
            </w:pPr>
            <w:r>
              <w:t>一般行政管理事务</w:t>
            </w:r>
          </w:p>
        </w:tc>
        <w:tc>
          <w:tcPr>
            <w:tcW w:w="1361" w:type="dxa"/>
            <w:vAlign w:val="center"/>
          </w:tcPr>
          <w:p>
            <w:pPr>
              <w:pStyle w:val="15"/>
            </w:pPr>
            <w:r>
              <w:t>106.00</w:t>
            </w:r>
          </w:p>
        </w:tc>
        <w:tc>
          <w:tcPr>
            <w:tcW w:w="1361" w:type="dxa"/>
            <w:vAlign w:val="center"/>
          </w:tcPr>
          <w:p>
            <w:pPr>
              <w:pStyle w:val="15"/>
            </w:pPr>
          </w:p>
        </w:tc>
        <w:tc>
          <w:tcPr>
            <w:tcW w:w="1361" w:type="dxa"/>
            <w:vAlign w:val="center"/>
          </w:tcPr>
          <w:p>
            <w:pPr>
              <w:pStyle w:val="15"/>
            </w:pPr>
            <w:r>
              <w:t>106.00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2010104</w:t>
            </w:r>
          </w:p>
        </w:tc>
        <w:tc>
          <w:tcPr>
            <w:tcW w:w="4535" w:type="dxa"/>
            <w:vAlign w:val="center"/>
          </w:tcPr>
          <w:p>
            <w:pPr>
              <w:pStyle w:val="16"/>
            </w:pPr>
            <w:r>
              <w:t>人大会议</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2010106</w:t>
            </w:r>
          </w:p>
        </w:tc>
        <w:tc>
          <w:tcPr>
            <w:tcW w:w="4535" w:type="dxa"/>
            <w:vAlign w:val="center"/>
          </w:tcPr>
          <w:p>
            <w:pPr>
              <w:pStyle w:val="16"/>
            </w:pPr>
            <w:r>
              <w:t>人大监督</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2010150</w:t>
            </w:r>
          </w:p>
        </w:tc>
        <w:tc>
          <w:tcPr>
            <w:tcW w:w="4535" w:type="dxa"/>
            <w:vAlign w:val="center"/>
          </w:tcPr>
          <w:p>
            <w:pPr>
              <w:pStyle w:val="16"/>
            </w:pPr>
            <w:r>
              <w:t>事业运行</w:t>
            </w:r>
          </w:p>
        </w:tc>
        <w:tc>
          <w:tcPr>
            <w:tcW w:w="1361" w:type="dxa"/>
            <w:vAlign w:val="center"/>
          </w:tcPr>
          <w:p>
            <w:pPr>
              <w:pStyle w:val="15"/>
            </w:pPr>
            <w:r>
              <w:t>78.10</w:t>
            </w:r>
          </w:p>
        </w:tc>
        <w:tc>
          <w:tcPr>
            <w:tcW w:w="1361" w:type="dxa"/>
            <w:vAlign w:val="center"/>
          </w:tcPr>
          <w:p>
            <w:pPr>
              <w:pStyle w:val="15"/>
            </w:pPr>
            <w:r>
              <w:t>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117.00</w:t>
            </w:r>
          </w:p>
        </w:tc>
        <w:tc>
          <w:tcPr>
            <w:tcW w:w="1361" w:type="dxa"/>
            <w:vAlign w:val="center"/>
          </w:tcPr>
          <w:p>
            <w:pPr>
              <w:pStyle w:val="15"/>
            </w:pPr>
            <w:r>
              <w:t>117.00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117.00</w:t>
            </w:r>
          </w:p>
        </w:tc>
        <w:tc>
          <w:tcPr>
            <w:tcW w:w="1361" w:type="dxa"/>
            <w:vAlign w:val="center"/>
          </w:tcPr>
          <w:p>
            <w:pPr>
              <w:pStyle w:val="15"/>
            </w:pPr>
            <w:r>
              <w:t>117.00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66.20</w:t>
            </w:r>
          </w:p>
        </w:tc>
        <w:tc>
          <w:tcPr>
            <w:tcW w:w="1361" w:type="dxa"/>
            <w:vAlign w:val="center"/>
          </w:tcPr>
          <w:p>
            <w:pPr>
              <w:pStyle w:val="15"/>
            </w:pPr>
            <w:r>
              <w:t>66.20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50.80</w:t>
            </w:r>
          </w:p>
        </w:tc>
        <w:tc>
          <w:tcPr>
            <w:tcW w:w="1361" w:type="dxa"/>
            <w:vAlign w:val="center"/>
          </w:tcPr>
          <w:p>
            <w:pPr>
              <w:pStyle w:val="15"/>
            </w:pPr>
            <w:r>
              <w:t>50.80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48.42</w:t>
            </w:r>
          </w:p>
        </w:tc>
        <w:tc>
          <w:tcPr>
            <w:tcW w:w="1361" w:type="dxa"/>
            <w:vAlign w:val="center"/>
          </w:tcPr>
          <w:p>
            <w:pPr>
              <w:pStyle w:val="15"/>
            </w:pPr>
            <w:r>
              <w:t>48.42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48.42</w:t>
            </w:r>
          </w:p>
        </w:tc>
        <w:tc>
          <w:tcPr>
            <w:tcW w:w="1361" w:type="dxa"/>
            <w:vAlign w:val="center"/>
          </w:tcPr>
          <w:p>
            <w:pPr>
              <w:pStyle w:val="15"/>
            </w:pPr>
            <w:r>
              <w:t>48.42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23.02</w:t>
            </w:r>
          </w:p>
        </w:tc>
        <w:tc>
          <w:tcPr>
            <w:tcW w:w="1361" w:type="dxa"/>
            <w:vAlign w:val="center"/>
          </w:tcPr>
          <w:p>
            <w:pPr>
              <w:pStyle w:val="15"/>
            </w:pPr>
            <w:r>
              <w:t>23.02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25.40</w:t>
            </w:r>
          </w:p>
        </w:tc>
        <w:tc>
          <w:tcPr>
            <w:tcW w:w="1361" w:type="dxa"/>
            <w:vAlign w:val="center"/>
          </w:tcPr>
          <w:p>
            <w:pPr>
              <w:pStyle w:val="15"/>
            </w:pPr>
            <w:r>
              <w:t>25.40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847.73</w:t>
            </w:r>
          </w:p>
        </w:tc>
        <w:tc>
          <w:tcPr>
            <w:tcW w:w="3402" w:type="dxa"/>
            <w:vAlign w:val="center"/>
          </w:tcPr>
          <w:p>
            <w:pPr>
              <w:pStyle w:val="16"/>
            </w:pPr>
            <w:r>
              <w:t>一、一般公共服务支出</w:t>
            </w:r>
          </w:p>
        </w:tc>
        <w:tc>
          <w:tcPr>
            <w:tcW w:w="1474" w:type="dxa"/>
            <w:vAlign w:val="center"/>
          </w:tcPr>
          <w:p>
            <w:pPr>
              <w:pStyle w:val="15"/>
            </w:pPr>
            <w:r>
              <w:t>644.02</w:t>
            </w:r>
          </w:p>
        </w:tc>
        <w:tc>
          <w:tcPr>
            <w:tcW w:w="1474" w:type="dxa"/>
            <w:vAlign w:val="center"/>
          </w:tcPr>
          <w:p>
            <w:pPr>
              <w:pStyle w:val="15"/>
            </w:pPr>
            <w:r>
              <w:t>644.02</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117.00</w:t>
            </w:r>
          </w:p>
        </w:tc>
        <w:tc>
          <w:tcPr>
            <w:tcW w:w="1474" w:type="dxa"/>
            <w:vAlign w:val="center"/>
          </w:tcPr>
          <w:p>
            <w:pPr>
              <w:pStyle w:val="15"/>
            </w:pPr>
            <w:r>
              <w:t>117.00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48.42</w:t>
            </w:r>
          </w:p>
        </w:tc>
        <w:tc>
          <w:tcPr>
            <w:tcW w:w="1474" w:type="dxa"/>
            <w:vAlign w:val="center"/>
          </w:tcPr>
          <w:p>
            <w:pPr>
              <w:pStyle w:val="15"/>
            </w:pPr>
            <w:r>
              <w:t>48.42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38.29</w:t>
            </w:r>
          </w:p>
        </w:tc>
        <w:tc>
          <w:tcPr>
            <w:tcW w:w="1474" w:type="dxa"/>
            <w:vAlign w:val="center"/>
          </w:tcPr>
          <w:p>
            <w:pPr>
              <w:pStyle w:val="15"/>
            </w:pPr>
            <w:r>
              <w:t>38.29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847.73</w:t>
            </w:r>
          </w:p>
        </w:tc>
        <w:tc>
          <w:tcPr>
            <w:tcW w:w="3402" w:type="dxa"/>
            <w:vAlign w:val="center"/>
          </w:tcPr>
          <w:p>
            <w:pPr>
              <w:pStyle w:val="18"/>
            </w:pPr>
            <w:r>
              <w:t>本年支出合计</w:t>
            </w:r>
          </w:p>
        </w:tc>
        <w:tc>
          <w:tcPr>
            <w:tcW w:w="1474" w:type="dxa"/>
            <w:vAlign w:val="center"/>
          </w:tcPr>
          <w:p>
            <w:pPr>
              <w:pStyle w:val="19"/>
            </w:pPr>
            <w:r>
              <w:t>847.73</w:t>
            </w:r>
          </w:p>
        </w:tc>
        <w:tc>
          <w:tcPr>
            <w:tcW w:w="1474" w:type="dxa"/>
            <w:vAlign w:val="center"/>
          </w:tcPr>
          <w:p>
            <w:pPr>
              <w:pStyle w:val="19"/>
            </w:pPr>
            <w:r>
              <w:t>847.73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847.73</w:t>
            </w:r>
          </w:p>
        </w:tc>
        <w:tc>
          <w:tcPr>
            <w:tcW w:w="3402" w:type="dxa"/>
            <w:vAlign w:val="center"/>
          </w:tcPr>
          <w:p>
            <w:pPr>
              <w:pStyle w:val="18"/>
            </w:pPr>
            <w:r>
              <w:t>支出总计</w:t>
            </w:r>
          </w:p>
        </w:tc>
        <w:tc>
          <w:tcPr>
            <w:tcW w:w="1474" w:type="dxa"/>
            <w:vAlign w:val="center"/>
          </w:tcPr>
          <w:p>
            <w:pPr>
              <w:pStyle w:val="19"/>
            </w:pPr>
            <w:r>
              <w:t>847.73</w:t>
            </w:r>
          </w:p>
        </w:tc>
        <w:tc>
          <w:tcPr>
            <w:tcW w:w="1474" w:type="dxa"/>
            <w:vAlign w:val="center"/>
          </w:tcPr>
          <w:p>
            <w:pPr>
              <w:pStyle w:val="19"/>
            </w:pPr>
            <w:r>
              <w:t>847.73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847.73</w:t>
            </w:r>
          </w:p>
        </w:tc>
        <w:tc>
          <w:tcPr>
            <w:tcW w:w="2551" w:type="dxa"/>
            <w:vAlign w:val="center"/>
          </w:tcPr>
          <w:p>
            <w:pPr>
              <w:pStyle w:val="19"/>
            </w:pPr>
            <w:r>
              <w:t>636.73</w:t>
            </w:r>
          </w:p>
        </w:tc>
        <w:tc>
          <w:tcPr>
            <w:tcW w:w="2551" w:type="dxa"/>
            <w:vAlign w:val="center"/>
          </w:tcPr>
          <w:p>
            <w:pPr>
              <w:pStyle w:val="19"/>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644.02</w:t>
            </w:r>
          </w:p>
        </w:tc>
        <w:tc>
          <w:tcPr>
            <w:tcW w:w="2551" w:type="dxa"/>
            <w:vAlign w:val="center"/>
          </w:tcPr>
          <w:p>
            <w:pPr>
              <w:pStyle w:val="15"/>
            </w:pPr>
            <w:r>
              <w:t>433.02</w:t>
            </w:r>
          </w:p>
        </w:tc>
        <w:tc>
          <w:tcPr>
            <w:tcW w:w="2551" w:type="dxa"/>
            <w:vAlign w:val="center"/>
          </w:tcPr>
          <w:p>
            <w:pPr>
              <w:pStyle w:val="15"/>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644.02</w:t>
            </w:r>
          </w:p>
        </w:tc>
        <w:tc>
          <w:tcPr>
            <w:tcW w:w="2551" w:type="dxa"/>
            <w:vAlign w:val="center"/>
          </w:tcPr>
          <w:p>
            <w:pPr>
              <w:pStyle w:val="15"/>
            </w:pPr>
            <w:r>
              <w:t>433.02</w:t>
            </w:r>
          </w:p>
        </w:tc>
        <w:tc>
          <w:tcPr>
            <w:tcW w:w="2551" w:type="dxa"/>
            <w:vAlign w:val="center"/>
          </w:tcPr>
          <w:p>
            <w:pPr>
              <w:pStyle w:val="15"/>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354.92</w:t>
            </w:r>
          </w:p>
        </w:tc>
        <w:tc>
          <w:tcPr>
            <w:tcW w:w="2551" w:type="dxa"/>
            <w:vAlign w:val="center"/>
          </w:tcPr>
          <w:p>
            <w:pPr>
              <w:pStyle w:val="15"/>
            </w:pPr>
            <w:r>
              <w:t>354.92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2010102</w:t>
            </w:r>
          </w:p>
        </w:tc>
        <w:tc>
          <w:tcPr>
            <w:tcW w:w="4535" w:type="dxa"/>
            <w:vAlign w:val="center"/>
          </w:tcPr>
          <w:p>
            <w:pPr>
              <w:pStyle w:val="16"/>
            </w:pPr>
            <w:r>
              <w:t>一般行政管理事务</w:t>
            </w:r>
          </w:p>
        </w:tc>
        <w:tc>
          <w:tcPr>
            <w:tcW w:w="2551" w:type="dxa"/>
            <w:vAlign w:val="center"/>
          </w:tcPr>
          <w:p>
            <w:pPr>
              <w:pStyle w:val="15"/>
            </w:pPr>
            <w:r>
              <w:t>106.00</w:t>
            </w:r>
          </w:p>
        </w:tc>
        <w:tc>
          <w:tcPr>
            <w:tcW w:w="2551" w:type="dxa"/>
            <w:vAlign w:val="center"/>
          </w:tcPr>
          <w:p>
            <w:pPr>
              <w:pStyle w:val="15"/>
            </w:pPr>
          </w:p>
        </w:tc>
        <w:tc>
          <w:tcPr>
            <w:tcW w:w="2551" w:type="dxa"/>
            <w:vAlign w:val="center"/>
          </w:tcPr>
          <w:p>
            <w:pPr>
              <w:pStyle w:val="15"/>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2010104</w:t>
            </w:r>
          </w:p>
        </w:tc>
        <w:tc>
          <w:tcPr>
            <w:tcW w:w="4535" w:type="dxa"/>
            <w:vAlign w:val="center"/>
          </w:tcPr>
          <w:p>
            <w:pPr>
              <w:pStyle w:val="16"/>
            </w:pPr>
            <w:r>
              <w:t>人大会议</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2010106</w:t>
            </w:r>
          </w:p>
        </w:tc>
        <w:tc>
          <w:tcPr>
            <w:tcW w:w="4535" w:type="dxa"/>
            <w:vAlign w:val="center"/>
          </w:tcPr>
          <w:p>
            <w:pPr>
              <w:pStyle w:val="16"/>
            </w:pPr>
            <w:r>
              <w:t>人大监督</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2010150</w:t>
            </w:r>
          </w:p>
        </w:tc>
        <w:tc>
          <w:tcPr>
            <w:tcW w:w="4535" w:type="dxa"/>
            <w:vAlign w:val="center"/>
          </w:tcPr>
          <w:p>
            <w:pPr>
              <w:pStyle w:val="16"/>
            </w:pPr>
            <w:r>
              <w:t>事业运行</w:t>
            </w:r>
          </w:p>
        </w:tc>
        <w:tc>
          <w:tcPr>
            <w:tcW w:w="2551" w:type="dxa"/>
            <w:vAlign w:val="center"/>
          </w:tcPr>
          <w:p>
            <w:pPr>
              <w:pStyle w:val="15"/>
            </w:pPr>
            <w:r>
              <w:t>78.10</w:t>
            </w:r>
          </w:p>
        </w:tc>
        <w:tc>
          <w:tcPr>
            <w:tcW w:w="2551" w:type="dxa"/>
            <w:vAlign w:val="center"/>
          </w:tcPr>
          <w:p>
            <w:pPr>
              <w:pStyle w:val="15"/>
            </w:pPr>
            <w:r>
              <w:t>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117.00</w:t>
            </w:r>
          </w:p>
        </w:tc>
        <w:tc>
          <w:tcPr>
            <w:tcW w:w="2551" w:type="dxa"/>
            <w:vAlign w:val="center"/>
          </w:tcPr>
          <w:p>
            <w:pPr>
              <w:pStyle w:val="15"/>
            </w:pPr>
            <w:r>
              <w:t>117.00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117.00</w:t>
            </w:r>
          </w:p>
        </w:tc>
        <w:tc>
          <w:tcPr>
            <w:tcW w:w="2551" w:type="dxa"/>
            <w:vAlign w:val="center"/>
          </w:tcPr>
          <w:p>
            <w:pPr>
              <w:pStyle w:val="15"/>
            </w:pPr>
            <w:r>
              <w:t>117.00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66.20</w:t>
            </w:r>
          </w:p>
        </w:tc>
        <w:tc>
          <w:tcPr>
            <w:tcW w:w="2551" w:type="dxa"/>
            <w:vAlign w:val="center"/>
          </w:tcPr>
          <w:p>
            <w:pPr>
              <w:pStyle w:val="15"/>
            </w:pPr>
            <w:r>
              <w:t>66.20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50.80</w:t>
            </w:r>
          </w:p>
        </w:tc>
        <w:tc>
          <w:tcPr>
            <w:tcW w:w="2551" w:type="dxa"/>
            <w:vAlign w:val="center"/>
          </w:tcPr>
          <w:p>
            <w:pPr>
              <w:pStyle w:val="15"/>
            </w:pPr>
            <w:r>
              <w:t>50.80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48.42</w:t>
            </w:r>
          </w:p>
        </w:tc>
        <w:tc>
          <w:tcPr>
            <w:tcW w:w="2551" w:type="dxa"/>
            <w:vAlign w:val="center"/>
          </w:tcPr>
          <w:p>
            <w:pPr>
              <w:pStyle w:val="15"/>
            </w:pPr>
            <w:r>
              <w:t>48.42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48.42</w:t>
            </w:r>
          </w:p>
        </w:tc>
        <w:tc>
          <w:tcPr>
            <w:tcW w:w="2551" w:type="dxa"/>
            <w:vAlign w:val="center"/>
          </w:tcPr>
          <w:p>
            <w:pPr>
              <w:pStyle w:val="15"/>
            </w:pPr>
            <w:r>
              <w:t>48.42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23.02</w:t>
            </w:r>
          </w:p>
        </w:tc>
        <w:tc>
          <w:tcPr>
            <w:tcW w:w="2551" w:type="dxa"/>
            <w:vAlign w:val="center"/>
          </w:tcPr>
          <w:p>
            <w:pPr>
              <w:pStyle w:val="15"/>
            </w:pPr>
            <w:r>
              <w:t>23.02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25.40</w:t>
            </w:r>
          </w:p>
        </w:tc>
        <w:tc>
          <w:tcPr>
            <w:tcW w:w="2551" w:type="dxa"/>
            <w:vAlign w:val="center"/>
          </w:tcPr>
          <w:p>
            <w:pPr>
              <w:pStyle w:val="15"/>
            </w:pPr>
            <w:r>
              <w:t>25.40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636.73</w:t>
            </w:r>
          </w:p>
        </w:tc>
        <w:tc>
          <w:tcPr>
            <w:tcW w:w="2551" w:type="dxa"/>
            <w:vAlign w:val="center"/>
          </w:tcPr>
          <w:p>
            <w:pPr>
              <w:pStyle w:val="19"/>
            </w:pPr>
            <w:r>
              <w:t>544.98</w:t>
            </w:r>
          </w:p>
        </w:tc>
        <w:tc>
          <w:tcPr>
            <w:tcW w:w="2551" w:type="dxa"/>
            <w:vAlign w:val="center"/>
          </w:tcPr>
          <w:p>
            <w:pPr>
              <w:pStyle w:val="19"/>
            </w:pPr>
            <w:r>
              <w:t>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478.73</w:t>
            </w:r>
          </w:p>
        </w:tc>
        <w:tc>
          <w:tcPr>
            <w:tcW w:w="2551" w:type="dxa"/>
            <w:vAlign w:val="center"/>
          </w:tcPr>
          <w:p>
            <w:pPr>
              <w:pStyle w:val="15"/>
            </w:pPr>
            <w:r>
              <w:t>478.73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165.37</w:t>
            </w:r>
          </w:p>
        </w:tc>
        <w:tc>
          <w:tcPr>
            <w:tcW w:w="2551" w:type="dxa"/>
            <w:vAlign w:val="center"/>
          </w:tcPr>
          <w:p>
            <w:pPr>
              <w:pStyle w:val="15"/>
            </w:pPr>
            <w:r>
              <w:t>165.37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121.47</w:t>
            </w:r>
          </w:p>
        </w:tc>
        <w:tc>
          <w:tcPr>
            <w:tcW w:w="2551" w:type="dxa"/>
            <w:vAlign w:val="center"/>
          </w:tcPr>
          <w:p>
            <w:pPr>
              <w:pStyle w:val="15"/>
            </w:pPr>
            <w:r>
              <w:t>121.47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9.66</w:t>
            </w:r>
          </w:p>
        </w:tc>
        <w:tc>
          <w:tcPr>
            <w:tcW w:w="2551" w:type="dxa"/>
            <w:vAlign w:val="center"/>
          </w:tcPr>
          <w:p>
            <w:pPr>
              <w:pStyle w:val="15"/>
            </w:pPr>
            <w:r>
              <w:t>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40.25</w:t>
            </w:r>
          </w:p>
        </w:tc>
        <w:tc>
          <w:tcPr>
            <w:tcW w:w="2551" w:type="dxa"/>
            <w:vAlign w:val="center"/>
          </w:tcPr>
          <w:p>
            <w:pPr>
              <w:pStyle w:val="15"/>
            </w:pPr>
            <w:r>
              <w:t>40.25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50.80</w:t>
            </w:r>
          </w:p>
        </w:tc>
        <w:tc>
          <w:tcPr>
            <w:tcW w:w="2551" w:type="dxa"/>
            <w:vAlign w:val="center"/>
          </w:tcPr>
          <w:p>
            <w:pPr>
              <w:pStyle w:val="15"/>
            </w:pPr>
            <w:r>
              <w:t>50.80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23.02</w:t>
            </w:r>
          </w:p>
        </w:tc>
        <w:tc>
          <w:tcPr>
            <w:tcW w:w="2551" w:type="dxa"/>
            <w:vAlign w:val="center"/>
          </w:tcPr>
          <w:p>
            <w:pPr>
              <w:pStyle w:val="15"/>
            </w:pPr>
            <w:r>
              <w:t>23.02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25.40</w:t>
            </w:r>
          </w:p>
        </w:tc>
        <w:tc>
          <w:tcPr>
            <w:tcW w:w="2551" w:type="dxa"/>
            <w:vAlign w:val="center"/>
          </w:tcPr>
          <w:p>
            <w:pPr>
              <w:pStyle w:val="15"/>
            </w:pPr>
            <w:r>
              <w:t>25.40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4.47</w:t>
            </w:r>
          </w:p>
        </w:tc>
        <w:tc>
          <w:tcPr>
            <w:tcW w:w="2551" w:type="dxa"/>
            <w:vAlign w:val="center"/>
          </w:tcPr>
          <w:p>
            <w:pPr>
              <w:pStyle w:val="15"/>
            </w:pPr>
            <w:r>
              <w:t>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91.75</w:t>
            </w:r>
          </w:p>
        </w:tc>
        <w:tc>
          <w:tcPr>
            <w:tcW w:w="2551" w:type="dxa"/>
            <w:vAlign w:val="center"/>
          </w:tcPr>
          <w:p>
            <w:pPr>
              <w:pStyle w:val="15"/>
            </w:pPr>
          </w:p>
        </w:tc>
        <w:tc>
          <w:tcPr>
            <w:tcW w:w="2551" w:type="dxa"/>
            <w:vAlign w:val="center"/>
          </w:tcPr>
          <w:p>
            <w:pPr>
              <w:pStyle w:val="15"/>
            </w:pPr>
            <w:r>
              <w:t>91.75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8.50</w:t>
            </w:r>
          </w:p>
        </w:tc>
        <w:tc>
          <w:tcPr>
            <w:tcW w:w="2551" w:type="dxa"/>
            <w:vAlign w:val="center"/>
          </w:tcPr>
          <w:p>
            <w:pPr>
              <w:pStyle w:val="15"/>
            </w:pPr>
          </w:p>
        </w:tc>
        <w:tc>
          <w:tcPr>
            <w:tcW w:w="2551" w:type="dxa"/>
            <w:vAlign w:val="center"/>
          </w:tcPr>
          <w:p>
            <w:pPr>
              <w:pStyle w:val="15"/>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3.25</w:t>
            </w:r>
          </w:p>
        </w:tc>
        <w:tc>
          <w:tcPr>
            <w:tcW w:w="2551" w:type="dxa"/>
            <w:vAlign w:val="center"/>
          </w:tcPr>
          <w:p>
            <w:pPr>
              <w:pStyle w:val="15"/>
            </w:pPr>
          </w:p>
        </w:tc>
        <w:tc>
          <w:tcPr>
            <w:tcW w:w="2551" w:type="dxa"/>
            <w:vAlign w:val="center"/>
          </w:tcPr>
          <w:p>
            <w:pPr>
              <w:pStyle w:val="15"/>
            </w:pPr>
            <w:r>
              <w:t>3.25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13.60</w:t>
            </w:r>
          </w:p>
        </w:tc>
        <w:tc>
          <w:tcPr>
            <w:tcW w:w="2551" w:type="dxa"/>
            <w:vAlign w:val="center"/>
          </w:tcPr>
          <w:p>
            <w:pPr>
              <w:pStyle w:val="15"/>
            </w:pPr>
          </w:p>
        </w:tc>
        <w:tc>
          <w:tcPr>
            <w:tcW w:w="2551" w:type="dxa"/>
            <w:vAlign w:val="center"/>
          </w:tcPr>
          <w:p>
            <w:pPr>
              <w:pStyle w:val="15"/>
            </w:pPr>
            <w:r>
              <w:t>13.60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6.20</w:t>
            </w:r>
          </w:p>
        </w:tc>
        <w:tc>
          <w:tcPr>
            <w:tcW w:w="2551" w:type="dxa"/>
            <w:vAlign w:val="center"/>
          </w:tcPr>
          <w:p>
            <w:pPr>
              <w:pStyle w:val="15"/>
            </w:pPr>
          </w:p>
        </w:tc>
        <w:tc>
          <w:tcPr>
            <w:tcW w:w="2551" w:type="dxa"/>
            <w:vAlign w:val="center"/>
          </w:tcPr>
          <w:p>
            <w:pPr>
              <w:pStyle w:val="15"/>
            </w:pPr>
            <w:r>
              <w:t>6.20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3.90</w:t>
            </w:r>
          </w:p>
        </w:tc>
        <w:tc>
          <w:tcPr>
            <w:tcW w:w="2551" w:type="dxa"/>
            <w:vAlign w:val="center"/>
          </w:tcPr>
          <w:p>
            <w:pPr>
              <w:pStyle w:val="15"/>
            </w:pPr>
          </w:p>
        </w:tc>
        <w:tc>
          <w:tcPr>
            <w:tcW w:w="2551" w:type="dxa"/>
            <w:vAlign w:val="center"/>
          </w:tcPr>
          <w:p>
            <w:pPr>
              <w:pStyle w:val="15"/>
            </w:pPr>
            <w:r>
              <w:t>3.90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21.80</w:t>
            </w:r>
          </w:p>
        </w:tc>
        <w:tc>
          <w:tcPr>
            <w:tcW w:w="2551" w:type="dxa"/>
            <w:vAlign w:val="center"/>
          </w:tcPr>
          <w:p>
            <w:pPr>
              <w:pStyle w:val="15"/>
            </w:pPr>
          </w:p>
        </w:tc>
        <w:tc>
          <w:tcPr>
            <w:tcW w:w="2551" w:type="dxa"/>
            <w:vAlign w:val="center"/>
          </w:tcPr>
          <w:p>
            <w:pPr>
              <w:pStyle w:val="15"/>
            </w:pPr>
            <w:r>
              <w:t>21.80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66.25</w:t>
            </w:r>
          </w:p>
        </w:tc>
        <w:tc>
          <w:tcPr>
            <w:tcW w:w="2551" w:type="dxa"/>
            <w:vAlign w:val="center"/>
          </w:tcPr>
          <w:p>
            <w:pPr>
              <w:pStyle w:val="15"/>
            </w:pPr>
            <w:r>
              <w:t>66.25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66.20</w:t>
            </w:r>
          </w:p>
        </w:tc>
        <w:tc>
          <w:tcPr>
            <w:tcW w:w="2551" w:type="dxa"/>
            <w:vAlign w:val="center"/>
          </w:tcPr>
          <w:p>
            <w:pPr>
              <w:pStyle w:val="15"/>
            </w:pPr>
            <w:r>
              <w:t>66.20</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0.05</w:t>
            </w:r>
          </w:p>
        </w:tc>
        <w:tc>
          <w:tcPr>
            <w:tcW w:w="2551" w:type="dxa"/>
            <w:vAlign w:val="center"/>
          </w:tcPr>
          <w:p>
            <w:pPr>
              <w:pStyle w:val="15"/>
            </w:pPr>
            <w:r>
              <w:t>0.05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158.00</w:t>
            </w:r>
          </w:p>
        </w:tc>
        <w:tc>
          <w:tcPr>
            <w:tcW w:w="2381" w:type="dxa"/>
            <w:vAlign w:val="center"/>
          </w:tcPr>
          <w:p>
            <w:pPr>
              <w:pStyle w:val="19"/>
            </w:pPr>
            <w:r>
              <w:t>158.00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48.00</w:t>
            </w:r>
          </w:p>
        </w:tc>
        <w:tc>
          <w:tcPr>
            <w:tcW w:w="2381" w:type="dxa"/>
            <w:vAlign w:val="center"/>
          </w:tcPr>
          <w:p>
            <w:pPr>
              <w:pStyle w:val="15"/>
            </w:pPr>
            <w:r>
              <w:t>48.00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38.00</w:t>
            </w:r>
          </w:p>
        </w:tc>
        <w:tc>
          <w:tcPr>
            <w:tcW w:w="2381" w:type="dxa"/>
            <w:vAlign w:val="center"/>
          </w:tcPr>
          <w:p>
            <w:pPr>
              <w:pStyle w:val="15"/>
            </w:pPr>
            <w:r>
              <w:t>38.00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r>
              <w:t>18.00</w:t>
            </w:r>
          </w:p>
        </w:tc>
        <w:tc>
          <w:tcPr>
            <w:tcW w:w="2381" w:type="dxa"/>
            <w:vAlign w:val="center"/>
          </w:tcPr>
          <w:p>
            <w:pPr>
              <w:pStyle w:val="15"/>
            </w:pPr>
            <w:r>
              <w:t>18.00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20.00</w:t>
            </w:r>
          </w:p>
        </w:tc>
        <w:tc>
          <w:tcPr>
            <w:tcW w:w="2381" w:type="dxa"/>
            <w:vAlign w:val="center"/>
          </w:tcPr>
          <w:p>
            <w:pPr>
              <w:pStyle w:val="15"/>
            </w:pPr>
            <w:r>
              <w:t>20.00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r>
              <w:t>60.00</w:t>
            </w:r>
          </w:p>
        </w:tc>
        <w:tc>
          <w:tcPr>
            <w:tcW w:w="2381" w:type="dxa"/>
            <w:vAlign w:val="center"/>
          </w:tcPr>
          <w:p>
            <w:pPr>
              <w:pStyle w:val="15"/>
            </w:pPr>
            <w:r>
              <w:t>60.00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50.00</w:t>
            </w:r>
          </w:p>
        </w:tc>
        <w:tc>
          <w:tcPr>
            <w:tcW w:w="2381" w:type="dxa"/>
            <w:vAlign w:val="center"/>
          </w:tcPr>
          <w:p>
            <w:pPr>
              <w:pStyle w:val="15"/>
            </w:pPr>
            <w:r>
              <w:t>50.00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唐山市丰南区人民代表大会常务委员会办公室本级2022年单位预算信息公开情况说明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按照《预算法》、《地方预决算公开操作规程》和《关于进一步推进预算公开工作的实施意见》规定，现将唐山市丰南区人民代表大会常务委员会办公室本级2022年单位预算公开如下：</w:t>
      </w:r>
    </w:p>
    <w:p>
      <w:pPr>
        <w:spacing w:before="10" w:after="10"/>
        <w:ind w:firstLine="640"/>
        <w:outlineLvl w:val="5"/>
        <w:rPr>
          <w:rFonts w:asciiTheme="minorHAnsi" w:hAnsiTheme="minorHAnsi"/>
          <w:lang w:val="uk-UA"/>
        </w:rPr>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rPr>
          <w:lang w:val="uk-UA"/>
        </w:rPr>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bookmarkStart w:id="20" w:name="_GoBack"/>
      <w:bookmarkEnd w:id="20"/>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唐山市丰南区人民代表大会常务委员会办公室本级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spacing w:line="500" w:lineRule="exact"/>
        <w:ind w:firstLine="560"/>
        <w:rPr>
          <w:rFonts w:eastAsia="方正仿宋_GBK"/>
          <w:color w:val="000000"/>
          <w:sz w:val="28"/>
        </w:rPr>
      </w:pPr>
      <w:r>
        <w:rPr>
          <w:rFonts w:hint="eastAsia" w:eastAsia="方正仿宋_GBK"/>
          <w:color w:val="000000"/>
          <w:sz w:val="28"/>
        </w:rPr>
        <w:t>（一）收入说明</w:t>
      </w:r>
    </w:p>
    <w:p>
      <w:pPr>
        <w:spacing w:line="500" w:lineRule="exact"/>
        <w:ind w:firstLine="560"/>
        <w:rPr>
          <w:rFonts w:eastAsia="方正仿宋_GBK"/>
          <w:color w:val="000000"/>
          <w:sz w:val="28"/>
        </w:rPr>
      </w:pPr>
      <w:r>
        <w:rPr>
          <w:rFonts w:hint="eastAsia" w:eastAsia="方正仿宋_GBK"/>
          <w:color w:val="000000"/>
          <w:sz w:val="28"/>
        </w:rPr>
        <w:t>2022年部门预算收入</w:t>
      </w:r>
      <w:r>
        <w:rPr>
          <w:rFonts w:eastAsia="方正仿宋_GBK"/>
          <w:color w:val="000000"/>
          <w:sz w:val="28"/>
        </w:rPr>
        <w:t>847.73</w:t>
      </w:r>
      <w:r>
        <w:rPr>
          <w:rFonts w:hint="eastAsia" w:eastAsia="方正仿宋_GBK"/>
          <w:color w:val="000000"/>
          <w:sz w:val="28"/>
        </w:rPr>
        <w:t>万元，其中：一般公共预算拨款</w:t>
      </w:r>
      <w:r>
        <w:rPr>
          <w:rFonts w:eastAsia="方正仿宋_GBK"/>
          <w:color w:val="000000"/>
          <w:sz w:val="28"/>
        </w:rPr>
        <w:t>847.73</w:t>
      </w:r>
      <w:r>
        <w:rPr>
          <w:rFonts w:hint="eastAsia" w:eastAsia="方正仿宋_GBK"/>
          <w:color w:val="000000"/>
          <w:sz w:val="28"/>
        </w:rPr>
        <w:t>万元，政府性基金预算拨款</w:t>
      </w:r>
      <w:r>
        <w:rPr>
          <w:rFonts w:eastAsia="方正仿宋_GBK"/>
          <w:color w:val="000000"/>
          <w:sz w:val="28"/>
        </w:rPr>
        <w:t>0</w:t>
      </w:r>
      <w:r>
        <w:rPr>
          <w:rFonts w:hint="eastAsia" w:eastAsia="方正仿宋_GBK"/>
          <w:color w:val="000000"/>
          <w:sz w:val="28"/>
        </w:rPr>
        <w:t>万元，国有资本经营预算拨款</w:t>
      </w:r>
      <w:r>
        <w:rPr>
          <w:rFonts w:eastAsia="方正仿宋_GBK"/>
          <w:color w:val="000000"/>
          <w:sz w:val="28"/>
        </w:rPr>
        <w:t>0</w:t>
      </w:r>
      <w:r>
        <w:rPr>
          <w:rFonts w:hint="eastAsia" w:eastAsia="方正仿宋_GBK"/>
          <w:color w:val="000000"/>
          <w:sz w:val="28"/>
        </w:rPr>
        <w:t>万元，财政专户核拨</w:t>
      </w:r>
      <w:r>
        <w:rPr>
          <w:rFonts w:eastAsia="方正仿宋_GBK"/>
          <w:color w:val="000000"/>
          <w:sz w:val="28"/>
        </w:rPr>
        <w:t>0</w:t>
      </w:r>
      <w:r>
        <w:rPr>
          <w:rFonts w:hint="eastAsia" w:eastAsia="方正仿宋_GBK"/>
          <w:color w:val="000000"/>
          <w:sz w:val="28"/>
        </w:rPr>
        <w:t>万元，单位资金</w:t>
      </w:r>
      <w:r>
        <w:rPr>
          <w:rFonts w:eastAsia="方正仿宋_GBK"/>
          <w:color w:val="000000"/>
          <w:sz w:val="28"/>
        </w:rPr>
        <w:t>0</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（二）支出说明</w:t>
      </w:r>
    </w:p>
    <w:p>
      <w:pPr>
        <w:spacing w:line="500" w:lineRule="exact"/>
        <w:ind w:firstLine="560"/>
        <w:rPr>
          <w:rFonts w:eastAsia="方正仿宋_GBK"/>
          <w:color w:val="000000"/>
          <w:sz w:val="28"/>
        </w:rPr>
      </w:pPr>
      <w:r>
        <w:rPr>
          <w:rFonts w:hint="eastAsia" w:eastAsia="方正仿宋_GBK"/>
          <w:color w:val="000000"/>
          <w:sz w:val="28"/>
        </w:rPr>
        <w:t>2022年部门预算支出</w:t>
      </w:r>
      <w:r>
        <w:rPr>
          <w:rFonts w:eastAsia="方正仿宋_GBK"/>
          <w:color w:val="000000"/>
          <w:sz w:val="28"/>
        </w:rPr>
        <w:t>847.73</w:t>
      </w:r>
      <w:r>
        <w:rPr>
          <w:rFonts w:hint="eastAsia" w:eastAsia="方正仿宋_GBK"/>
          <w:color w:val="000000"/>
          <w:sz w:val="28"/>
        </w:rPr>
        <w:t>万元，其中：人员经费</w:t>
      </w:r>
      <w:r>
        <w:rPr>
          <w:rFonts w:eastAsia="方正仿宋_GBK"/>
          <w:color w:val="000000"/>
          <w:sz w:val="28"/>
        </w:rPr>
        <w:t>544.98</w:t>
      </w:r>
      <w:r>
        <w:rPr>
          <w:rFonts w:hint="eastAsia" w:eastAsia="方正仿宋_GBK"/>
          <w:color w:val="000000"/>
          <w:sz w:val="28"/>
        </w:rPr>
        <w:t>万元，日常公用经费</w:t>
      </w:r>
      <w:r>
        <w:rPr>
          <w:rFonts w:eastAsia="方正仿宋_GBK"/>
          <w:color w:val="000000"/>
          <w:sz w:val="28"/>
        </w:rPr>
        <w:t>91.75</w:t>
      </w:r>
      <w:r>
        <w:rPr>
          <w:rFonts w:hint="eastAsia" w:eastAsia="方正仿宋_GBK"/>
          <w:color w:val="000000"/>
          <w:sz w:val="28"/>
        </w:rPr>
        <w:t>万元，项目支出</w:t>
      </w:r>
      <w:r>
        <w:rPr>
          <w:rFonts w:eastAsia="方正仿宋_GBK"/>
          <w:color w:val="000000"/>
          <w:sz w:val="28"/>
        </w:rPr>
        <w:t>211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（三）比上年增减情况</w:t>
      </w:r>
    </w:p>
    <w:p>
      <w:pPr>
        <w:spacing w:line="500" w:lineRule="exact"/>
        <w:ind w:firstLine="560"/>
        <w:rPr>
          <w:rFonts w:eastAsia="方正仿宋_GBK"/>
          <w:color w:val="000000"/>
          <w:sz w:val="28"/>
          <w:lang w:val="uk-UA"/>
        </w:rPr>
      </w:pPr>
      <w:r>
        <w:rPr>
          <w:rFonts w:hint="eastAsia" w:eastAsia="方正仿宋_GBK"/>
          <w:color w:val="000000"/>
          <w:sz w:val="28"/>
        </w:rPr>
        <w:t>2022年部门预算较2021年</w:t>
      </w:r>
      <w:r>
        <w:rPr>
          <w:rFonts w:eastAsia="方正仿宋_GBK"/>
          <w:color w:val="000000"/>
          <w:sz w:val="28"/>
        </w:rPr>
        <w:t>增加22.82</w:t>
      </w:r>
      <w:r>
        <w:rPr>
          <w:rFonts w:hint="eastAsia" w:eastAsia="方正仿宋_GBK"/>
          <w:color w:val="000000"/>
          <w:sz w:val="28"/>
        </w:rPr>
        <w:t>万元，其中：人员经费</w:t>
      </w:r>
      <w:r>
        <w:rPr>
          <w:rFonts w:hint="eastAsia" w:eastAsia="方正仿宋_GBK"/>
          <w:color w:val="000000"/>
          <w:sz w:val="28"/>
          <w:lang w:eastAsia="zh-CN"/>
        </w:rPr>
        <w:t>增加</w:t>
      </w:r>
      <w:r>
        <w:rPr>
          <w:rFonts w:eastAsia="方正仿宋_GBK"/>
          <w:color w:val="000000"/>
          <w:sz w:val="28"/>
        </w:rPr>
        <w:t>0.57</w:t>
      </w:r>
      <w:r>
        <w:rPr>
          <w:rFonts w:hint="eastAsia" w:eastAsia="方正仿宋_GBK"/>
          <w:color w:val="000000"/>
          <w:sz w:val="28"/>
        </w:rPr>
        <w:t>万元，日常公用经费增加</w:t>
      </w:r>
      <w:r>
        <w:rPr>
          <w:rFonts w:eastAsia="方正仿宋_GBK"/>
          <w:color w:val="000000"/>
          <w:sz w:val="28"/>
        </w:rPr>
        <w:t>12.4</w:t>
      </w:r>
      <w:r>
        <w:rPr>
          <w:rFonts w:hint="eastAsia" w:eastAsia="方正仿宋_GBK"/>
          <w:color w:val="000000"/>
          <w:sz w:val="28"/>
        </w:rPr>
        <w:t>万元，项目经费</w:t>
      </w:r>
      <w:r>
        <w:rPr>
          <w:rFonts w:hint="eastAsia" w:eastAsia="方正仿宋_GBK"/>
          <w:color w:val="000000"/>
          <w:sz w:val="28"/>
          <w:lang w:eastAsia="zh-CN"/>
        </w:rPr>
        <w:t>减少69.5</w:t>
      </w:r>
      <w:r>
        <w:rPr>
          <w:rFonts w:hint="eastAsia" w:eastAsia="方正仿宋_GBK"/>
          <w:color w:val="000000"/>
          <w:sz w:val="28"/>
        </w:rPr>
        <w:t>万元。</w:t>
      </w: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eastAsia="方正仿宋_GBK"/>
          <w:sz w:val="28"/>
          <w:lang w:val="uk-UA"/>
        </w:rPr>
      </w:pPr>
      <w:r>
        <w:rPr>
          <w:rFonts w:hint="eastAsia" w:eastAsia="方正仿宋_GBK"/>
          <w:color w:val="000000"/>
          <w:sz w:val="28"/>
        </w:rPr>
        <w:t>2022年机关运行经费共计安排</w:t>
      </w:r>
      <w:r>
        <w:rPr>
          <w:rFonts w:eastAsia="方正仿宋_GBK"/>
          <w:color w:val="000000"/>
          <w:sz w:val="28"/>
        </w:rPr>
        <w:t>91.75</w:t>
      </w:r>
      <w:r>
        <w:rPr>
          <w:rFonts w:hint="eastAsia" w:eastAsia="方正仿宋_GBK"/>
          <w:color w:val="000000"/>
          <w:sz w:val="28"/>
        </w:rPr>
        <w:t>万元，主要包括用于保证机关正常运转的</w:t>
      </w:r>
      <w:r>
        <w:rPr>
          <w:rFonts w:hint="eastAsia" w:eastAsia="方正仿宋_GBK"/>
          <w:sz w:val="28"/>
        </w:rPr>
        <w:t>办公</w:t>
      </w:r>
      <w:r>
        <w:rPr>
          <w:rFonts w:eastAsia="方正仿宋_GBK"/>
          <w:sz w:val="28"/>
        </w:rPr>
        <w:t>费8.5万元、</w:t>
      </w:r>
      <w:r>
        <w:rPr>
          <w:rFonts w:hint="eastAsia" w:eastAsia="方正仿宋_GBK"/>
          <w:sz w:val="28"/>
        </w:rPr>
        <w:t>邮电费</w:t>
      </w:r>
      <w:r>
        <w:rPr>
          <w:rFonts w:eastAsia="方正仿宋_GBK"/>
          <w:sz w:val="28"/>
        </w:rPr>
        <w:t>3.25万元</w:t>
      </w:r>
      <w:r>
        <w:rPr>
          <w:rFonts w:hint="eastAsia" w:eastAsia="方正仿宋_GBK"/>
          <w:sz w:val="28"/>
        </w:rPr>
        <w:t>、公务用车运行维护费</w:t>
      </w:r>
      <w:r>
        <w:rPr>
          <w:rFonts w:eastAsia="方正仿宋_GBK"/>
          <w:sz w:val="28"/>
        </w:rPr>
        <w:t>20万元</w:t>
      </w:r>
      <w:r>
        <w:rPr>
          <w:rFonts w:hint="eastAsia" w:eastAsia="方正仿宋_GBK"/>
          <w:sz w:val="28"/>
        </w:rPr>
        <w:t>、</w:t>
      </w:r>
      <w:r>
        <w:rPr>
          <w:rFonts w:eastAsia="方正仿宋_GBK"/>
          <w:sz w:val="28"/>
        </w:rPr>
        <w:t>公务接待费10万元、</w:t>
      </w:r>
      <w:r>
        <w:rPr>
          <w:rFonts w:hint="eastAsia" w:eastAsia="方正仿宋_GBK"/>
          <w:sz w:val="28"/>
        </w:rPr>
        <w:t>工会</w:t>
      </w:r>
      <w:r>
        <w:rPr>
          <w:rFonts w:eastAsia="方正仿宋_GBK"/>
          <w:sz w:val="28"/>
        </w:rPr>
        <w:t>经</w:t>
      </w:r>
      <w:r>
        <w:rPr>
          <w:rFonts w:hint="eastAsia" w:eastAsia="方正仿宋_GBK"/>
          <w:sz w:val="28"/>
        </w:rPr>
        <w:t>费</w:t>
      </w:r>
      <w:r>
        <w:rPr>
          <w:rFonts w:eastAsia="方正仿宋_GBK"/>
          <w:sz w:val="28"/>
        </w:rPr>
        <w:t>6.2万元</w:t>
      </w:r>
      <w:r>
        <w:rPr>
          <w:rFonts w:hint="eastAsia" w:eastAsia="方正仿宋_GBK"/>
          <w:sz w:val="28"/>
        </w:rPr>
        <w:t>、</w:t>
      </w:r>
      <w:r>
        <w:rPr>
          <w:rFonts w:eastAsia="方正仿宋_GBK"/>
          <w:sz w:val="28"/>
        </w:rPr>
        <w:t>在职职工</w:t>
      </w:r>
      <w:r>
        <w:rPr>
          <w:rFonts w:hint="eastAsia" w:eastAsia="方正仿宋_GBK"/>
          <w:sz w:val="28"/>
        </w:rPr>
        <w:t>福利费</w:t>
      </w:r>
      <w:r>
        <w:rPr>
          <w:rFonts w:eastAsia="方正仿宋_GBK"/>
          <w:sz w:val="28"/>
        </w:rPr>
        <w:t>3.9万元</w:t>
      </w:r>
      <w:r>
        <w:rPr>
          <w:rFonts w:hint="eastAsia" w:eastAsia="方正仿宋_GBK"/>
          <w:sz w:val="28"/>
        </w:rPr>
        <w:t>、</w:t>
      </w:r>
      <w:r>
        <w:rPr>
          <w:rFonts w:eastAsia="方正仿宋_GBK"/>
          <w:sz w:val="28"/>
        </w:rPr>
        <w:t>离退休福利费2.9万元，公务移动</w:t>
      </w:r>
      <w:r>
        <w:rPr>
          <w:rFonts w:hint="eastAsia" w:eastAsia="方正仿宋_GBK"/>
          <w:sz w:val="28"/>
        </w:rPr>
        <w:t>通讯</w:t>
      </w:r>
      <w:r>
        <w:rPr>
          <w:rFonts w:eastAsia="方正仿宋_GBK"/>
          <w:sz w:val="28"/>
        </w:rPr>
        <w:t>费用</w:t>
      </w:r>
      <w:r>
        <w:rPr>
          <w:rFonts w:hint="eastAsia" w:eastAsia="方正仿宋_GBK"/>
          <w:sz w:val="28"/>
        </w:rPr>
        <w:t>补贴</w:t>
      </w:r>
      <w:r>
        <w:rPr>
          <w:rFonts w:eastAsia="方正仿宋_GBK"/>
          <w:sz w:val="28"/>
        </w:rPr>
        <w:t>13.6万元</w:t>
      </w:r>
      <w:r>
        <w:rPr>
          <w:rFonts w:hint="eastAsia" w:eastAsia="方正仿宋_GBK"/>
          <w:sz w:val="28"/>
        </w:rPr>
        <w:t>、</w:t>
      </w:r>
      <w:r>
        <w:rPr>
          <w:rFonts w:eastAsia="方正仿宋_GBK"/>
          <w:sz w:val="28"/>
        </w:rPr>
        <w:t>公务</w:t>
      </w:r>
      <w:r>
        <w:rPr>
          <w:rFonts w:hint="eastAsia" w:eastAsia="方正仿宋_GBK"/>
          <w:sz w:val="28"/>
        </w:rPr>
        <w:t>交通补贴</w:t>
      </w:r>
      <w:r>
        <w:rPr>
          <w:rFonts w:eastAsia="方正仿宋_GBK"/>
          <w:sz w:val="28"/>
        </w:rPr>
        <w:t>21.8万元</w:t>
      </w:r>
      <w:r>
        <w:rPr>
          <w:rFonts w:hint="eastAsia" w:eastAsia="方正仿宋_GBK"/>
          <w:sz w:val="28"/>
        </w:rPr>
        <w:t>、</w:t>
      </w:r>
      <w:r>
        <w:rPr>
          <w:rFonts w:hint="eastAsia" w:eastAsia="方正仿宋_GBK"/>
          <w:sz w:val="28"/>
          <w:lang w:eastAsia="zh-CN"/>
        </w:rPr>
        <w:t>办公</w:t>
      </w:r>
      <w:r>
        <w:rPr>
          <w:rFonts w:eastAsia="方正仿宋_GBK"/>
          <w:sz w:val="28"/>
          <w:lang w:eastAsia="zh-CN"/>
        </w:rPr>
        <w:t>取暖费</w:t>
      </w:r>
      <w:r>
        <w:rPr>
          <w:rFonts w:hint="eastAsia" w:eastAsia="方正仿宋_GBK"/>
          <w:sz w:val="28"/>
          <w:lang w:eastAsia="zh-CN"/>
        </w:rPr>
        <w:t>0.3万元</w:t>
      </w:r>
      <w:r>
        <w:rPr>
          <w:rFonts w:eastAsia="方正仿宋_GBK"/>
          <w:sz w:val="28"/>
          <w:lang w:eastAsia="zh-CN"/>
        </w:rPr>
        <w:t>、</w:t>
      </w:r>
      <w:r>
        <w:rPr>
          <w:rFonts w:eastAsia="方正仿宋_GBK"/>
          <w:sz w:val="28"/>
        </w:rPr>
        <w:t>离退休干部报刊费1.3万元。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360" w:lineRule="auto"/>
        <w:ind w:firstLine="700" w:firstLineChars="250"/>
        <w:rPr>
          <w:rFonts w:eastAsia="方正仿宋_GBK"/>
          <w:color w:val="000000"/>
          <w:sz w:val="28"/>
        </w:rPr>
      </w:pPr>
      <w:r>
        <w:rPr>
          <w:rFonts w:hint="eastAsia" w:eastAsia="方正仿宋_GBK"/>
          <w:color w:val="000000"/>
          <w:sz w:val="28"/>
        </w:rPr>
        <w:t>2022年部门“三公”经费预算安排</w:t>
      </w:r>
      <w:r>
        <w:rPr>
          <w:rFonts w:eastAsia="方正仿宋_GBK"/>
          <w:color w:val="000000"/>
          <w:sz w:val="28"/>
        </w:rPr>
        <w:t>48</w:t>
      </w:r>
      <w:r>
        <w:rPr>
          <w:rFonts w:hint="eastAsia" w:eastAsia="方正仿宋_GBK"/>
          <w:color w:val="000000"/>
          <w:sz w:val="28"/>
        </w:rPr>
        <w:t>万元，比2021年</w:t>
      </w:r>
      <w:r>
        <w:rPr>
          <w:rFonts w:hint="eastAsia" w:eastAsia="方正仿宋_GBK"/>
          <w:sz w:val="28"/>
        </w:rPr>
        <w:t>减少</w:t>
      </w:r>
      <w:r>
        <w:rPr>
          <w:rFonts w:eastAsia="方正仿宋_GBK"/>
          <w:sz w:val="28"/>
        </w:rPr>
        <w:t>2</w:t>
      </w:r>
      <w:r>
        <w:rPr>
          <w:rFonts w:hint="eastAsia" w:eastAsia="方正仿宋_GBK"/>
          <w:color w:val="000000"/>
          <w:sz w:val="28"/>
        </w:rPr>
        <w:t>万元。具体增减情况为：</w:t>
      </w:r>
    </w:p>
    <w:p>
      <w:pPr>
        <w:spacing w:line="360" w:lineRule="auto"/>
        <w:ind w:firstLine="560" w:firstLineChars="200"/>
        <w:rPr>
          <w:rFonts w:eastAsia="方正仿宋_GBK"/>
          <w:color w:val="000000"/>
          <w:sz w:val="28"/>
        </w:rPr>
      </w:pPr>
      <w:r>
        <w:rPr>
          <w:rFonts w:hint="eastAsia" w:eastAsia="方正仿宋_GBK"/>
          <w:color w:val="000000"/>
          <w:sz w:val="28"/>
        </w:rPr>
        <w:t>（一）公务用车购置及运行费</w:t>
      </w:r>
      <w:r>
        <w:rPr>
          <w:rFonts w:eastAsia="方正仿宋_GBK"/>
          <w:color w:val="000000"/>
          <w:sz w:val="28"/>
        </w:rPr>
        <w:t>48</w:t>
      </w:r>
      <w:r>
        <w:rPr>
          <w:rFonts w:hint="eastAsia" w:eastAsia="方正仿宋_GBK"/>
          <w:color w:val="000000"/>
          <w:sz w:val="28"/>
        </w:rPr>
        <w:t>万元，比2021年</w:t>
      </w:r>
      <w:r>
        <w:rPr>
          <w:rFonts w:hint="eastAsia" w:eastAsia="方正仿宋_GBK"/>
          <w:sz w:val="28"/>
        </w:rPr>
        <w:t>减少</w:t>
      </w:r>
      <w:r>
        <w:rPr>
          <w:rFonts w:eastAsia="方正仿宋_GBK"/>
          <w:sz w:val="28"/>
        </w:rPr>
        <w:t>2</w:t>
      </w:r>
      <w:r>
        <w:rPr>
          <w:rFonts w:hint="eastAsia" w:eastAsia="方正仿宋_GBK"/>
          <w:sz w:val="28"/>
        </w:rPr>
        <w:t>万元，</w:t>
      </w:r>
      <w:r>
        <w:rPr>
          <w:rFonts w:hint="eastAsia" w:eastAsia="方正仿宋_GBK"/>
          <w:color w:val="000000"/>
          <w:sz w:val="28"/>
        </w:rPr>
        <w:t>其中：公务用车购置费为</w:t>
      </w:r>
      <w:r>
        <w:rPr>
          <w:rFonts w:eastAsia="方正仿宋_GBK"/>
          <w:color w:val="000000"/>
          <w:sz w:val="28"/>
          <w:lang w:eastAsia="zh-CN"/>
        </w:rPr>
        <w:t>18</w:t>
      </w:r>
      <w:r>
        <w:rPr>
          <w:rFonts w:hint="eastAsia" w:eastAsia="方正仿宋_GBK"/>
          <w:color w:val="000000"/>
          <w:sz w:val="28"/>
        </w:rPr>
        <w:t>万元，比2021年减少</w:t>
      </w:r>
      <w:r>
        <w:rPr>
          <w:rFonts w:eastAsia="方正仿宋_GBK"/>
          <w:color w:val="000000"/>
          <w:sz w:val="28"/>
          <w:lang w:eastAsia="zh-CN"/>
        </w:rPr>
        <w:t>2</w:t>
      </w:r>
      <w:r>
        <w:rPr>
          <w:rFonts w:hint="eastAsia" w:eastAsia="方正仿宋_GBK"/>
          <w:color w:val="000000"/>
          <w:sz w:val="28"/>
        </w:rPr>
        <w:t>万元，原因是</w:t>
      </w:r>
      <w:r>
        <w:rPr>
          <w:rFonts w:hint="eastAsia" w:eastAsia="方正仿宋_GBK"/>
          <w:color w:val="000000"/>
          <w:sz w:val="28"/>
          <w:lang w:eastAsia="zh-CN"/>
        </w:rPr>
        <w:t>2022年压减公务用车购置经费</w:t>
      </w:r>
      <w:r>
        <w:rPr>
          <w:rFonts w:eastAsia="方正仿宋_GBK"/>
          <w:color w:val="000000"/>
          <w:sz w:val="28"/>
          <w:lang w:eastAsia="zh-CN"/>
        </w:rPr>
        <w:t>预算</w:t>
      </w:r>
      <w:r>
        <w:rPr>
          <w:rFonts w:hint="eastAsia" w:eastAsia="方正仿宋_GBK"/>
          <w:color w:val="000000"/>
          <w:sz w:val="28"/>
        </w:rPr>
        <w:t>；公务用车运行</w:t>
      </w:r>
      <w:r>
        <w:rPr>
          <w:rFonts w:hint="eastAsia" w:eastAsia="方正仿宋_GBK"/>
          <w:color w:val="000000"/>
          <w:sz w:val="28"/>
          <w:lang w:eastAsia="zh-CN"/>
        </w:rPr>
        <w:t>维护费</w:t>
      </w:r>
      <w:r>
        <w:rPr>
          <w:rFonts w:eastAsia="方正仿宋_GBK"/>
          <w:color w:val="000000"/>
          <w:sz w:val="28"/>
          <w:lang w:eastAsia="zh-CN"/>
        </w:rPr>
        <w:t>20</w:t>
      </w:r>
      <w:r>
        <w:rPr>
          <w:rFonts w:hint="eastAsia" w:eastAsia="方正仿宋_GBK"/>
          <w:color w:val="000000"/>
          <w:sz w:val="28"/>
        </w:rPr>
        <w:t>万元，比</w:t>
      </w:r>
      <w:r>
        <w:rPr>
          <w:rFonts w:hint="eastAsia" w:eastAsia="方正仿宋_GBK"/>
          <w:color w:val="000000"/>
          <w:sz w:val="28"/>
          <w:lang w:eastAsia="zh-CN"/>
        </w:rPr>
        <w:t>2021</w:t>
      </w:r>
      <w:r>
        <w:rPr>
          <w:rFonts w:hint="eastAsia" w:eastAsia="方正仿宋_GBK"/>
          <w:color w:val="000000"/>
          <w:sz w:val="28"/>
        </w:rPr>
        <w:t>年增加</w:t>
      </w:r>
      <w:r>
        <w:rPr>
          <w:rFonts w:hint="eastAsia" w:eastAsia="方正仿宋_GBK"/>
          <w:color w:val="000000"/>
          <w:sz w:val="28"/>
          <w:lang w:eastAsia="zh-CN"/>
        </w:rPr>
        <w:t>0</w:t>
      </w:r>
      <w:r>
        <w:rPr>
          <w:rFonts w:hint="eastAsia" w:eastAsia="方正仿宋_GBK"/>
          <w:color w:val="000000"/>
          <w:sz w:val="28"/>
        </w:rPr>
        <w:t>万元，无增减变化</w:t>
      </w:r>
      <w:r>
        <w:rPr>
          <w:rFonts w:eastAsia="方正仿宋_GBK"/>
          <w:color w:val="000000"/>
          <w:sz w:val="28"/>
        </w:rPr>
        <w:t>。</w:t>
      </w:r>
    </w:p>
    <w:p>
      <w:pPr>
        <w:spacing w:line="360" w:lineRule="auto"/>
        <w:ind w:firstLine="560" w:firstLineChars="200"/>
        <w:rPr>
          <w:rFonts w:eastAsia="方正仿宋_GBK"/>
          <w:sz w:val="28"/>
        </w:rPr>
      </w:pPr>
      <w:r>
        <w:rPr>
          <w:rFonts w:hint="eastAsia" w:eastAsia="方正仿宋_GBK"/>
          <w:sz w:val="28"/>
        </w:rPr>
        <w:t>（二）公务接待费</w:t>
      </w:r>
      <w:r>
        <w:rPr>
          <w:rFonts w:eastAsia="方正仿宋_GBK"/>
          <w:sz w:val="28"/>
        </w:rPr>
        <w:t>10</w:t>
      </w:r>
      <w:r>
        <w:rPr>
          <w:rFonts w:hint="eastAsia" w:eastAsia="方正仿宋_GBK"/>
          <w:sz w:val="28"/>
        </w:rPr>
        <w:t>万元，比2021年增加</w:t>
      </w:r>
      <w:r>
        <w:rPr>
          <w:rFonts w:eastAsia="方正仿宋_GBK"/>
          <w:sz w:val="28"/>
        </w:rPr>
        <w:t>0</w:t>
      </w:r>
      <w:r>
        <w:rPr>
          <w:rFonts w:hint="eastAsia" w:eastAsia="方正仿宋_GBK"/>
          <w:sz w:val="28"/>
        </w:rPr>
        <w:t>万元，无增减变化</w:t>
      </w:r>
      <w:r>
        <w:rPr>
          <w:rFonts w:eastAsia="方正仿宋_GBK"/>
          <w:sz w:val="28"/>
        </w:rPr>
        <w:t>。</w:t>
      </w:r>
    </w:p>
    <w:p>
      <w:pPr>
        <w:spacing w:line="360" w:lineRule="auto"/>
        <w:ind w:firstLine="560" w:firstLineChars="200"/>
        <w:rPr>
          <w:rFonts w:eastAsia="方正仿宋_GBK"/>
          <w:sz w:val="28"/>
          <w:lang w:val="uk-UA"/>
        </w:rPr>
      </w:pPr>
      <w:r>
        <w:rPr>
          <w:rFonts w:hint="eastAsia" w:eastAsia="方正仿宋_GBK"/>
          <w:sz w:val="28"/>
        </w:rPr>
        <w:t>（三）因公出国（境）费</w:t>
      </w:r>
      <w:r>
        <w:rPr>
          <w:rFonts w:eastAsia="方正仿宋_GBK"/>
          <w:sz w:val="28"/>
        </w:rPr>
        <w:t>0</w:t>
      </w:r>
      <w:r>
        <w:rPr>
          <w:rFonts w:hint="eastAsia" w:eastAsia="方正仿宋_GBK"/>
          <w:sz w:val="28"/>
        </w:rPr>
        <w:t>万元，比2021年增加</w:t>
      </w:r>
      <w:r>
        <w:rPr>
          <w:rFonts w:eastAsia="方正仿宋_GBK"/>
          <w:sz w:val="28"/>
        </w:rPr>
        <w:t>0</w:t>
      </w:r>
      <w:r>
        <w:rPr>
          <w:rFonts w:hint="eastAsia" w:eastAsia="方正仿宋_GBK"/>
          <w:sz w:val="28"/>
        </w:rPr>
        <w:t>万元，无增减变化</w:t>
      </w:r>
      <w:r>
        <w:rPr>
          <w:rFonts w:eastAsia="方正仿宋_GBK"/>
          <w:sz w:val="28"/>
        </w:rPr>
        <w:t>。</w:t>
      </w: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pPr>
        <w:spacing w:line="500" w:lineRule="exact"/>
        <w:ind w:firstLine="560"/>
      </w:pPr>
      <w:r>
        <w:rPr>
          <w:rFonts w:eastAsia="方正仿宋_GBK"/>
          <w:color w:val="000000"/>
          <w:sz w:val="28"/>
        </w:rPr>
        <w:t>（一）总体绩效目标</w:t>
      </w:r>
    </w:p>
    <w:p>
      <w:pPr>
        <w:pStyle w:val="25"/>
      </w:pPr>
      <w:r>
        <w:t>2022年,丰南区人大常委会在区委的坚强领导下，全面履行法定职责，充分发挥代表作用，切实加强自身建设，与“一府一委两院”积极作为，共促丰南发展，努力建设“高质量发展示范区、生态宜居样板区”。用实际行动践行“丰南发展、人大尽责”的工作理念。注重问题导向，在提升监督实效上用心用力。在监督整改落实上有新举措。继续加强对宏观经济运行的监督，着力推动地方稳健发展。高度重视社会公共事业，加强文化教育、道路交通、医疗卫生、就业保障等民生领域的工作监督。坚持依法治区方略，推动法律法规在丰南有效落实，促进“一府一委两院”及其工作人员依法行政、公正司法、正确履职。创新体制机制，在代表作用发挥上更加充分。不断加强上下联动和工作指导，鼓励支持基层人大创新实践，增强人大工作整体效能。加强自身建设。全面落实省市区委关于加强和改进人大工作的部署要求，全面加强常委会机关思想、作风、制度和党的建设，打造“人讲称职、事争一流”的模范机关。</w:t>
      </w:r>
    </w:p>
    <w:p>
      <w:pPr>
        <w:spacing w:line="500" w:lineRule="exact"/>
        <w:ind w:firstLine="560"/>
      </w:pPr>
      <w:r>
        <w:rPr>
          <w:rFonts w:eastAsia="方正仿宋_GBK"/>
          <w:color w:val="000000"/>
          <w:sz w:val="28"/>
        </w:rPr>
        <w:t>（二）分项绩效目标</w:t>
      </w:r>
    </w:p>
    <w:p>
      <w:pPr>
        <w:pStyle w:val="26"/>
      </w:pPr>
      <w:r>
        <w:rPr>
          <w:rFonts w:hint="eastAsia"/>
          <w:lang w:eastAsia="zh-CN"/>
        </w:rPr>
        <w:t>1、</w:t>
      </w:r>
      <w:r>
        <w:t>促进各项法律法规、人大决议、报告等的落实；促进“一府两院”改进工作；提高规范性文件质量；促进社会和谐稳定。</w:t>
      </w:r>
    </w:p>
    <w:p>
      <w:pPr>
        <w:pStyle w:val="26"/>
      </w:pPr>
      <w:r>
        <w:t>绩效目标：</w:t>
      </w:r>
      <w:r>
        <w:rPr>
          <w:rFonts w:hint="eastAsia"/>
          <w:lang w:eastAsia="zh-CN"/>
        </w:rPr>
        <w:t>持续</w:t>
      </w:r>
      <w:r>
        <w:rPr>
          <w:lang w:eastAsia="zh-CN"/>
        </w:rPr>
        <w:t>做好</w:t>
      </w:r>
      <w:r>
        <w:t>人大监督</w:t>
      </w:r>
      <w:r>
        <w:rPr>
          <w:rFonts w:hint="eastAsia"/>
          <w:lang w:eastAsia="zh-CN"/>
        </w:rPr>
        <w:t>工作</w:t>
      </w:r>
      <w:r>
        <w:t>。</w:t>
      </w:r>
    </w:p>
    <w:p>
      <w:pPr>
        <w:pStyle w:val="26"/>
      </w:pPr>
      <w:r>
        <w:t>绩效指标：促进各项法律法规、人大决议、报告等的落实；促进“一府一委两院”改进工作；提高规范性文件质量；促进社会和谐稳定。</w:t>
      </w:r>
    </w:p>
    <w:p>
      <w:pPr>
        <w:pStyle w:val="26"/>
      </w:pPr>
      <w:r>
        <w:rPr>
          <w:rFonts w:hint="eastAsia"/>
          <w:lang w:eastAsia="zh-CN"/>
        </w:rPr>
        <w:t>2、</w:t>
      </w:r>
      <w:r>
        <w:t>完善各项会议制度，规范会议程序，提高会议质量，提高人大代表及常委会审议水平。</w:t>
      </w:r>
    </w:p>
    <w:p>
      <w:pPr>
        <w:pStyle w:val="26"/>
      </w:pPr>
      <w:r>
        <w:t>绩效目标：</w:t>
      </w:r>
      <w:r>
        <w:rPr>
          <w:rFonts w:hint="eastAsia"/>
          <w:lang w:eastAsia="zh-CN"/>
        </w:rPr>
        <w:t>圆满完成</w:t>
      </w:r>
      <w:r>
        <w:rPr>
          <w:lang w:eastAsia="zh-CN"/>
        </w:rPr>
        <w:t>各项</w:t>
      </w:r>
      <w:r>
        <w:t>人大会议。</w:t>
      </w:r>
    </w:p>
    <w:p>
      <w:pPr>
        <w:pStyle w:val="26"/>
      </w:pPr>
      <w:r>
        <w:t>绩效指标：完善各项会议制度，规范会议程序，提高会议质量，提高人大代表及常委会审议水平。</w:t>
      </w:r>
    </w:p>
    <w:p>
      <w:pPr>
        <w:pStyle w:val="26"/>
      </w:pPr>
      <w:r>
        <w:rPr>
          <w:rFonts w:hint="eastAsia"/>
          <w:lang w:eastAsia="zh-CN"/>
        </w:rPr>
        <w:t>3、</w:t>
      </w:r>
      <w:r>
        <w:t>确保换届选举工作顺利完成，实现省市和区委人事安排部署；提高组织换届选举工作水平。</w:t>
      </w:r>
    </w:p>
    <w:p>
      <w:pPr>
        <w:pStyle w:val="26"/>
      </w:pPr>
      <w:r>
        <w:t>绩效目标：</w:t>
      </w:r>
      <w:r>
        <w:rPr>
          <w:rFonts w:hint="eastAsia"/>
          <w:lang w:eastAsia="zh-CN"/>
        </w:rPr>
        <w:t>做好</w:t>
      </w:r>
      <w:r>
        <w:t>选举和任免</w:t>
      </w:r>
      <w:r>
        <w:rPr>
          <w:rFonts w:hint="eastAsia"/>
          <w:lang w:eastAsia="zh-CN"/>
        </w:rPr>
        <w:t>工作</w:t>
      </w:r>
      <w:r>
        <w:t>。</w:t>
      </w:r>
    </w:p>
    <w:p>
      <w:pPr>
        <w:pStyle w:val="26"/>
      </w:pPr>
      <w:r>
        <w:t>绩效指标：依法组织指导区乡两级人大换届选举工作，确保换届选举工作顺利完成，实现区委人事安排部署；提高组织换届选举工作水平。高质量完成国家机关领导人选举和常委会人事任免服务工作。</w:t>
      </w:r>
    </w:p>
    <w:p>
      <w:pPr>
        <w:pStyle w:val="26"/>
      </w:pPr>
      <w:r>
        <w:rPr>
          <w:rFonts w:hint="eastAsia"/>
          <w:lang w:eastAsia="zh-CN"/>
        </w:rPr>
        <w:t>4、</w:t>
      </w:r>
      <w:r>
        <w:t>促进机关自身建设、服务保障能力进一步提升。</w:t>
      </w:r>
    </w:p>
    <w:p>
      <w:pPr>
        <w:pStyle w:val="26"/>
      </w:pPr>
      <w:r>
        <w:t>绩效目标：</w:t>
      </w:r>
      <w:r>
        <w:rPr>
          <w:rFonts w:hint="eastAsia"/>
          <w:lang w:eastAsia="zh-CN"/>
        </w:rPr>
        <w:t>提高</w:t>
      </w:r>
      <w:r>
        <w:t>人大事务管理</w:t>
      </w:r>
      <w:r>
        <w:rPr>
          <w:rFonts w:hint="eastAsia"/>
          <w:lang w:eastAsia="zh-CN"/>
        </w:rPr>
        <w:t>水平</w:t>
      </w:r>
      <w:r>
        <w:t>。</w:t>
      </w:r>
    </w:p>
    <w:p>
      <w:pPr>
        <w:pStyle w:val="26"/>
      </w:pPr>
      <w:r>
        <w:t>绩效指标：完善工作制度，加强业务培训，不断提高常委会把握大局能力和依法履职水平。促进机关自身建设、服务保障能力进一步提升。</w:t>
      </w:r>
    </w:p>
    <w:p>
      <w:pPr>
        <w:spacing w:line="500" w:lineRule="exact"/>
        <w:ind w:firstLine="560"/>
      </w:pPr>
      <w:r>
        <w:rPr>
          <w:rFonts w:eastAsia="方正仿宋_GBK"/>
          <w:color w:val="000000"/>
          <w:sz w:val="28"/>
        </w:rPr>
        <w:t>（三）工作保障措施</w:t>
      </w:r>
    </w:p>
    <w:p>
      <w:pPr>
        <w:pStyle w:val="27"/>
      </w:pPr>
      <w:r>
        <w:rPr>
          <w:rFonts w:hint="eastAsia"/>
          <w:lang w:eastAsia="zh-CN"/>
        </w:rPr>
        <w:t>1、</w:t>
      </w:r>
      <w:r>
        <w:t>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pStyle w:val="27"/>
      </w:pPr>
      <w:r>
        <w:rPr>
          <w:rFonts w:hint="eastAsia"/>
          <w:lang w:eastAsia="zh-CN"/>
        </w:rPr>
        <w:t>2、</w:t>
      </w:r>
      <w:r>
        <w:t>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pStyle w:val="27"/>
      </w:pPr>
      <w:r>
        <w:rPr>
          <w:rFonts w:hint="eastAsia"/>
          <w:lang w:eastAsia="zh-CN"/>
        </w:rPr>
        <w:t>3、</w:t>
      </w:r>
      <w:r>
        <w:t>强化决议决定落实监督。认真做好区人大及常委会决议决定的交办、反馈工作，通过听取审议报告、满意度测评和组织人大代表视察检查等方式，促进各项决议、决定落到实处。</w:t>
      </w:r>
    </w:p>
    <w:p>
      <w:pPr>
        <w:pStyle w:val="27"/>
      </w:pPr>
      <w:r>
        <w:rPr>
          <w:rFonts w:hint="eastAsia"/>
          <w:lang w:eastAsia="zh-CN"/>
        </w:rPr>
        <w:t>4、</w:t>
      </w:r>
      <w:r>
        <w:t>突出政府专项工作监督。聚焦改革发展稳定全局的重大问题，加强工作监督。常委会将重点听取和审议区政府的专项报告。同时，组织部分省、市、区人大代表开展重点项目视察。</w:t>
      </w:r>
    </w:p>
    <w:p>
      <w:pPr>
        <w:pStyle w:val="27"/>
      </w:pPr>
      <w:r>
        <w:rPr>
          <w:rFonts w:hint="eastAsia"/>
          <w:lang w:eastAsia="zh-CN"/>
        </w:rPr>
        <w:t>5、</w:t>
      </w:r>
      <w:r>
        <w:t>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pStyle w:val="27"/>
      </w:pPr>
      <w:r>
        <w:rPr>
          <w:rFonts w:hint="eastAsia"/>
          <w:lang w:eastAsia="zh-CN"/>
        </w:rPr>
        <w:t>6、</w:t>
      </w:r>
      <w:r>
        <w:t>围绕民生热点问题进行监督。关注人民群众普遍关注的热点、难点问题，加大监督力度，常委会将听取和审议区政府专项工作报告。</w:t>
      </w:r>
    </w:p>
    <w:p>
      <w:pPr>
        <w:pStyle w:val="27"/>
      </w:pPr>
      <w:r>
        <w:rPr>
          <w:rFonts w:hint="eastAsia"/>
          <w:lang w:eastAsia="zh-CN"/>
        </w:rPr>
        <w:t>7、</w:t>
      </w:r>
      <w:r>
        <w:t>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pStyle w:val="27"/>
      </w:pPr>
      <w:r>
        <w:rPr>
          <w:rFonts w:hint="eastAsia"/>
          <w:lang w:eastAsia="zh-CN"/>
        </w:rPr>
        <w:t>8、</w:t>
      </w:r>
      <w:r>
        <w:t>加强司法监督。加强对区法院、区检察院及司法机关的的监督，为全区经济社会发展提供公正、权威、高效的司法保障。围绕学习贯彻《民法典》加强宣传，开展监督，作出决定，营造学习贯彻氛围；对《未成年人保护法》贯彻落实情况进行跟踪监督，深化监督实效；深入开展规范性文件备案审查工作，实现规范化、常态化；做好法官、检察官履职评工作。</w:t>
      </w:r>
    </w:p>
    <w:p>
      <w:pPr>
        <w:pStyle w:val="27"/>
      </w:pPr>
      <w:r>
        <w:rPr>
          <w:rFonts w:hint="eastAsia"/>
          <w:lang w:eastAsia="zh-CN"/>
        </w:rPr>
        <w:t>9、</w:t>
      </w:r>
      <w:r>
        <w:t>关注监察机关运转情况，积极探索、强化监督方式方法，适时听取区监察委员会成立运转情况的专项报告。</w:t>
      </w:r>
    </w:p>
    <w:p>
      <w:pPr>
        <w:pStyle w:val="27"/>
      </w:pPr>
      <w:r>
        <w:rPr>
          <w:rFonts w:hint="eastAsia"/>
          <w:lang w:eastAsia="zh-CN"/>
        </w:rPr>
        <w:t>1</w:t>
      </w:r>
      <w:r>
        <w:rPr>
          <w:lang w:eastAsia="zh-CN"/>
        </w:rPr>
        <w:t>0</w:t>
      </w:r>
      <w:r>
        <w:rPr>
          <w:rFonts w:hint="eastAsia"/>
          <w:lang w:eastAsia="zh-CN"/>
        </w:rPr>
        <w:t>、</w:t>
      </w:r>
      <w:r>
        <w:t>开展对政府所属部门工作评议。通过调研、评议、整改等环节对部分政府所属部门进行工作评议。促进被评议部门进一步增强法律意识、责任意识、服务意识和自觉接受监督的意识，更好的改进工作，提高履职水平。</w:t>
      </w:r>
    </w:p>
    <w:p>
      <w:pPr>
        <w:pStyle w:val="27"/>
      </w:pPr>
      <w:r>
        <w:rPr>
          <w:rFonts w:hint="eastAsia"/>
          <w:lang w:eastAsia="zh-CN"/>
        </w:rPr>
        <w:t>11、</w:t>
      </w:r>
      <w:r>
        <w:t>做好信访工作监督。认真做好来信来访的受理、分析、交办、督查、督办和反馈各项工作，加大重要信访件督办力度。</w:t>
      </w:r>
    </w:p>
    <w:p>
      <w:pPr>
        <w:pStyle w:val="27"/>
      </w:pPr>
      <w:r>
        <w:rPr>
          <w:rFonts w:hint="eastAsia"/>
          <w:lang w:eastAsia="zh-CN"/>
        </w:rPr>
        <w:t>1</w:t>
      </w:r>
      <w:r>
        <w:rPr>
          <w:lang w:eastAsia="zh-CN"/>
        </w:rPr>
        <w:t>2</w:t>
      </w:r>
      <w:r>
        <w:rPr>
          <w:rFonts w:hint="eastAsia"/>
          <w:lang w:eastAsia="zh-CN"/>
        </w:rPr>
        <w:t>、</w:t>
      </w:r>
      <w:r>
        <w:t xml:space="preserve">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pStyle w:val="27"/>
      </w:pPr>
      <w:r>
        <w:rPr>
          <w:rFonts w:hint="eastAsia"/>
          <w:lang w:eastAsia="zh-CN"/>
        </w:rPr>
        <w:t>1</w:t>
      </w:r>
      <w:r>
        <w:rPr>
          <w:lang w:eastAsia="zh-CN"/>
        </w:rPr>
        <w:t>3</w:t>
      </w:r>
      <w:r>
        <w:rPr>
          <w:rFonts w:hint="eastAsia"/>
          <w:lang w:eastAsia="zh-CN"/>
        </w:rPr>
        <w:t>、</w:t>
      </w:r>
      <w:r>
        <w:t>创新联系机制。坚持常委会组成人员联系代表制度，邀请代表列席常委会会议和参加执法检查、视察调研、专题询问等活动，拓宽代表知情知政渠道，扩大代表有序政治参与。深入发挥“代表家站”和“智慧人大”平台作用，强化管理，充实内容，广泛开展丰富多彩的活动，特别是组织开展“代表回选区、见选民”活动，密切代表与选民群众的联系。</w:t>
      </w:r>
    </w:p>
    <w:p>
      <w:pPr>
        <w:pStyle w:val="27"/>
      </w:pPr>
      <w:r>
        <w:rPr>
          <w:rFonts w:hint="eastAsia"/>
          <w:lang w:eastAsia="zh-CN"/>
        </w:rPr>
        <w:t>1</w:t>
      </w:r>
      <w:r>
        <w:rPr>
          <w:lang w:eastAsia="zh-CN"/>
        </w:rPr>
        <w:t>4</w:t>
      </w:r>
      <w:r>
        <w:rPr>
          <w:rFonts w:hint="eastAsia"/>
          <w:lang w:eastAsia="zh-CN"/>
        </w:rPr>
        <w:t>、</w:t>
      </w:r>
      <w:r>
        <w:t>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pStyle w:val="27"/>
      </w:pPr>
      <w:r>
        <w:rPr>
          <w:rFonts w:hint="eastAsia"/>
          <w:lang w:eastAsia="zh-CN"/>
        </w:rPr>
        <w:t>1</w:t>
      </w:r>
      <w:r>
        <w:rPr>
          <w:lang w:eastAsia="zh-CN"/>
        </w:rPr>
        <w:t>5</w:t>
      </w:r>
      <w:r>
        <w:rPr>
          <w:rFonts w:hint="eastAsia"/>
          <w:lang w:eastAsia="zh-CN"/>
        </w:rPr>
        <w:t>、</w:t>
      </w:r>
      <w:r>
        <w:t>创新履职机制。加强代表履职的组织引领和服务推动，有计划地安排代表闭会期间活动。通过组织业务培训、观摩交流、健全履职档案，规范代表管理，实现代表履职常态化。探索更多、更有效的代表活动方式，以争创“三好代表”活动为统领，着力提高代表贡献率和活跃度，引导代表在服务发展大局、紧密联系群众、为民排忧解难上发挥独特作用。</w:t>
      </w:r>
    </w:p>
    <w:p>
      <w:pPr>
        <w:pStyle w:val="27"/>
      </w:pPr>
      <w:r>
        <w:rPr>
          <w:rFonts w:hint="eastAsia"/>
          <w:lang w:eastAsia="zh-CN"/>
        </w:rPr>
        <w:t>1</w:t>
      </w:r>
      <w:r>
        <w:rPr>
          <w:lang w:eastAsia="zh-CN"/>
        </w:rPr>
        <w:t>6</w:t>
      </w:r>
      <w:r>
        <w:rPr>
          <w:rFonts w:hint="eastAsia"/>
          <w:lang w:eastAsia="zh-CN"/>
        </w:rPr>
        <w:t>、</w:t>
      </w:r>
      <w:r>
        <w:t>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pStyle w:val="27"/>
      </w:pPr>
      <w:r>
        <w:rPr>
          <w:rFonts w:hint="eastAsia"/>
          <w:lang w:eastAsia="zh-CN"/>
        </w:rPr>
        <w:t>1</w:t>
      </w:r>
      <w:r>
        <w:rPr>
          <w:lang w:eastAsia="zh-CN"/>
        </w:rPr>
        <w:t>7</w:t>
      </w:r>
      <w:r>
        <w:rPr>
          <w:rFonts w:hint="eastAsia"/>
          <w:lang w:eastAsia="zh-CN"/>
        </w:rPr>
        <w:t>、</w:t>
      </w:r>
      <w:r>
        <w:t>加强履职能力建设。紧紧围绕全区中心工作、常委会年度履职重点、社会关切热点等事项，深入、系统地开展调查研究，广泛汇聚各方智慧，为区委、区政府决策和常委会审议提供参考依据、夯实民意基础。</w:t>
      </w:r>
    </w:p>
    <w:p>
      <w:pPr>
        <w:pStyle w:val="27"/>
      </w:pPr>
      <w:r>
        <w:rPr>
          <w:rFonts w:hint="eastAsia"/>
          <w:lang w:eastAsia="zh-CN"/>
        </w:rPr>
        <w:t>1</w:t>
      </w:r>
      <w:r>
        <w:rPr>
          <w:lang w:eastAsia="zh-CN"/>
        </w:rPr>
        <w:t>8</w:t>
      </w:r>
      <w:r>
        <w:rPr>
          <w:rFonts w:hint="eastAsia"/>
          <w:lang w:eastAsia="zh-CN"/>
        </w:rPr>
        <w:t>、</w:t>
      </w:r>
      <w:r>
        <w:t>加强宣传信息工作。充分发挥丰南人大微信公众号、“代表家站”和“智慧人大”平台作用，为人大工作开展营造良好社会环境。加强向省、市人大信息载体的反馈力度，宣传我区人大工作好的经验和做法。</w:t>
      </w:r>
    </w:p>
    <w:p>
      <w:pPr>
        <w:pStyle w:val="27"/>
      </w:pPr>
      <w:r>
        <w:rPr>
          <w:rFonts w:hint="eastAsia"/>
          <w:lang w:eastAsia="zh-CN"/>
        </w:rPr>
        <w:t>19、</w:t>
      </w:r>
      <w:r>
        <w:t>完善制度建设。制定完善预算绩效管理制度、资金管理办法、工作保障制度等，为全年预算绩效目标的实现奠定制度基础。</w:t>
      </w:r>
    </w:p>
    <w:p>
      <w:pPr>
        <w:pStyle w:val="27"/>
      </w:pPr>
      <w:r>
        <w:rPr>
          <w:rFonts w:hint="eastAsia"/>
          <w:lang w:eastAsia="zh-CN"/>
        </w:rPr>
        <w:t>20、</w:t>
      </w:r>
      <w:r>
        <w:t>加强支出管理。通过优化支出结构、编细编实预算、加快履行政府采购手续、尽快启动项目、及时支付资金、6月底前细化代编预算、按规定及时下达资金等多种措施，确保支出进度达标。</w:t>
      </w:r>
    </w:p>
    <w:p>
      <w:pPr>
        <w:pStyle w:val="27"/>
      </w:pPr>
      <w:r>
        <w:rPr>
          <w:rFonts w:hint="eastAsia"/>
          <w:lang w:eastAsia="zh-CN"/>
        </w:rPr>
        <w:t>21、</w:t>
      </w:r>
      <w:r>
        <w:t>加强绩效运行监控。按要求开展绩效运行监控，发现问题及时采取措施，确保绩效目标如期保质实现。</w:t>
      </w:r>
    </w:p>
    <w:p>
      <w:pPr>
        <w:pStyle w:val="27"/>
      </w:pPr>
      <w:r>
        <w:rPr>
          <w:rFonts w:hint="eastAsia"/>
          <w:lang w:eastAsia="zh-CN"/>
        </w:rPr>
        <w:t>22、</w:t>
      </w:r>
      <w:r>
        <w:t>做好绩效自评。按要求开展上年度部门预算绩效自评和重点评价工作，对评价中发现的问题及时整改，调整优化支出结构，提高财政资金使用效益。</w:t>
      </w:r>
    </w:p>
    <w:p>
      <w:pPr>
        <w:pStyle w:val="27"/>
      </w:pPr>
      <w:r>
        <w:rPr>
          <w:rFonts w:hint="eastAsia"/>
          <w:lang w:eastAsia="zh-CN"/>
        </w:rPr>
        <w:t>23、</w:t>
      </w:r>
      <w:r>
        <w:t>规范财务资产管理。完善财务管理制度，严格审批程序，加强固定资产登记、使用和报废处置管理，做到支出合理，物尽其用。</w:t>
      </w:r>
    </w:p>
    <w:p>
      <w:pPr>
        <w:pStyle w:val="27"/>
      </w:pPr>
      <w:r>
        <w:rPr>
          <w:rFonts w:hint="eastAsia"/>
          <w:lang w:eastAsia="zh-CN"/>
        </w:rPr>
        <w:t>24、</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rPr>
          <w:rFonts w:hint="eastAsia"/>
          <w:lang w:eastAsia="zh-CN"/>
        </w:rPr>
        <w:t>25、</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ind w:firstLine="640"/>
        <w:outlineLvl w:val="5"/>
        <w:rPr>
          <w:rFonts w:asciiTheme="minorHAnsi" w:hAnsiTheme="minorHAnsi"/>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1、公务车购置绩效目标表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1.根据车辆控办批准情况，预计10月底之前完成车辆购置工作。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车辆购置数</w:t>
            </w:r>
          </w:p>
        </w:tc>
        <w:tc>
          <w:tcPr>
            <w:tcW w:w="2835" w:type="dxa"/>
            <w:vAlign w:val="center"/>
          </w:tcPr>
          <w:p>
            <w:pPr>
              <w:pStyle w:val="16"/>
            </w:pPr>
            <w:r>
              <w:t>车辆购置数</w:t>
            </w:r>
          </w:p>
        </w:tc>
        <w:tc>
          <w:tcPr>
            <w:tcW w:w="2551" w:type="dxa"/>
            <w:vAlign w:val="center"/>
          </w:tcPr>
          <w:p>
            <w:pPr>
              <w:pStyle w:val="16"/>
            </w:pPr>
            <w:r>
              <w:t>1辆</w:t>
            </w:r>
          </w:p>
        </w:tc>
        <w:tc>
          <w:tcPr>
            <w:tcW w:w="2268" w:type="dxa"/>
            <w:vAlign w:val="center"/>
          </w:tcPr>
          <w:p>
            <w:pPr>
              <w:pStyle w:val="16"/>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公务车</w:t>
            </w:r>
          </w:p>
        </w:tc>
        <w:tc>
          <w:tcPr>
            <w:tcW w:w="2551" w:type="dxa"/>
            <w:vAlign w:val="center"/>
          </w:tcPr>
          <w:p>
            <w:pPr>
              <w:pStyle w:val="16"/>
            </w:pPr>
            <w:r>
              <w:t>100%</w:t>
            </w:r>
          </w:p>
        </w:tc>
        <w:tc>
          <w:tcPr>
            <w:tcW w:w="2268" w:type="dxa"/>
            <w:vAlign w:val="center"/>
          </w:tcPr>
          <w:p>
            <w:pPr>
              <w:pStyle w:val="16"/>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及时购置</w:t>
            </w:r>
          </w:p>
        </w:tc>
        <w:tc>
          <w:tcPr>
            <w:tcW w:w="2835" w:type="dxa"/>
            <w:vAlign w:val="center"/>
          </w:tcPr>
          <w:p>
            <w:pPr>
              <w:pStyle w:val="16"/>
            </w:pPr>
            <w:r>
              <w:t>及时购置情况</w:t>
            </w:r>
          </w:p>
        </w:tc>
        <w:tc>
          <w:tcPr>
            <w:tcW w:w="2551" w:type="dxa"/>
            <w:vAlign w:val="center"/>
          </w:tcPr>
          <w:p>
            <w:pPr>
              <w:pStyle w:val="16"/>
            </w:pPr>
            <w:r>
              <w:t>按时购置</w:t>
            </w:r>
          </w:p>
        </w:tc>
        <w:tc>
          <w:tcPr>
            <w:tcW w:w="2268" w:type="dxa"/>
            <w:vAlign w:val="center"/>
          </w:tcPr>
          <w:p>
            <w:pPr>
              <w:pStyle w:val="16"/>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投入成本降低比%</w:t>
            </w:r>
          </w:p>
        </w:tc>
        <w:tc>
          <w:tcPr>
            <w:tcW w:w="2835" w:type="dxa"/>
            <w:vAlign w:val="center"/>
          </w:tcPr>
          <w:p>
            <w:pPr>
              <w:pStyle w:val="16"/>
            </w:pPr>
            <w:r>
              <w:t>投入成本降低比%</w:t>
            </w:r>
          </w:p>
        </w:tc>
        <w:tc>
          <w:tcPr>
            <w:tcW w:w="2551" w:type="dxa"/>
            <w:vAlign w:val="center"/>
          </w:tcPr>
          <w:p>
            <w:pPr>
              <w:pStyle w:val="16"/>
            </w:pPr>
            <w:r>
              <w:t>≥1%</w:t>
            </w:r>
          </w:p>
        </w:tc>
        <w:tc>
          <w:tcPr>
            <w:tcW w:w="2268" w:type="dxa"/>
            <w:vAlign w:val="center"/>
          </w:tcPr>
          <w:p>
            <w:pPr>
              <w:pStyle w:val="16"/>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保障机关公务出行需要</w:t>
            </w:r>
          </w:p>
        </w:tc>
        <w:tc>
          <w:tcPr>
            <w:tcW w:w="2551" w:type="dxa"/>
            <w:vAlign w:val="center"/>
          </w:tcPr>
          <w:p>
            <w:pPr>
              <w:pStyle w:val="16"/>
            </w:pPr>
            <w:r>
              <w:t>有力保障</w:t>
            </w:r>
          </w:p>
        </w:tc>
        <w:tc>
          <w:tcPr>
            <w:tcW w:w="2268" w:type="dxa"/>
            <w:vAlign w:val="center"/>
          </w:tcPr>
          <w:p>
            <w:pPr>
              <w:pStyle w:val="16"/>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单位用车满意率</w:t>
            </w:r>
          </w:p>
        </w:tc>
        <w:tc>
          <w:tcPr>
            <w:tcW w:w="2835" w:type="dxa"/>
            <w:vAlign w:val="center"/>
          </w:tcPr>
          <w:p>
            <w:pPr>
              <w:pStyle w:val="16"/>
            </w:pPr>
            <w:r>
              <w:t>单位用车满意情况</w:t>
            </w:r>
          </w:p>
        </w:tc>
        <w:tc>
          <w:tcPr>
            <w:tcW w:w="2551" w:type="dxa"/>
            <w:vAlign w:val="center"/>
          </w:tcPr>
          <w:p>
            <w:pPr>
              <w:pStyle w:val="16"/>
            </w:pPr>
            <w:r>
              <w:t>满意</w:t>
            </w:r>
          </w:p>
        </w:tc>
        <w:tc>
          <w:tcPr>
            <w:tcW w:w="2268" w:type="dxa"/>
            <w:vAlign w:val="center"/>
          </w:tcPr>
          <w:p>
            <w:pPr>
              <w:pStyle w:val="16"/>
            </w:pPr>
            <w:r>
              <w:t>常委会工作计划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1.2022年，圆满完成区七届人大二次会议、预算初审等会议。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代表参会率</w:t>
            </w:r>
          </w:p>
        </w:tc>
        <w:tc>
          <w:tcPr>
            <w:tcW w:w="2835" w:type="dxa"/>
            <w:vAlign w:val="center"/>
          </w:tcPr>
          <w:p>
            <w:pPr>
              <w:pStyle w:val="16"/>
            </w:pPr>
            <w:r>
              <w:t>代表参会率</w:t>
            </w:r>
          </w:p>
        </w:tc>
        <w:tc>
          <w:tcPr>
            <w:tcW w:w="2551" w:type="dxa"/>
            <w:vAlign w:val="center"/>
          </w:tcPr>
          <w:p>
            <w:pPr>
              <w:pStyle w:val="16"/>
            </w:pPr>
            <w:r>
              <w:t>≥98%</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会议任务完成情况</w:t>
            </w:r>
          </w:p>
        </w:tc>
        <w:tc>
          <w:tcPr>
            <w:tcW w:w="2835" w:type="dxa"/>
            <w:vAlign w:val="center"/>
          </w:tcPr>
          <w:p>
            <w:pPr>
              <w:pStyle w:val="16"/>
            </w:pPr>
            <w:r>
              <w:t>会议任务完成情况</w:t>
            </w:r>
          </w:p>
        </w:tc>
        <w:tc>
          <w:tcPr>
            <w:tcW w:w="2551" w:type="dxa"/>
            <w:vAlign w:val="center"/>
          </w:tcPr>
          <w:p>
            <w:pPr>
              <w:pStyle w:val="16"/>
            </w:pPr>
            <w:r>
              <w:t>全部完成</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任务完成及时率</w:t>
            </w:r>
          </w:p>
        </w:tc>
        <w:tc>
          <w:tcPr>
            <w:tcW w:w="2551" w:type="dxa"/>
            <w:vAlign w:val="center"/>
          </w:tcPr>
          <w:p>
            <w:pPr>
              <w:pStyle w:val="16"/>
            </w:pPr>
            <w:r>
              <w:t>100%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按会议标准</w:t>
            </w:r>
          </w:p>
        </w:tc>
        <w:tc>
          <w:tcPr>
            <w:tcW w:w="2835" w:type="dxa"/>
            <w:vAlign w:val="center"/>
          </w:tcPr>
          <w:p>
            <w:pPr>
              <w:pStyle w:val="16"/>
            </w:pPr>
            <w:r>
              <w:t>按会议标准</w:t>
            </w:r>
          </w:p>
        </w:tc>
        <w:tc>
          <w:tcPr>
            <w:tcW w:w="2551" w:type="dxa"/>
            <w:vAlign w:val="center"/>
          </w:tcPr>
          <w:p>
            <w:pPr>
              <w:pStyle w:val="16"/>
            </w:pPr>
            <w:r>
              <w:t>按会议标准</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持续发挥作用力</w:t>
            </w:r>
          </w:p>
        </w:tc>
        <w:tc>
          <w:tcPr>
            <w:tcW w:w="2835" w:type="dxa"/>
            <w:vAlign w:val="center"/>
          </w:tcPr>
          <w:p>
            <w:pPr>
              <w:pStyle w:val="16"/>
            </w:pPr>
            <w:r>
              <w:t>持续发挥作用力</w:t>
            </w:r>
          </w:p>
        </w:tc>
        <w:tc>
          <w:tcPr>
            <w:tcW w:w="2551" w:type="dxa"/>
            <w:vAlign w:val="center"/>
          </w:tcPr>
          <w:p>
            <w:pPr>
              <w:pStyle w:val="16"/>
            </w:pPr>
            <w:r>
              <w:t>有力促进</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代表满意度</w:t>
            </w:r>
          </w:p>
        </w:tc>
        <w:tc>
          <w:tcPr>
            <w:tcW w:w="2835" w:type="dxa"/>
            <w:vAlign w:val="center"/>
          </w:tcPr>
          <w:p>
            <w:pPr>
              <w:pStyle w:val="16"/>
            </w:pPr>
            <w:r>
              <w:t>代表满意度</w:t>
            </w:r>
          </w:p>
        </w:tc>
        <w:tc>
          <w:tcPr>
            <w:tcW w:w="2551" w:type="dxa"/>
            <w:vAlign w:val="center"/>
          </w:tcPr>
          <w:p>
            <w:pPr>
              <w:pStyle w:val="16"/>
            </w:pPr>
            <w:r>
              <w:t>满意</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3、区代表活动经费绩效目标表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1.按照区人大常委会工作安排，计划安排约60人次，分批到全国人大培训基地和其他省市培训中心学习培训，提高代表履职能力。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常委会人员培训率</w:t>
            </w:r>
          </w:p>
        </w:tc>
        <w:tc>
          <w:tcPr>
            <w:tcW w:w="2835" w:type="dxa"/>
            <w:vAlign w:val="center"/>
          </w:tcPr>
          <w:p>
            <w:pPr>
              <w:pStyle w:val="16"/>
            </w:pPr>
            <w:r>
              <w:t>常委会人员培训率</w:t>
            </w:r>
          </w:p>
        </w:tc>
        <w:tc>
          <w:tcPr>
            <w:tcW w:w="2551" w:type="dxa"/>
            <w:vAlign w:val="center"/>
          </w:tcPr>
          <w:p>
            <w:pPr>
              <w:pStyle w:val="16"/>
            </w:pPr>
            <w:r>
              <w:t>100%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培训质量情况</w:t>
            </w:r>
          </w:p>
        </w:tc>
        <w:tc>
          <w:tcPr>
            <w:tcW w:w="2835" w:type="dxa"/>
            <w:vAlign w:val="center"/>
          </w:tcPr>
          <w:p>
            <w:pPr>
              <w:pStyle w:val="16"/>
            </w:pPr>
            <w:r>
              <w:t>培训质量情况</w:t>
            </w:r>
          </w:p>
        </w:tc>
        <w:tc>
          <w:tcPr>
            <w:tcW w:w="2551" w:type="dxa"/>
            <w:vAlign w:val="center"/>
          </w:tcPr>
          <w:p>
            <w:pPr>
              <w:pStyle w:val="16"/>
            </w:pPr>
            <w:r>
              <w:t>提高培训质量</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及时组织培训</w:t>
            </w:r>
          </w:p>
        </w:tc>
        <w:tc>
          <w:tcPr>
            <w:tcW w:w="2835" w:type="dxa"/>
            <w:vAlign w:val="center"/>
          </w:tcPr>
          <w:p>
            <w:pPr>
              <w:pStyle w:val="16"/>
            </w:pPr>
            <w:r>
              <w:t>及时组织培训</w:t>
            </w:r>
          </w:p>
        </w:tc>
        <w:tc>
          <w:tcPr>
            <w:tcW w:w="2551" w:type="dxa"/>
            <w:vAlign w:val="center"/>
          </w:tcPr>
          <w:p>
            <w:pPr>
              <w:pStyle w:val="16"/>
            </w:pPr>
            <w:r>
              <w:t>及时组织</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人均专家聘用费</w:t>
            </w:r>
          </w:p>
        </w:tc>
        <w:tc>
          <w:tcPr>
            <w:tcW w:w="2835" w:type="dxa"/>
            <w:vAlign w:val="center"/>
          </w:tcPr>
          <w:p>
            <w:pPr>
              <w:pStyle w:val="16"/>
            </w:pPr>
            <w:r>
              <w:t>人均专家聘用费</w:t>
            </w:r>
          </w:p>
        </w:tc>
        <w:tc>
          <w:tcPr>
            <w:tcW w:w="2551" w:type="dxa"/>
            <w:vAlign w:val="center"/>
          </w:tcPr>
          <w:p>
            <w:pPr>
              <w:pStyle w:val="16"/>
            </w:pPr>
            <w:r>
              <w:t>按培训标准</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履职能力的提升</w:t>
            </w:r>
          </w:p>
        </w:tc>
        <w:tc>
          <w:tcPr>
            <w:tcW w:w="2835" w:type="dxa"/>
            <w:vAlign w:val="center"/>
          </w:tcPr>
          <w:p>
            <w:pPr>
              <w:pStyle w:val="16"/>
            </w:pPr>
            <w:r>
              <w:t>履职能力的提升</w:t>
            </w:r>
          </w:p>
        </w:tc>
        <w:tc>
          <w:tcPr>
            <w:tcW w:w="2551" w:type="dxa"/>
            <w:vAlign w:val="center"/>
          </w:tcPr>
          <w:p>
            <w:pPr>
              <w:pStyle w:val="16"/>
            </w:pPr>
            <w:r>
              <w:t>显著提高</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参会人员满意度</w:t>
            </w:r>
          </w:p>
        </w:tc>
        <w:tc>
          <w:tcPr>
            <w:tcW w:w="2551" w:type="dxa"/>
            <w:vAlign w:val="center"/>
          </w:tcPr>
          <w:p>
            <w:pPr>
              <w:pStyle w:val="16"/>
            </w:pPr>
            <w:r>
              <w:t>满意</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4、人大代表之家（联络站）运行经费绩效目标表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代表参加活动率</w:t>
            </w:r>
          </w:p>
        </w:tc>
        <w:tc>
          <w:tcPr>
            <w:tcW w:w="2835" w:type="dxa"/>
            <w:vAlign w:val="center"/>
          </w:tcPr>
          <w:p>
            <w:pPr>
              <w:pStyle w:val="16"/>
            </w:pPr>
            <w:r>
              <w:t>代表参加活动的比例</w:t>
            </w:r>
          </w:p>
        </w:tc>
        <w:tc>
          <w:tcPr>
            <w:tcW w:w="2551" w:type="dxa"/>
            <w:vAlign w:val="center"/>
          </w:tcPr>
          <w:p>
            <w:pPr>
              <w:pStyle w:val="16"/>
            </w:pPr>
            <w:r>
              <w:t>≥90%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正常运转率</w:t>
            </w:r>
          </w:p>
        </w:tc>
        <w:tc>
          <w:tcPr>
            <w:tcW w:w="2835" w:type="dxa"/>
            <w:vAlign w:val="center"/>
          </w:tcPr>
          <w:p>
            <w:pPr>
              <w:pStyle w:val="16"/>
            </w:pPr>
            <w:r>
              <w:t>正常运转率</w:t>
            </w:r>
          </w:p>
        </w:tc>
        <w:tc>
          <w:tcPr>
            <w:tcW w:w="2551" w:type="dxa"/>
            <w:vAlign w:val="center"/>
          </w:tcPr>
          <w:p>
            <w:pPr>
              <w:pStyle w:val="16"/>
            </w:pPr>
            <w:r>
              <w:t>≥98%</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活动开展的及时性</w:t>
            </w:r>
          </w:p>
        </w:tc>
        <w:tc>
          <w:tcPr>
            <w:tcW w:w="2835" w:type="dxa"/>
            <w:vAlign w:val="center"/>
          </w:tcPr>
          <w:p>
            <w:pPr>
              <w:pStyle w:val="16"/>
            </w:pPr>
            <w:r>
              <w:t>活动开展的及时性</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2835" w:type="dxa"/>
            <w:vAlign w:val="center"/>
          </w:tcPr>
          <w:p>
            <w:pPr>
              <w:pStyle w:val="16"/>
            </w:pPr>
            <w:r>
              <w:t>运行保障成本</w:t>
            </w:r>
          </w:p>
        </w:tc>
        <w:tc>
          <w:tcPr>
            <w:tcW w:w="2551" w:type="dxa"/>
            <w:vAlign w:val="center"/>
          </w:tcPr>
          <w:p>
            <w:pPr>
              <w:pStyle w:val="16"/>
            </w:pPr>
            <w:r>
              <w:t>降低保障成本</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提高各级代表的履职能力</w:t>
            </w:r>
          </w:p>
        </w:tc>
        <w:tc>
          <w:tcPr>
            <w:tcW w:w="2835" w:type="dxa"/>
            <w:vAlign w:val="center"/>
          </w:tcPr>
          <w:p>
            <w:pPr>
              <w:pStyle w:val="16"/>
            </w:pPr>
            <w:r>
              <w:t>提高各级代表的履职能力</w:t>
            </w:r>
          </w:p>
        </w:tc>
        <w:tc>
          <w:tcPr>
            <w:tcW w:w="2551" w:type="dxa"/>
            <w:vAlign w:val="center"/>
          </w:tcPr>
          <w:p>
            <w:pPr>
              <w:pStyle w:val="16"/>
            </w:pPr>
            <w:r>
              <w:t>显著提高</w:t>
            </w:r>
          </w:p>
        </w:tc>
        <w:tc>
          <w:tcPr>
            <w:tcW w:w="2268" w:type="dxa"/>
            <w:vAlign w:val="center"/>
          </w:tcPr>
          <w:p>
            <w:pPr>
              <w:pStyle w:val="16"/>
            </w:pPr>
            <w:r>
              <w:t>常委会工作安排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≥98%</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工作人员参加培训率</w:t>
            </w:r>
          </w:p>
        </w:tc>
        <w:tc>
          <w:tcPr>
            <w:tcW w:w="2835" w:type="dxa"/>
            <w:vAlign w:val="center"/>
          </w:tcPr>
          <w:p>
            <w:pPr>
              <w:pStyle w:val="16"/>
            </w:pPr>
            <w:r>
              <w:t>工作人员参加培训率</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会刊的编辑及印刷完成率</w:t>
            </w:r>
          </w:p>
        </w:tc>
        <w:tc>
          <w:tcPr>
            <w:tcW w:w="2835" w:type="dxa"/>
            <w:vAlign w:val="center"/>
          </w:tcPr>
          <w:p>
            <w:pPr>
              <w:pStyle w:val="16"/>
            </w:pPr>
            <w:r>
              <w:t>会刊的编辑及印刷完成率</w:t>
            </w:r>
          </w:p>
        </w:tc>
        <w:tc>
          <w:tcPr>
            <w:tcW w:w="2551" w:type="dxa"/>
            <w:vAlign w:val="center"/>
          </w:tcPr>
          <w:p>
            <w:pPr>
              <w:pStyle w:val="16"/>
            </w:pPr>
            <w:r>
              <w:t>100%</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综合业务管理工作完成率</w:t>
            </w:r>
          </w:p>
        </w:tc>
        <w:tc>
          <w:tcPr>
            <w:tcW w:w="2835" w:type="dxa"/>
            <w:vAlign w:val="center"/>
          </w:tcPr>
          <w:p>
            <w:pPr>
              <w:pStyle w:val="16"/>
            </w:pPr>
            <w:r>
              <w:t>综合业务管理工作完成率</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≥95%</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显著增强</w:t>
            </w:r>
          </w:p>
        </w:tc>
        <w:tc>
          <w:tcPr>
            <w:tcW w:w="2268" w:type="dxa"/>
            <w:vAlign w:val="center"/>
          </w:tcPr>
          <w:p>
            <w:pPr>
              <w:pStyle w:val="16"/>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满意</w:t>
            </w:r>
          </w:p>
        </w:tc>
        <w:tc>
          <w:tcPr>
            <w:tcW w:w="2268" w:type="dxa"/>
            <w:vAlign w:val="center"/>
          </w:tcPr>
          <w:p>
            <w:pPr>
              <w:pStyle w:val="16"/>
            </w:pPr>
            <w:r>
              <w:t>常委会工作安排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2022年，唐山市丰南区人民代表大会常务委员会办公室本级安排政府采购预算7万元。具体内容见下表。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lang w:eastAsia="zh-CN"/>
              </w:rPr>
            </w:pPr>
            <w:r>
              <w:rPr>
                <w:rFonts w:hint="eastAsia"/>
                <w:lang w:eastAsia="zh-CN"/>
              </w:rPr>
              <w:t>业务费</w:t>
            </w:r>
            <w:r>
              <w:rPr>
                <w:lang w:eastAsia="zh-CN"/>
              </w:rPr>
              <w:t>-办公设备购置</w:t>
            </w:r>
          </w:p>
        </w:tc>
        <w:tc>
          <w:tcPr>
            <w:tcW w:w="964" w:type="dxa"/>
            <w:vAlign w:val="center"/>
          </w:tcPr>
          <w:p>
            <w:pPr>
              <w:pStyle w:val="15"/>
              <w:rPr>
                <w:lang w:eastAsia="zh-CN"/>
              </w:rPr>
            </w:pPr>
            <w:r>
              <w:rPr>
                <w:rFonts w:hint="eastAsia"/>
                <w:lang w:eastAsia="zh-CN"/>
              </w:rPr>
              <w:t>7</w:t>
            </w:r>
          </w:p>
        </w:tc>
        <w:tc>
          <w:tcPr>
            <w:tcW w:w="1134" w:type="dxa"/>
            <w:vAlign w:val="center"/>
          </w:tcPr>
          <w:p>
            <w:pPr>
              <w:pStyle w:val="16"/>
              <w:rPr>
                <w:lang w:eastAsia="zh-CN"/>
              </w:rPr>
            </w:pPr>
            <w:r>
              <w:rPr>
                <w:rFonts w:hint="eastAsia"/>
                <w:lang w:eastAsia="zh-CN"/>
              </w:rPr>
              <w:t>音响</w:t>
            </w:r>
            <w:r>
              <w:rPr>
                <w:lang w:eastAsia="zh-CN"/>
              </w:rPr>
              <w:t>设备</w:t>
            </w:r>
          </w:p>
        </w:tc>
        <w:tc>
          <w:tcPr>
            <w:tcW w:w="1134" w:type="dxa"/>
            <w:vAlign w:val="center"/>
          </w:tcPr>
          <w:p>
            <w:pPr>
              <w:pStyle w:val="16"/>
            </w:pPr>
          </w:p>
        </w:tc>
        <w:tc>
          <w:tcPr>
            <w:tcW w:w="709" w:type="dxa"/>
            <w:vAlign w:val="center"/>
          </w:tcPr>
          <w:p>
            <w:pPr>
              <w:pStyle w:val="17"/>
              <w:rPr>
                <w:lang w:eastAsia="zh-CN"/>
              </w:rPr>
            </w:pPr>
            <w:r>
              <w:rPr>
                <w:rFonts w:hint="eastAsia"/>
                <w:lang w:eastAsia="zh-CN"/>
              </w:rPr>
              <w:t>套</w:t>
            </w:r>
          </w:p>
        </w:tc>
        <w:tc>
          <w:tcPr>
            <w:tcW w:w="850" w:type="dxa"/>
            <w:vAlign w:val="center"/>
          </w:tcPr>
          <w:p>
            <w:pPr>
              <w:pStyle w:val="15"/>
              <w:rPr>
                <w:lang w:eastAsia="zh-CN"/>
              </w:rPr>
            </w:pPr>
            <w:r>
              <w:rPr>
                <w:rFonts w:hint="eastAsia"/>
                <w:lang w:eastAsia="zh-CN"/>
              </w:rPr>
              <w:t>1</w:t>
            </w:r>
          </w:p>
        </w:tc>
        <w:tc>
          <w:tcPr>
            <w:tcW w:w="850" w:type="dxa"/>
            <w:vAlign w:val="center"/>
          </w:tcPr>
          <w:p>
            <w:pPr>
              <w:pStyle w:val="15"/>
              <w:rPr>
                <w:lang w:eastAsia="zh-CN"/>
              </w:rPr>
            </w:pPr>
            <w:r>
              <w:rPr>
                <w:rFonts w:hint="eastAsia"/>
                <w:lang w:eastAsia="zh-CN"/>
              </w:rPr>
              <w:t>7</w:t>
            </w:r>
          </w:p>
        </w:tc>
        <w:tc>
          <w:tcPr>
            <w:tcW w:w="964" w:type="dxa"/>
            <w:vAlign w:val="center"/>
          </w:tcPr>
          <w:p>
            <w:pPr>
              <w:pStyle w:val="15"/>
              <w:rPr>
                <w:lang w:eastAsia="zh-CN"/>
              </w:rPr>
            </w:pPr>
            <w:r>
              <w:rPr>
                <w:rFonts w:hint="eastAsia"/>
                <w:lang w:eastAsia="zh-CN"/>
              </w:rPr>
              <w:t>7</w:t>
            </w:r>
          </w:p>
        </w:tc>
        <w:tc>
          <w:tcPr>
            <w:tcW w:w="964" w:type="dxa"/>
            <w:vAlign w:val="center"/>
          </w:tcPr>
          <w:p>
            <w:pPr>
              <w:pStyle w:val="15"/>
              <w:rPr>
                <w:lang w:eastAsia="zh-CN"/>
              </w:rPr>
            </w:pPr>
            <w:r>
              <w:rPr>
                <w:rFonts w:hint="eastAsia"/>
                <w:lang w:eastAsia="zh-CN"/>
              </w:rPr>
              <w:t>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唐山市丰南区人民代表大会常务委员会办公室本级上年末固定资产金额为114.71万元（详见下表）。本年度拟购置固定资产总额为7万元，已按要求列入政府采购预算，详见政府采购预算表。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301001唐山市丰南区人民代表大会常务委员会办公室本级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114.71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0</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3</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153</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70.48</w:t>
            </w:r>
          </w:p>
        </w:tc>
      </w:tr>
    </w:tbl>
    <w:p>
      <w:pPr>
        <w:rPr>
          <w:lang w:val="uk-UA"/>
        </w:rPr>
      </w:pPr>
    </w:p>
    <w:p>
      <w:pPr>
        <w:rPr>
          <w:lang w:val="uk-UA"/>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firstLineChars="200"/>
        <w:rPr>
          <w:rFonts w:eastAsia="方正仿宋_GBK"/>
          <w:color w:val="000000"/>
          <w:sz w:val="28"/>
        </w:rPr>
      </w:pPr>
      <w:r>
        <w:rPr>
          <w:rFonts w:hint="eastAsia" w:eastAsia="方正仿宋_GBK"/>
          <w:color w:val="000000"/>
          <w:sz w:val="28"/>
        </w:rPr>
        <w:t>部门预算政府性基金预算财政拨款支出表，此表无数据，因本单位不涉及政府性基金，因此无数据；</w:t>
      </w:r>
    </w:p>
    <w:p>
      <w:pPr>
        <w:spacing w:line="500" w:lineRule="exact"/>
        <w:ind w:firstLine="560" w:firstLineChars="200"/>
        <w:rPr>
          <w:color w:val="000000"/>
          <w:sz w:val="28"/>
        </w:rPr>
      </w:pPr>
      <w:r>
        <w:rPr>
          <w:rFonts w:hint="eastAsia" w:eastAsia="方正仿宋_GBK"/>
          <w:color w:val="000000"/>
          <w:sz w:val="28"/>
        </w:rPr>
        <w:t>部门预算国有资本经营预算财政拨款支出表，此表无数据，因本单位不涉及国有资本经营，因此无数据。</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RmNGYwYjQzZjI0MjQzMTY4YTc3ZDY4ZjBmNTRjN2YifQ=="/>
  </w:docVars>
  <w:rsids>
    <w:rsidRoot w:val="00536D9F"/>
    <w:rsid w:val="00060377"/>
    <w:rsid w:val="0006062B"/>
    <w:rsid w:val="00173BC7"/>
    <w:rsid w:val="00225E75"/>
    <w:rsid w:val="002B71AD"/>
    <w:rsid w:val="00402542"/>
    <w:rsid w:val="00500792"/>
    <w:rsid w:val="00536D9F"/>
    <w:rsid w:val="00583AC8"/>
    <w:rsid w:val="005B1F99"/>
    <w:rsid w:val="005F0ADF"/>
    <w:rsid w:val="00617DCF"/>
    <w:rsid w:val="0070696E"/>
    <w:rsid w:val="007503FE"/>
    <w:rsid w:val="007B50EC"/>
    <w:rsid w:val="00805F8A"/>
    <w:rsid w:val="00912A9F"/>
    <w:rsid w:val="009535BC"/>
    <w:rsid w:val="00A6274A"/>
    <w:rsid w:val="00A641A0"/>
    <w:rsid w:val="00AA0A4C"/>
    <w:rsid w:val="00B53281"/>
    <w:rsid w:val="00BC2FCF"/>
    <w:rsid w:val="00BD7CE7"/>
    <w:rsid w:val="00C778BF"/>
    <w:rsid w:val="00C85C6D"/>
    <w:rsid w:val="00CC667F"/>
    <w:rsid w:val="00CD58B9"/>
    <w:rsid w:val="00D80600"/>
    <w:rsid w:val="00E87315"/>
    <w:rsid w:val="00EB5CC7"/>
    <w:rsid w:val="00EF0662"/>
    <w:rsid w:val="00FA7523"/>
    <w:rsid w:val="22F2280D"/>
    <w:rsid w:val="561A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2022-02-25T11:12:52Z</dcterms:created>
  <dcterms:modified xsi:type="dcterms:W3CDTF">2022-02-25T03:12:51Z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2022-02-25T11:12:28Z</dcterms:created>
  <dcterms:modified xsi:type="dcterms:W3CDTF">2022-02-25T03:12:28Z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2022-02-25T11:12:18Z</dcterms:created>
  <dcterms:modified xsi:type="dcterms:W3CDTF">2022-02-25T03:12:18Z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2022-02-25T11:12:16Z</dcterms:created>
  <dcterms:modified xsi:type="dcterms:W3CDTF">2022-02-25T03:12:16Z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2022-02-25T11:12:47Z</dcterms:created>
  <dcterms:modified xsi:type="dcterms:W3CDTF">2022-02-25T03:12:47Z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2022-02-25T11:12:29Z</dcterms:created>
  <dcterms:modified xsi:type="dcterms:W3CDTF">2022-02-25T03:12:29Z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2022-02-25T11:12:34Z</dcterms:created>
  <dcterms:modified xsi:type="dcterms:W3CDTF">2022-02-25T03:12:34Z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2022-02-25T11:13:12Z</dcterms:created>
  <dcterms:modified xsi:type="dcterms:W3CDTF">2022-02-25T03:13:12Z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2022-02-25T11:13:33Z</dcterms:created>
  <dcterms:modified xsi:type="dcterms:W3CDTF">2022-02-25T03:13:33Z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2022-02-25T11:13:10Z</dcterms:created>
  <dcterms:modified xsi:type="dcterms:W3CDTF">2022-02-25T03:13:10Z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2022-02-25T11:12:14Z</dcterms:created>
  <dcterms:modified xsi:type="dcterms:W3CDTF">2022-02-25T03:12:14Z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2022-02-25T11:13:03Z</dcterms:created>
  <dcterms:modified xsi:type="dcterms:W3CDTF">2022-02-25T03:13:03Z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2022-02-25T11:12:10Z</dcterms:created>
  <dcterms:modified xsi:type="dcterms:W3CDTF">2022-02-25T03:12:10Z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2022-02-25T11:12:18Z</dcterms:created>
  <dcterms:modified xsi:type="dcterms:W3CDTF">2022-02-25T03:12:18Z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2022-02-25T11:12:24Z</dcterms:created>
  <dcterms:modified xsi:type="dcterms:W3CDTF">2022-02-25T03:12:24Z</dcterms:modified>
</cp:coreProperties>
</file>

<file path=customXml/itemProps1.xml><?xml version="1.0" encoding="utf-8"?>
<ds:datastoreItem xmlns:ds="http://schemas.openxmlformats.org/officeDocument/2006/customXml" ds:itemID="{182E8E26-9B19-4525-BA5C-9C1142AE425A}">
  <ds:schemaRefs/>
</ds:datastoreItem>
</file>

<file path=customXml/itemProps10.xml><?xml version="1.0" encoding="utf-8"?>
<ds:datastoreItem xmlns:ds="http://schemas.openxmlformats.org/officeDocument/2006/customXml" ds:itemID="{86D27A80-4E74-451B-B48D-351B8FEA455B}">
  <ds:schemaRefs/>
</ds:datastoreItem>
</file>

<file path=customXml/itemProps11.xml><?xml version="1.0" encoding="utf-8"?>
<ds:datastoreItem xmlns:ds="http://schemas.openxmlformats.org/officeDocument/2006/customXml" ds:itemID="{BC3078DF-77EF-4E28-9D5B-804756ACB902}">
  <ds:schemaRefs/>
</ds:datastoreItem>
</file>

<file path=customXml/itemProps12.xml><?xml version="1.0" encoding="utf-8"?>
<ds:datastoreItem xmlns:ds="http://schemas.openxmlformats.org/officeDocument/2006/customXml" ds:itemID="{993EA336-168C-4337-8DAF-4A23BE62EC5A}">
  <ds:schemaRefs/>
</ds:datastoreItem>
</file>

<file path=customXml/itemProps13.xml><?xml version="1.0" encoding="utf-8"?>
<ds:datastoreItem xmlns:ds="http://schemas.openxmlformats.org/officeDocument/2006/customXml" ds:itemID="{5C77AB88-653E-4317-A505-9F941808DE03}">
  <ds:schemaRefs/>
</ds:datastoreItem>
</file>

<file path=customXml/itemProps14.xml><?xml version="1.0" encoding="utf-8"?>
<ds:datastoreItem xmlns:ds="http://schemas.openxmlformats.org/officeDocument/2006/customXml" ds:itemID="{64B92954-094F-4709-B181-371FE8E697B9}">
  <ds:schemaRefs/>
</ds:datastoreItem>
</file>

<file path=customXml/itemProps15.xml><?xml version="1.0" encoding="utf-8"?>
<ds:datastoreItem xmlns:ds="http://schemas.openxmlformats.org/officeDocument/2006/customXml" ds:itemID="{AFC922C0-CD23-4B17-9408-EA4A01735030}">
  <ds:schemaRefs/>
</ds:datastoreItem>
</file>

<file path=customXml/itemProps16.xml><?xml version="1.0" encoding="utf-8"?>
<ds:datastoreItem xmlns:ds="http://schemas.openxmlformats.org/officeDocument/2006/customXml" ds:itemID="{8947D775-E585-4F2A-8308-ADBD9A0F18F1}">
  <ds:schemaRefs/>
</ds:datastoreItem>
</file>

<file path=customXml/itemProps17.xml><?xml version="1.0" encoding="utf-8"?>
<ds:datastoreItem xmlns:ds="http://schemas.openxmlformats.org/officeDocument/2006/customXml" ds:itemID="{824454FF-70A9-4A3A-A90D-F97D7F573E50}">
  <ds:schemaRefs/>
</ds:datastoreItem>
</file>

<file path=customXml/itemProps18.xml><?xml version="1.0" encoding="utf-8"?>
<ds:datastoreItem xmlns:ds="http://schemas.openxmlformats.org/officeDocument/2006/customXml" ds:itemID="{4A114157-916D-437C-90C2-74075B051F77}">
  <ds:schemaRefs/>
</ds:datastoreItem>
</file>

<file path=customXml/itemProps19.xml><?xml version="1.0" encoding="utf-8"?>
<ds:datastoreItem xmlns:ds="http://schemas.openxmlformats.org/officeDocument/2006/customXml" ds:itemID="{4A8744B1-6930-4A6F-8BE4-96F0B78CD1BB}">
  <ds:schemaRefs/>
</ds:datastoreItem>
</file>

<file path=customXml/itemProps2.xml><?xml version="1.0" encoding="utf-8"?>
<ds:datastoreItem xmlns:ds="http://schemas.openxmlformats.org/officeDocument/2006/customXml" ds:itemID="{9A4322A7-349F-4F2B-A6EA-9DF00D820A70}">
  <ds:schemaRefs/>
</ds:datastoreItem>
</file>

<file path=customXml/itemProps20.xml><?xml version="1.0" encoding="utf-8"?>
<ds:datastoreItem xmlns:ds="http://schemas.openxmlformats.org/officeDocument/2006/customXml" ds:itemID="{81A1ACD9-1852-4C25-A1AF-C11D1EE52AB8}">
  <ds:schemaRefs/>
</ds:datastoreItem>
</file>

<file path=customXml/itemProps21.xml><?xml version="1.0" encoding="utf-8"?>
<ds:datastoreItem xmlns:ds="http://schemas.openxmlformats.org/officeDocument/2006/customXml" ds:itemID="{7FCAD870-DDF7-41E1-9A5D-7E6277E7CFBB}">
  <ds:schemaRefs/>
</ds:datastoreItem>
</file>

<file path=customXml/itemProps22.xml><?xml version="1.0" encoding="utf-8"?>
<ds:datastoreItem xmlns:ds="http://schemas.openxmlformats.org/officeDocument/2006/customXml" ds:itemID="{9FF4CD20-DC7E-4E70-9F79-BC503783E74F}">
  <ds:schemaRefs/>
</ds:datastoreItem>
</file>

<file path=customXml/itemProps23.xml><?xml version="1.0" encoding="utf-8"?>
<ds:datastoreItem xmlns:ds="http://schemas.openxmlformats.org/officeDocument/2006/customXml" ds:itemID="{5C816ABC-FA1D-4C06-950F-B0DE17B81CB1}">
  <ds:schemaRefs/>
</ds:datastoreItem>
</file>

<file path=customXml/itemProps24.xml><?xml version="1.0" encoding="utf-8"?>
<ds:datastoreItem xmlns:ds="http://schemas.openxmlformats.org/officeDocument/2006/customXml" ds:itemID="{820A45AD-B5E5-4EF7-A337-2609E8DF9F4A}">
  <ds:schemaRefs/>
</ds:datastoreItem>
</file>

<file path=customXml/itemProps25.xml><?xml version="1.0" encoding="utf-8"?>
<ds:datastoreItem xmlns:ds="http://schemas.openxmlformats.org/officeDocument/2006/customXml" ds:itemID="{7F38BBF4-AE62-4194-89B0-541D803A4C96}">
  <ds:schemaRefs/>
</ds:datastoreItem>
</file>

<file path=customXml/itemProps26.xml><?xml version="1.0" encoding="utf-8"?>
<ds:datastoreItem xmlns:ds="http://schemas.openxmlformats.org/officeDocument/2006/customXml" ds:itemID="{3B52E8D1-44B7-4C02-B7D9-4A7BFE56D82D}">
  <ds:schemaRefs/>
</ds:datastoreItem>
</file>

<file path=customXml/itemProps27.xml><?xml version="1.0" encoding="utf-8"?>
<ds:datastoreItem xmlns:ds="http://schemas.openxmlformats.org/officeDocument/2006/customXml" ds:itemID="{53D3B495-5865-4F64-92F6-2B851E9BEDB1}">
  <ds:schemaRefs/>
</ds:datastoreItem>
</file>

<file path=customXml/itemProps28.xml><?xml version="1.0" encoding="utf-8"?>
<ds:datastoreItem xmlns:ds="http://schemas.openxmlformats.org/officeDocument/2006/customXml" ds:itemID="{0F8232BE-FF7F-43A5-A650-03B6426603F5}">
  <ds:schemaRefs/>
</ds:datastoreItem>
</file>

<file path=customXml/itemProps29.xml><?xml version="1.0" encoding="utf-8"?>
<ds:datastoreItem xmlns:ds="http://schemas.openxmlformats.org/officeDocument/2006/customXml" ds:itemID="{A27FC84E-D218-40FB-8480-2A237B7FD9E2}">
  <ds:schemaRefs/>
</ds:datastoreItem>
</file>

<file path=customXml/itemProps3.xml><?xml version="1.0" encoding="utf-8"?>
<ds:datastoreItem xmlns:ds="http://schemas.openxmlformats.org/officeDocument/2006/customXml" ds:itemID="{01001FB4-832C-4175-9AC5-7F7F6FE86F33}">
  <ds:schemaRefs/>
</ds:datastoreItem>
</file>

<file path=customXml/itemProps30.xml><?xml version="1.0" encoding="utf-8"?>
<ds:datastoreItem xmlns:ds="http://schemas.openxmlformats.org/officeDocument/2006/customXml" ds:itemID="{3948751E-81C3-4CE0-A9F4-526691496301}">
  <ds:schemaRefs/>
</ds:datastoreItem>
</file>

<file path=customXml/itemProps4.xml><?xml version="1.0" encoding="utf-8"?>
<ds:datastoreItem xmlns:ds="http://schemas.openxmlformats.org/officeDocument/2006/customXml" ds:itemID="{F011EDC3-2A99-4D39-BBA9-6855BDF78287}">
  <ds:schemaRefs/>
</ds:datastoreItem>
</file>

<file path=customXml/itemProps5.xml><?xml version="1.0" encoding="utf-8"?>
<ds:datastoreItem xmlns:ds="http://schemas.openxmlformats.org/officeDocument/2006/customXml" ds:itemID="{2BAA4696-A174-4B93-8F91-BB9E28CE727A}">
  <ds:schemaRefs/>
</ds:datastoreItem>
</file>

<file path=customXml/itemProps6.xml><?xml version="1.0" encoding="utf-8"?>
<ds:datastoreItem xmlns:ds="http://schemas.openxmlformats.org/officeDocument/2006/customXml" ds:itemID="{C70D667D-30C4-4DA4-9B21-656BB21B8D01}">
  <ds:schemaRefs/>
</ds:datastoreItem>
</file>

<file path=customXml/itemProps7.xml><?xml version="1.0" encoding="utf-8"?>
<ds:datastoreItem xmlns:ds="http://schemas.openxmlformats.org/officeDocument/2006/customXml" ds:itemID="{1E031435-36C9-4474-983C-CCC479A1F149}">
  <ds:schemaRefs/>
</ds:datastoreItem>
</file>

<file path=customXml/itemProps8.xml><?xml version="1.0" encoding="utf-8"?>
<ds:datastoreItem xmlns:ds="http://schemas.openxmlformats.org/officeDocument/2006/customXml" ds:itemID="{110F2BE7-5D0B-4C35-B62B-231F0B477AFF}">
  <ds:schemaRefs/>
</ds:datastoreItem>
</file>

<file path=customXml/itemProps9.xml><?xml version="1.0" encoding="utf-8"?>
<ds:datastoreItem xmlns:ds="http://schemas.openxmlformats.org/officeDocument/2006/customXml" ds:itemID="{C739C6AC-4594-4A24-82E8-B0159A51F0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4543</Words>
  <Characters>25898</Characters>
  <Lines>215</Lines>
  <Paragraphs>60</Paragraphs>
  <TotalTime>74</TotalTime>
  <ScaleCrop>false</ScaleCrop>
  <LinksUpToDate>false</LinksUpToDate>
  <CharactersWithSpaces>30381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2022-02-25T11:13:00Z</dcterms:created>
  <dc:creator>Lenovo</dc:creator>
  <cp:lastModifiedBy>Lenovo</cp:lastModifiedBy>
  <dcterms:modified xsi:type="dcterms:W3CDTF">2025-01-08T09:12:19Z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7015750B885F48C69C57E9E0C1AFF698_12</vt:lpwstr>
  </property>
</Properties>
</file>