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ind w:firstLine="200"/>
        <w:rPr>
          <w:rFonts w:ascii="仿宋_GB2312" w:eastAsia="仿宋_GB2312"/>
          <w:sz w:val="32"/>
          <w:szCs w:val="32"/>
        </w:rPr>
      </w:pPr>
    </w:p>
    <w:p>
      <w:pPr>
        <w:jc w:val="center"/>
        <w:rPr>
          <w:rFonts w:ascii="宋体"/>
          <w:b/>
          <w:sz w:val="48"/>
          <w:szCs w:val="48"/>
        </w:rPr>
      </w:pPr>
      <w:r>
        <w:rPr>
          <w:rFonts w:hint="eastAsia" w:ascii="宋体"/>
          <w:b/>
          <w:sz w:val="48"/>
          <w:szCs w:val="48"/>
        </w:rPr>
        <w:t>2021年部门预算公开目录</w:t>
      </w:r>
    </w:p>
    <w:p>
      <w:pPr>
        <w:jc w:val="center"/>
        <w:rPr>
          <w:rFonts w:ascii="仿宋_GB2312" w:eastAsia="仿宋_GB2312"/>
          <w:b/>
          <w:sz w:val="48"/>
          <w:szCs w:val="48"/>
        </w:rPr>
      </w:pPr>
    </w:p>
    <w:p>
      <w:pPr>
        <w:spacing w:line="560" w:lineRule="exact"/>
        <w:ind w:firstLine="643" w:firstLineChars="200"/>
        <w:jc w:val="center"/>
        <w:rPr>
          <w:rFonts w:ascii="宋体" w:hAnsi="宋体"/>
          <w:b/>
          <w:sz w:val="32"/>
          <w:szCs w:val="32"/>
        </w:rPr>
      </w:pPr>
      <w:r>
        <w:rPr>
          <w:rFonts w:hint="eastAsia" w:ascii="宋体" w:hAnsi="宋体"/>
          <w:b/>
          <w:sz w:val="32"/>
          <w:szCs w:val="32"/>
        </w:rPr>
        <w:t>第一部分 2021年部门预算公开有关事项的说明</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一、部门职责及机构设置情况</w:t>
      </w:r>
    </w:p>
    <w:p>
      <w:pPr>
        <w:tabs>
          <w:tab w:val="left" w:pos="4820"/>
        </w:tabs>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二、部门预算安排的总体情况</w:t>
      </w:r>
    </w:p>
    <w:p>
      <w:pPr>
        <w:autoSpaceDE w:val="0"/>
        <w:autoSpaceDN w:val="0"/>
        <w:adjustRightIn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三、机关运行经费安排情况</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四、财政拨款“三公”经费预算情况及增减变化原因</w:t>
      </w:r>
    </w:p>
    <w:p>
      <w:pPr>
        <w:autoSpaceDE w:val="0"/>
        <w:autoSpaceDN w:val="0"/>
        <w:adjustRightInd w:val="0"/>
        <w:spacing w:line="560" w:lineRule="exact"/>
        <w:ind w:firstLine="627" w:firstLineChars="196"/>
        <w:jc w:val="left"/>
        <w:rPr>
          <w:rFonts w:ascii="仿宋_GB2312" w:eastAsia="仿宋_GB2312"/>
          <w:sz w:val="32"/>
          <w:szCs w:val="32"/>
        </w:rPr>
      </w:pPr>
      <w:r>
        <w:rPr>
          <w:rFonts w:hint="eastAsia" w:ascii="仿宋_GB2312" w:eastAsia="仿宋_GB2312"/>
          <w:sz w:val="32"/>
          <w:szCs w:val="32"/>
        </w:rPr>
        <w:t>五、绩效预算信息</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六、政府采购预算信息</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七、国有资产信息</w:t>
      </w:r>
    </w:p>
    <w:p>
      <w:pPr>
        <w:autoSpaceDE w:val="0"/>
        <w:autoSpaceDN w:val="0"/>
        <w:adjustRightInd w:val="0"/>
        <w:spacing w:line="560" w:lineRule="exact"/>
        <w:ind w:firstLine="627" w:firstLineChars="196"/>
        <w:jc w:val="left"/>
        <w:rPr>
          <w:rFonts w:ascii="仿宋_GB2312" w:eastAsia="仿宋_GB2312"/>
          <w:sz w:val="32"/>
          <w:szCs w:val="32"/>
        </w:rPr>
      </w:pPr>
      <w:r>
        <w:rPr>
          <w:rFonts w:hint="eastAsia" w:ascii="仿宋_GB2312" w:eastAsia="仿宋_GB2312"/>
          <w:sz w:val="32"/>
          <w:szCs w:val="32"/>
        </w:rPr>
        <w:t>八、名词解释</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九、其他需要说明的事项</w:t>
      </w:r>
    </w:p>
    <w:p>
      <w:pPr>
        <w:spacing w:line="560" w:lineRule="exact"/>
        <w:ind w:firstLine="643" w:firstLineChars="200"/>
        <w:jc w:val="center"/>
        <w:rPr>
          <w:rFonts w:ascii="宋体" w:hAnsi="宋体"/>
          <w:b/>
          <w:sz w:val="32"/>
          <w:szCs w:val="32"/>
        </w:rPr>
      </w:pPr>
      <w:r>
        <w:rPr>
          <w:rFonts w:hint="eastAsia" w:ascii="宋体" w:hAnsi="宋体"/>
          <w:b/>
          <w:sz w:val="32"/>
          <w:szCs w:val="32"/>
        </w:rPr>
        <w:t>第二部分 2021年部门预算公开报表</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一、部门预算收支总表</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二、部门预算收入总表</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三、部门预算支出总表</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四、部门预算财政拨款收支总表</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五、部门预算一般公共预算财政拨款支出表</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六、部门预算一般公共预算财政拨款基本支出表</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七、部门预算政府基金预算财政拨款支出表</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八、部门预算国有资本经营预算财政拨款支出表</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九、部门预算财政拨款“三公”经费支出表</w:t>
      </w:r>
    </w:p>
    <w:p>
      <w:pPr>
        <w:spacing w:line="560" w:lineRule="exact"/>
        <w:ind w:firstLine="200"/>
        <w:rPr>
          <w:rFonts w:ascii="仿宋_GB2312" w:eastAsia="仿宋_GB2312"/>
          <w:sz w:val="32"/>
          <w:szCs w:val="32"/>
        </w:rPr>
        <w:sectPr>
          <w:pgSz w:w="11906" w:h="16838"/>
          <w:pgMar w:top="1985" w:right="1531" w:bottom="1701" w:left="1531" w:header="851" w:footer="992" w:gutter="0"/>
          <w:cols w:space="720" w:num="1"/>
          <w:docGrid w:type="lines" w:linePitch="312" w:charSpace="0"/>
        </w:sectPr>
      </w:pPr>
    </w:p>
    <w:p>
      <w:pPr>
        <w:spacing w:line="560" w:lineRule="exact"/>
        <w:ind w:firstLine="200"/>
        <w:jc w:val="center"/>
        <w:rPr>
          <w:rFonts w:ascii="宋体"/>
          <w:b/>
          <w:sz w:val="44"/>
          <w:szCs w:val="44"/>
        </w:rPr>
      </w:pPr>
      <w:r>
        <w:rPr>
          <w:rFonts w:hint="eastAsia" w:ascii="宋体"/>
          <w:b/>
          <w:sz w:val="44"/>
          <w:szCs w:val="44"/>
        </w:rPr>
        <w:t>唐山市丰南区人大</w:t>
      </w:r>
      <w:r>
        <w:rPr>
          <w:rFonts w:hint="eastAsia" w:ascii="宋体"/>
          <w:b/>
          <w:sz w:val="44"/>
          <w:szCs w:val="44"/>
          <w:lang w:val="en-US" w:eastAsia="zh-CN"/>
        </w:rPr>
        <w:t>常委会</w:t>
      </w:r>
      <w:r>
        <w:rPr>
          <w:rFonts w:hint="eastAsia" w:ascii="宋体"/>
          <w:b/>
          <w:sz w:val="44"/>
          <w:szCs w:val="44"/>
        </w:rPr>
        <w:t>办公室</w:t>
      </w:r>
    </w:p>
    <w:p>
      <w:pPr>
        <w:spacing w:line="560" w:lineRule="exact"/>
        <w:jc w:val="center"/>
        <w:rPr>
          <w:rFonts w:ascii="宋体"/>
          <w:b/>
          <w:sz w:val="44"/>
          <w:szCs w:val="44"/>
        </w:rPr>
      </w:pPr>
      <w:r>
        <w:rPr>
          <w:rFonts w:hint="eastAsia" w:ascii="宋体"/>
          <w:b/>
          <w:sz w:val="44"/>
          <w:szCs w:val="44"/>
        </w:rPr>
        <w:t>2021年部门预算公开有关事项的说明</w:t>
      </w:r>
    </w:p>
    <w:p>
      <w:pPr>
        <w:spacing w:line="560" w:lineRule="exact"/>
        <w:ind w:firstLine="200"/>
        <w:jc w:val="center"/>
        <w:rPr>
          <w:rFonts w:ascii="仿宋_GB2312" w:eastAsia="仿宋_GB2312"/>
          <w:b/>
          <w:sz w:val="44"/>
          <w:szCs w:val="44"/>
        </w:rPr>
      </w:pPr>
    </w:p>
    <w:p>
      <w:pPr>
        <w:spacing w:line="560" w:lineRule="exact"/>
        <w:ind w:firstLine="665" w:firstLineChars="208"/>
        <w:jc w:val="left"/>
        <w:rPr>
          <w:rFonts w:ascii="仿宋_GB2312" w:eastAsia="仿宋_GB2312"/>
          <w:sz w:val="32"/>
          <w:szCs w:val="32"/>
        </w:rPr>
      </w:pPr>
      <w:r>
        <w:rPr>
          <w:rFonts w:hint="eastAsia" w:ascii="仿宋_GB2312" w:eastAsia="仿宋_GB2312"/>
          <w:sz w:val="32"/>
          <w:szCs w:val="32"/>
        </w:rPr>
        <w:t>按照《预算法》、《河北省预决算公开操作规程实施细则》规定，现将丰南区人大办公室2021年部门预算公开如下：</w:t>
      </w:r>
    </w:p>
    <w:p>
      <w:pPr>
        <w:widowControl/>
        <w:numPr>
          <w:ilvl w:val="0"/>
          <w:numId w:val="1"/>
        </w:numPr>
        <w:spacing w:line="560" w:lineRule="exact"/>
        <w:ind w:firstLine="643" w:firstLineChars="200"/>
        <w:textAlignment w:val="baseline"/>
        <w:rPr>
          <w:rFonts w:ascii="仿宋_GB2312" w:eastAsia="仿宋_GB2312"/>
          <w:b/>
          <w:sz w:val="32"/>
          <w:szCs w:val="32"/>
        </w:rPr>
      </w:pPr>
      <w:r>
        <w:rPr>
          <w:rFonts w:hint="eastAsia" w:ascii="仿宋_GB2312" w:eastAsia="仿宋_GB2312"/>
          <w:b/>
          <w:sz w:val="32"/>
          <w:szCs w:val="32"/>
        </w:rPr>
        <w:t>部门职责及机构设置情况</w:t>
      </w:r>
    </w:p>
    <w:p>
      <w:pPr>
        <w:widowControl/>
        <w:spacing w:line="560" w:lineRule="exact"/>
        <w:ind w:firstLine="643" w:firstLineChars="200"/>
        <w:textAlignment w:val="baseline"/>
        <w:rPr>
          <w:rFonts w:ascii="仿宋_GB2312" w:eastAsia="仿宋_GB2312"/>
          <w:sz w:val="32"/>
          <w:szCs w:val="32"/>
        </w:rPr>
      </w:pPr>
      <w:r>
        <w:rPr>
          <w:rFonts w:hint="eastAsia" w:ascii="仿宋_GB2312" w:eastAsia="仿宋_GB2312"/>
          <w:b/>
          <w:sz w:val="32"/>
          <w:szCs w:val="32"/>
        </w:rPr>
        <w:t>1、部门职责：</w:t>
      </w:r>
      <w:r>
        <w:rPr>
          <w:rFonts w:hint="eastAsia" w:ascii="仿宋_GB2312" w:eastAsia="仿宋_GB2312" w:cs="宋体"/>
          <w:sz w:val="32"/>
          <w:szCs w:val="32"/>
        </w:rPr>
        <w:t>承担区人民代表大会、常务委员会、主任会议的筹备及会务工作。负责人大代表和人民群众来信来访和投诉的受理、转办及有关问题的催办工作。承办和处理人大</w:t>
      </w:r>
      <w:bookmarkStart w:id="7" w:name="_GoBack"/>
      <w:bookmarkEnd w:id="7"/>
      <w:r>
        <w:rPr>
          <w:rFonts w:hint="eastAsia" w:ascii="仿宋_GB2312" w:eastAsia="仿宋_GB2312" w:cs="宋体"/>
          <w:sz w:val="32"/>
          <w:szCs w:val="32"/>
          <w:lang w:val="en-US" w:eastAsia="zh-CN"/>
        </w:rPr>
        <w:t>常委会</w:t>
      </w:r>
      <w:r>
        <w:rPr>
          <w:rFonts w:hint="eastAsia" w:ascii="仿宋_GB2312" w:eastAsia="仿宋_GB2312" w:cs="宋体"/>
          <w:sz w:val="32"/>
          <w:szCs w:val="32"/>
        </w:rPr>
        <w:t>机关行政事务和外事联络工作。承担区人民代表大会代表换届选举的具体工作，指导乡镇换届选举工作。负责本行政区域内的省、市、区人大代表的联络工作，组织安排代表视察、调查、评议等工作。负责区人大代表议案、建议、批评和意见的综合整理和交办、催办工作。加强与乡镇人大的工作联系，指导乡镇人大开展工作。负责区人大常委会人事任免方面的具体工作。根据区人大常委会和主任会议议题，联系区政府、区法院、区检察院及有关部门，听取汇报，搞好调查研究，提出调查报告和有关材料。承担区人大常委会和上级人大安排的有关法律法规的执法检查、视察等活动的组织和综合工作。负责了解并向常委会会议、主任会议及领导提供全区国民经济和社会发展计划与财政预决算编制情况。了解全区经济、社会发展计划和财政预算执行情况。</w:t>
      </w:r>
    </w:p>
    <w:p>
      <w:pPr>
        <w:adjustRightInd w:val="0"/>
        <w:snapToGrid w:val="0"/>
        <w:spacing w:line="560" w:lineRule="exact"/>
        <w:ind w:firstLine="643" w:firstLineChars="200"/>
        <w:rPr>
          <w:rFonts w:ascii="仿宋_GB2312" w:eastAsia="仿宋_GB2312"/>
          <w:color w:val="FF0000"/>
          <w:sz w:val="32"/>
          <w:szCs w:val="32"/>
        </w:rPr>
      </w:pPr>
      <w:r>
        <w:rPr>
          <w:rFonts w:hint="eastAsia" w:ascii="仿宋_GB2312" w:eastAsia="仿宋_GB2312" w:cs="宋体"/>
          <w:b/>
          <w:sz w:val="32"/>
          <w:szCs w:val="32"/>
        </w:rPr>
        <w:t>2、</w:t>
      </w:r>
      <w:r>
        <w:rPr>
          <w:rFonts w:hint="eastAsia" w:ascii="仿宋_GB2312" w:eastAsia="仿宋_GB2312"/>
          <w:b/>
          <w:sz w:val="32"/>
          <w:szCs w:val="32"/>
        </w:rPr>
        <w:t>机构设置：</w:t>
      </w:r>
      <w:r>
        <w:rPr>
          <w:rFonts w:hint="eastAsia" w:ascii="仿宋_GB2312" w:eastAsia="仿宋_GB2312"/>
          <w:sz w:val="32"/>
          <w:szCs w:val="32"/>
        </w:rPr>
        <w:t>丰南区人大常委会办公室单位为财政拨款的行政机关。机构规格为正科级单位。</w:t>
      </w:r>
    </w:p>
    <w:p>
      <w:pPr>
        <w:adjustRightInd w:val="0"/>
        <w:snapToGrid w:val="0"/>
        <w:spacing w:line="560" w:lineRule="exact"/>
        <w:ind w:left="178" w:leftChars="85" w:firstLine="540"/>
        <w:rPr>
          <w:rFonts w:ascii="仿宋_GB2312" w:eastAsia="仿宋_GB2312"/>
          <w:color w:val="FF0000"/>
          <w:sz w:val="32"/>
          <w:szCs w:val="32"/>
        </w:rPr>
      </w:pPr>
      <w:r>
        <w:rPr>
          <w:rFonts w:hint="eastAsia" w:ascii="仿宋_GB2312" w:eastAsia="仿宋_GB2312"/>
          <w:sz w:val="32"/>
          <w:szCs w:val="32"/>
        </w:rPr>
        <w:t>机构设置：</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90"/>
        <w:gridCol w:w="1341"/>
        <w:gridCol w:w="1189"/>
        <w:gridCol w:w="27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atLeast"/>
          <w:tblHeader/>
          <w:jc w:val="center"/>
        </w:trPr>
        <w:tc>
          <w:tcPr>
            <w:tcW w:w="3590" w:type="dxa"/>
            <w:vMerge w:val="restart"/>
            <w:vAlign w:val="center"/>
          </w:tcPr>
          <w:p>
            <w:pPr>
              <w:spacing w:line="300" w:lineRule="exact"/>
              <w:jc w:val="center"/>
              <w:rPr>
                <w:rFonts w:ascii="仿宋" w:hAnsi="仿宋" w:eastAsia="仿宋"/>
                <w:b/>
                <w:szCs w:val="24"/>
              </w:rPr>
            </w:pPr>
            <w:r>
              <w:rPr>
                <w:rFonts w:hint="eastAsia" w:ascii="仿宋" w:hAnsi="仿宋" w:eastAsia="仿宋"/>
                <w:b/>
                <w:szCs w:val="24"/>
              </w:rPr>
              <w:t>单位名称</w:t>
            </w:r>
          </w:p>
        </w:tc>
        <w:tc>
          <w:tcPr>
            <w:tcW w:w="1341" w:type="dxa"/>
            <w:vMerge w:val="restart"/>
            <w:vAlign w:val="center"/>
          </w:tcPr>
          <w:p>
            <w:pPr>
              <w:spacing w:line="300" w:lineRule="exact"/>
              <w:jc w:val="center"/>
              <w:rPr>
                <w:rFonts w:ascii="仿宋" w:hAnsi="仿宋" w:eastAsia="仿宋"/>
                <w:b/>
                <w:szCs w:val="24"/>
              </w:rPr>
            </w:pPr>
            <w:r>
              <w:rPr>
                <w:rFonts w:hint="eastAsia" w:ascii="仿宋" w:hAnsi="仿宋" w:eastAsia="仿宋"/>
                <w:b/>
                <w:szCs w:val="24"/>
              </w:rPr>
              <w:t>单位性质</w:t>
            </w:r>
          </w:p>
        </w:tc>
        <w:tc>
          <w:tcPr>
            <w:tcW w:w="1189" w:type="dxa"/>
            <w:vMerge w:val="restart"/>
            <w:vAlign w:val="center"/>
          </w:tcPr>
          <w:p>
            <w:pPr>
              <w:spacing w:line="300" w:lineRule="exact"/>
              <w:jc w:val="center"/>
              <w:rPr>
                <w:rFonts w:ascii="仿宋" w:hAnsi="仿宋" w:eastAsia="仿宋"/>
                <w:b/>
                <w:szCs w:val="24"/>
              </w:rPr>
            </w:pPr>
            <w:r>
              <w:rPr>
                <w:rFonts w:hint="eastAsia" w:ascii="仿宋" w:hAnsi="仿宋" w:eastAsia="仿宋"/>
                <w:b/>
                <w:szCs w:val="24"/>
              </w:rPr>
              <w:t>单位规格</w:t>
            </w:r>
          </w:p>
        </w:tc>
        <w:tc>
          <w:tcPr>
            <w:tcW w:w="2702" w:type="dxa"/>
            <w:vMerge w:val="restart"/>
            <w:vAlign w:val="center"/>
          </w:tcPr>
          <w:p>
            <w:pPr>
              <w:spacing w:line="300" w:lineRule="exact"/>
              <w:jc w:val="center"/>
              <w:rPr>
                <w:rFonts w:ascii="仿宋" w:hAnsi="仿宋" w:eastAsia="仿宋"/>
                <w:b/>
                <w:szCs w:val="24"/>
              </w:rPr>
            </w:pPr>
            <w:r>
              <w:rPr>
                <w:rFonts w:hint="eastAsia" w:ascii="仿宋" w:hAnsi="仿宋" w:eastAsia="仿宋"/>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atLeast"/>
          <w:tblHeader/>
          <w:jc w:val="center"/>
        </w:trPr>
        <w:tc>
          <w:tcPr>
            <w:tcW w:w="3590" w:type="dxa"/>
            <w:vMerge w:val="continue"/>
            <w:vAlign w:val="center"/>
          </w:tcPr>
          <w:p>
            <w:pPr>
              <w:rPr>
                <w:rFonts w:ascii="仿宋" w:hAnsi="仿宋" w:eastAsia="仿宋"/>
              </w:rPr>
            </w:pPr>
          </w:p>
        </w:tc>
        <w:tc>
          <w:tcPr>
            <w:tcW w:w="1341" w:type="dxa"/>
            <w:vMerge w:val="continue"/>
            <w:vAlign w:val="center"/>
          </w:tcPr>
          <w:p>
            <w:pPr>
              <w:rPr>
                <w:rFonts w:ascii="仿宋" w:hAnsi="仿宋" w:eastAsia="仿宋"/>
              </w:rPr>
            </w:pPr>
          </w:p>
        </w:tc>
        <w:tc>
          <w:tcPr>
            <w:tcW w:w="1189" w:type="dxa"/>
            <w:vMerge w:val="continue"/>
            <w:vAlign w:val="center"/>
          </w:tcPr>
          <w:p>
            <w:pPr>
              <w:rPr>
                <w:rFonts w:ascii="仿宋" w:hAnsi="仿宋" w:eastAsia="仿宋"/>
              </w:rPr>
            </w:pPr>
          </w:p>
        </w:tc>
        <w:tc>
          <w:tcPr>
            <w:tcW w:w="2702" w:type="dxa"/>
            <w:vMerge w:val="continue"/>
            <w:vAlign w:val="center"/>
          </w:tcPr>
          <w:p>
            <w:pPr>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atLeast"/>
          <w:jc w:val="center"/>
        </w:trPr>
        <w:tc>
          <w:tcPr>
            <w:tcW w:w="3590" w:type="dxa"/>
            <w:vAlign w:val="center"/>
          </w:tcPr>
          <w:p>
            <w:pPr>
              <w:spacing w:line="300" w:lineRule="exact"/>
              <w:jc w:val="left"/>
              <w:rPr>
                <w:rFonts w:ascii="仿宋" w:hAnsi="仿宋" w:eastAsia="仿宋"/>
                <w:szCs w:val="24"/>
              </w:rPr>
            </w:pPr>
            <w:r>
              <w:rPr>
                <w:rFonts w:hint="eastAsia" w:ascii="仿宋" w:hAnsi="仿宋" w:eastAsia="仿宋"/>
              </w:rPr>
              <w:t>丰南区人大常委会办公室</w:t>
            </w:r>
          </w:p>
        </w:tc>
        <w:tc>
          <w:tcPr>
            <w:tcW w:w="1341" w:type="dxa"/>
            <w:vAlign w:val="center"/>
          </w:tcPr>
          <w:p>
            <w:pPr>
              <w:spacing w:line="300" w:lineRule="exact"/>
              <w:jc w:val="center"/>
              <w:rPr>
                <w:rFonts w:ascii="仿宋" w:hAnsi="仿宋" w:eastAsia="仿宋"/>
                <w:szCs w:val="24"/>
              </w:rPr>
            </w:pPr>
            <w:r>
              <w:rPr>
                <w:rFonts w:hint="eastAsia" w:ascii="仿宋" w:hAnsi="仿宋" w:eastAsia="仿宋"/>
              </w:rPr>
              <w:t>行政</w:t>
            </w:r>
          </w:p>
        </w:tc>
        <w:tc>
          <w:tcPr>
            <w:tcW w:w="1189" w:type="dxa"/>
            <w:vAlign w:val="center"/>
          </w:tcPr>
          <w:p>
            <w:pPr>
              <w:spacing w:line="300" w:lineRule="exact"/>
              <w:jc w:val="center"/>
              <w:rPr>
                <w:rFonts w:ascii="仿宋" w:hAnsi="仿宋" w:eastAsia="仿宋"/>
                <w:szCs w:val="24"/>
              </w:rPr>
            </w:pPr>
            <w:r>
              <w:rPr>
                <w:rFonts w:hint="eastAsia" w:ascii="仿宋" w:hAnsi="仿宋" w:eastAsia="仿宋"/>
              </w:rPr>
              <w:t>正科级</w:t>
            </w:r>
          </w:p>
        </w:tc>
        <w:tc>
          <w:tcPr>
            <w:tcW w:w="2702" w:type="dxa"/>
            <w:vAlign w:val="center"/>
          </w:tcPr>
          <w:p>
            <w:pPr>
              <w:spacing w:line="300" w:lineRule="exact"/>
              <w:jc w:val="center"/>
              <w:rPr>
                <w:rFonts w:ascii="仿宋" w:hAnsi="仿宋" w:eastAsia="仿宋"/>
                <w:szCs w:val="24"/>
              </w:rPr>
            </w:pPr>
            <w:r>
              <w:rPr>
                <w:rFonts w:hint="eastAsia" w:ascii="仿宋" w:hAnsi="仿宋" w:eastAsia="仿宋"/>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atLeast"/>
          <w:jc w:val="center"/>
        </w:trPr>
        <w:tc>
          <w:tcPr>
            <w:tcW w:w="3590" w:type="dxa"/>
            <w:vAlign w:val="center"/>
          </w:tcPr>
          <w:p>
            <w:pPr>
              <w:spacing w:line="300" w:lineRule="exact"/>
              <w:jc w:val="left"/>
              <w:rPr>
                <w:rFonts w:ascii="仿宋" w:hAnsi="仿宋" w:eastAsia="仿宋"/>
                <w:szCs w:val="24"/>
              </w:rPr>
            </w:pPr>
          </w:p>
        </w:tc>
        <w:tc>
          <w:tcPr>
            <w:tcW w:w="1341" w:type="dxa"/>
            <w:vAlign w:val="center"/>
          </w:tcPr>
          <w:p>
            <w:pPr>
              <w:spacing w:line="300" w:lineRule="exact"/>
              <w:jc w:val="center"/>
              <w:rPr>
                <w:rFonts w:ascii="仿宋" w:hAnsi="仿宋" w:eastAsia="仿宋"/>
                <w:szCs w:val="24"/>
              </w:rPr>
            </w:pPr>
          </w:p>
        </w:tc>
        <w:tc>
          <w:tcPr>
            <w:tcW w:w="1189" w:type="dxa"/>
            <w:vAlign w:val="center"/>
          </w:tcPr>
          <w:p>
            <w:pPr>
              <w:spacing w:line="300" w:lineRule="exact"/>
              <w:jc w:val="center"/>
              <w:rPr>
                <w:rFonts w:ascii="仿宋" w:hAnsi="仿宋" w:eastAsia="仿宋"/>
                <w:szCs w:val="24"/>
              </w:rPr>
            </w:pPr>
          </w:p>
        </w:tc>
        <w:tc>
          <w:tcPr>
            <w:tcW w:w="2702" w:type="dxa"/>
            <w:vAlign w:val="center"/>
          </w:tcPr>
          <w:p>
            <w:pPr>
              <w:spacing w:line="300" w:lineRule="exact"/>
              <w:jc w:val="center"/>
              <w:rPr>
                <w:rFonts w:ascii="仿宋" w:hAnsi="仿宋" w:eastAsia="仿宋"/>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atLeast"/>
          <w:jc w:val="center"/>
        </w:trPr>
        <w:tc>
          <w:tcPr>
            <w:tcW w:w="3590" w:type="dxa"/>
            <w:vAlign w:val="center"/>
          </w:tcPr>
          <w:p>
            <w:pPr>
              <w:spacing w:line="300" w:lineRule="exact"/>
              <w:jc w:val="left"/>
              <w:rPr>
                <w:rFonts w:ascii="仿宋" w:hAnsi="仿宋" w:eastAsia="仿宋"/>
                <w:szCs w:val="24"/>
              </w:rPr>
            </w:pPr>
          </w:p>
        </w:tc>
        <w:tc>
          <w:tcPr>
            <w:tcW w:w="1341" w:type="dxa"/>
            <w:vAlign w:val="center"/>
          </w:tcPr>
          <w:p>
            <w:pPr>
              <w:spacing w:line="300" w:lineRule="exact"/>
              <w:jc w:val="center"/>
              <w:rPr>
                <w:rFonts w:ascii="仿宋" w:hAnsi="仿宋" w:eastAsia="仿宋"/>
                <w:szCs w:val="24"/>
              </w:rPr>
            </w:pPr>
          </w:p>
        </w:tc>
        <w:tc>
          <w:tcPr>
            <w:tcW w:w="1189" w:type="dxa"/>
            <w:vAlign w:val="center"/>
          </w:tcPr>
          <w:p>
            <w:pPr>
              <w:spacing w:line="300" w:lineRule="exact"/>
              <w:jc w:val="center"/>
              <w:rPr>
                <w:rFonts w:ascii="仿宋" w:hAnsi="仿宋" w:eastAsia="仿宋"/>
                <w:szCs w:val="24"/>
              </w:rPr>
            </w:pPr>
          </w:p>
        </w:tc>
        <w:tc>
          <w:tcPr>
            <w:tcW w:w="2702" w:type="dxa"/>
            <w:vAlign w:val="center"/>
          </w:tcPr>
          <w:p>
            <w:pPr>
              <w:spacing w:line="300" w:lineRule="exact"/>
              <w:jc w:val="center"/>
              <w:rPr>
                <w:rFonts w:ascii="仿宋" w:hAnsi="仿宋" w:eastAsia="仿宋"/>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atLeast"/>
          <w:jc w:val="center"/>
        </w:trPr>
        <w:tc>
          <w:tcPr>
            <w:tcW w:w="3590" w:type="dxa"/>
            <w:vAlign w:val="center"/>
          </w:tcPr>
          <w:p>
            <w:pPr>
              <w:spacing w:line="300" w:lineRule="exact"/>
              <w:jc w:val="left"/>
              <w:rPr>
                <w:rFonts w:ascii="仿宋" w:hAnsi="仿宋" w:eastAsia="仿宋"/>
                <w:szCs w:val="24"/>
              </w:rPr>
            </w:pPr>
          </w:p>
        </w:tc>
        <w:tc>
          <w:tcPr>
            <w:tcW w:w="1341" w:type="dxa"/>
            <w:vAlign w:val="center"/>
          </w:tcPr>
          <w:p>
            <w:pPr>
              <w:spacing w:line="300" w:lineRule="exact"/>
              <w:jc w:val="center"/>
              <w:rPr>
                <w:rFonts w:ascii="仿宋" w:hAnsi="仿宋" w:eastAsia="仿宋"/>
                <w:szCs w:val="24"/>
              </w:rPr>
            </w:pPr>
          </w:p>
        </w:tc>
        <w:tc>
          <w:tcPr>
            <w:tcW w:w="1189" w:type="dxa"/>
            <w:vAlign w:val="center"/>
          </w:tcPr>
          <w:p>
            <w:pPr>
              <w:spacing w:line="300" w:lineRule="exact"/>
              <w:jc w:val="center"/>
              <w:rPr>
                <w:rFonts w:ascii="仿宋" w:hAnsi="仿宋" w:eastAsia="仿宋"/>
                <w:szCs w:val="24"/>
              </w:rPr>
            </w:pPr>
          </w:p>
        </w:tc>
        <w:tc>
          <w:tcPr>
            <w:tcW w:w="2702" w:type="dxa"/>
            <w:vAlign w:val="center"/>
          </w:tcPr>
          <w:p>
            <w:pPr>
              <w:spacing w:line="300" w:lineRule="exact"/>
              <w:jc w:val="center"/>
              <w:rPr>
                <w:rFonts w:ascii="仿宋" w:hAnsi="仿宋" w:eastAsia="仿宋"/>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atLeast"/>
          <w:jc w:val="center"/>
        </w:trPr>
        <w:tc>
          <w:tcPr>
            <w:tcW w:w="3590" w:type="dxa"/>
            <w:vAlign w:val="center"/>
          </w:tcPr>
          <w:p>
            <w:pPr>
              <w:spacing w:line="300" w:lineRule="exact"/>
              <w:jc w:val="left"/>
              <w:rPr>
                <w:rFonts w:ascii="仿宋" w:hAnsi="仿宋" w:eastAsia="仿宋"/>
                <w:szCs w:val="24"/>
              </w:rPr>
            </w:pPr>
          </w:p>
        </w:tc>
        <w:tc>
          <w:tcPr>
            <w:tcW w:w="1341" w:type="dxa"/>
            <w:vAlign w:val="center"/>
          </w:tcPr>
          <w:p>
            <w:pPr>
              <w:spacing w:line="300" w:lineRule="exact"/>
              <w:jc w:val="center"/>
              <w:rPr>
                <w:rFonts w:ascii="仿宋" w:hAnsi="仿宋" w:eastAsia="仿宋"/>
                <w:szCs w:val="24"/>
              </w:rPr>
            </w:pPr>
          </w:p>
        </w:tc>
        <w:tc>
          <w:tcPr>
            <w:tcW w:w="1189" w:type="dxa"/>
            <w:vAlign w:val="center"/>
          </w:tcPr>
          <w:p>
            <w:pPr>
              <w:spacing w:line="300" w:lineRule="exact"/>
              <w:jc w:val="center"/>
              <w:rPr>
                <w:rFonts w:ascii="仿宋" w:hAnsi="仿宋" w:eastAsia="仿宋"/>
                <w:szCs w:val="24"/>
              </w:rPr>
            </w:pPr>
          </w:p>
        </w:tc>
        <w:tc>
          <w:tcPr>
            <w:tcW w:w="2702" w:type="dxa"/>
            <w:vAlign w:val="center"/>
          </w:tcPr>
          <w:p>
            <w:pPr>
              <w:spacing w:line="300" w:lineRule="exact"/>
              <w:jc w:val="center"/>
              <w:rPr>
                <w:rFonts w:ascii="仿宋" w:hAnsi="仿宋" w:eastAsia="仿宋"/>
                <w:szCs w:val="24"/>
              </w:rPr>
            </w:pPr>
          </w:p>
        </w:tc>
      </w:tr>
    </w:tbl>
    <w:p>
      <w:pPr>
        <w:adjustRightInd w:val="0"/>
        <w:snapToGrid w:val="0"/>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注：我部门纳入预算管理的核算单位有1个单位，</w:t>
      </w:r>
    </w:p>
    <w:p>
      <w:pPr>
        <w:adjustRightInd w:val="0"/>
        <w:snapToGrid w:val="0"/>
        <w:spacing w:line="560" w:lineRule="exact"/>
        <w:ind w:left="178" w:leftChars="85" w:firstLine="540"/>
        <w:rPr>
          <w:rFonts w:ascii="仿宋_GB2312" w:eastAsia="仿宋_GB2312"/>
          <w:sz w:val="32"/>
          <w:szCs w:val="32"/>
        </w:rPr>
      </w:pPr>
      <w:r>
        <w:rPr>
          <w:rFonts w:hint="eastAsia" w:ascii="仿宋_GB2312" w:eastAsia="仿宋_GB2312"/>
          <w:sz w:val="32"/>
          <w:szCs w:val="32"/>
        </w:rPr>
        <w:t>内设5个行政机构，具体包括：</w:t>
      </w:r>
    </w:p>
    <w:p>
      <w:pPr>
        <w:adjustRightInd w:val="0"/>
        <w:snapToGrid w:val="0"/>
        <w:spacing w:line="560" w:lineRule="exact"/>
        <w:ind w:left="178" w:leftChars="85" w:firstLine="540"/>
        <w:rPr>
          <w:rFonts w:ascii="仿宋_GB2312" w:eastAsia="仿宋_GB2312"/>
          <w:sz w:val="32"/>
          <w:szCs w:val="32"/>
        </w:rPr>
      </w:pPr>
      <w:r>
        <w:rPr>
          <w:rFonts w:hint="eastAsia" w:ascii="仿宋_GB2312" w:eastAsia="仿宋_GB2312"/>
          <w:sz w:val="32"/>
          <w:szCs w:val="32"/>
        </w:rPr>
        <w:t>（一）办公室，负责综合协调各科室之间的工作。负责人民代表大会、人大常委会、主任会议及其他会议的筹备、组织、服务工作。负责人大常委会机关的行政事务及档案、财务、等工作。负责机关离退休老干部服务工作。</w:t>
      </w:r>
    </w:p>
    <w:p>
      <w:pPr>
        <w:adjustRightInd w:val="0"/>
        <w:snapToGrid w:val="0"/>
        <w:spacing w:line="560" w:lineRule="exact"/>
        <w:ind w:left="178" w:leftChars="85" w:firstLine="540"/>
        <w:rPr>
          <w:rFonts w:ascii="仿宋_GB2312" w:eastAsia="仿宋_GB2312"/>
          <w:sz w:val="32"/>
          <w:szCs w:val="32"/>
        </w:rPr>
      </w:pPr>
      <w:r>
        <w:rPr>
          <w:rFonts w:hint="eastAsia" w:ascii="仿宋_GB2312" w:eastAsia="仿宋_GB2312"/>
          <w:sz w:val="32"/>
          <w:szCs w:val="32"/>
        </w:rPr>
        <w:t>（二）文卫工委，负责了解并向领导提供区人民政府及有关部门对教育、科技、文化、卫生、体育、等方面的法律、法规及上级和本级人民代表大会及其常委会会议通过的有关方面的决议、决定的贯彻执行情况。</w:t>
      </w:r>
    </w:p>
    <w:p>
      <w:pPr>
        <w:adjustRightInd w:val="0"/>
        <w:snapToGrid w:val="0"/>
        <w:spacing w:line="560" w:lineRule="exact"/>
        <w:ind w:left="178" w:leftChars="85" w:firstLine="540"/>
        <w:rPr>
          <w:rFonts w:ascii="仿宋_GB2312" w:eastAsia="仿宋_GB2312"/>
          <w:sz w:val="32"/>
          <w:szCs w:val="32"/>
        </w:rPr>
      </w:pPr>
      <w:r>
        <w:rPr>
          <w:rFonts w:hint="eastAsia" w:ascii="仿宋_GB2312" w:eastAsia="仿宋_GB2312"/>
          <w:sz w:val="32"/>
          <w:szCs w:val="32"/>
        </w:rPr>
        <w:t>（三）选任代工委，负责组织、指导区、乡两级人大代表的选举工作。做好人大常委会人事任免的具体工作。交办督办人大代表提出的议案、建议、批评和意见。联系代表，组织代表开展活动。</w:t>
      </w:r>
    </w:p>
    <w:p>
      <w:pPr>
        <w:adjustRightInd w:val="0"/>
        <w:snapToGrid w:val="0"/>
        <w:spacing w:line="560" w:lineRule="exact"/>
        <w:ind w:left="178" w:leftChars="85" w:firstLine="540"/>
        <w:rPr>
          <w:rFonts w:ascii="仿宋_GB2312" w:eastAsia="仿宋_GB2312"/>
          <w:sz w:val="32"/>
          <w:szCs w:val="32"/>
        </w:rPr>
      </w:pPr>
      <w:r>
        <w:rPr>
          <w:rFonts w:hint="eastAsia" w:ascii="仿宋_GB2312" w:eastAsia="仿宋_GB2312"/>
          <w:sz w:val="32"/>
          <w:szCs w:val="32"/>
        </w:rPr>
        <w:t>（四）法制工委，负责联系公安、司法、审判、检察等部门，了解和掌握有关法律法规的贯彻执行情况。</w:t>
      </w:r>
    </w:p>
    <w:p>
      <w:pPr>
        <w:adjustRightInd w:val="0"/>
        <w:snapToGrid w:val="0"/>
        <w:spacing w:line="560" w:lineRule="exact"/>
        <w:ind w:left="178" w:leftChars="85" w:firstLine="540"/>
        <w:rPr>
          <w:rFonts w:ascii="仿宋_GB2312" w:eastAsia="仿宋_GB2312"/>
          <w:sz w:val="32"/>
          <w:szCs w:val="32"/>
        </w:rPr>
      </w:pPr>
      <w:r>
        <w:rPr>
          <w:rFonts w:hint="eastAsia" w:ascii="仿宋_GB2312" w:eastAsia="仿宋_GB2312"/>
          <w:sz w:val="32"/>
          <w:szCs w:val="32"/>
        </w:rPr>
        <w:t>（五）财经工委，负责了解并向领导提供区政府及有关部门对工业、交通、城建、金融、财政、审计、税务、土地等方面的法律、法规及上级和表决人民代表大会及其常委会会议通过的有关方面的决议、决定的贯彻执行情况。</w:t>
      </w:r>
    </w:p>
    <w:p>
      <w:pPr>
        <w:adjustRightInd w:val="0"/>
        <w:snapToGrid w:val="0"/>
        <w:spacing w:line="560" w:lineRule="exact"/>
        <w:ind w:left="178" w:leftChars="85" w:firstLine="540"/>
        <w:rPr>
          <w:rFonts w:ascii="仿宋_GB2312" w:eastAsia="仿宋_GB2312"/>
          <w:b/>
          <w:bCs/>
          <w:sz w:val="32"/>
          <w:szCs w:val="32"/>
        </w:rPr>
      </w:pPr>
      <w:r>
        <w:rPr>
          <w:rFonts w:hint="eastAsia" w:ascii="仿宋_GB2312" w:eastAsia="仿宋_GB2312"/>
          <w:b/>
          <w:bCs/>
          <w:sz w:val="32"/>
          <w:szCs w:val="32"/>
        </w:rPr>
        <w:t>3、人员构成</w:t>
      </w:r>
    </w:p>
    <w:p>
      <w:pPr>
        <w:adjustRightInd w:val="0"/>
        <w:snapToGrid w:val="0"/>
        <w:spacing w:line="560" w:lineRule="exact"/>
        <w:ind w:left="178" w:leftChars="85" w:firstLine="540"/>
        <w:rPr>
          <w:rFonts w:ascii="仿宋_GB2312" w:eastAsia="仿宋_GB2312"/>
          <w:sz w:val="32"/>
          <w:szCs w:val="32"/>
        </w:rPr>
      </w:pPr>
      <w:r>
        <w:rPr>
          <w:rFonts w:hint="eastAsia" w:ascii="仿宋_GB2312" w:eastAsia="仿宋_GB2312"/>
          <w:sz w:val="32"/>
          <w:szCs w:val="32"/>
        </w:rPr>
        <w:t>我部门财政供养实有在职29人，其中行政编制18人、事业编制4、人事代理5、见习生2。离退休人员32人。</w:t>
      </w:r>
    </w:p>
    <w:p>
      <w:pPr>
        <w:ind w:firstLine="640"/>
        <w:rPr>
          <w:rFonts w:ascii="方正仿宋_GBK" w:eastAsia="方正仿宋_GBK" w:cs="方正仿宋_GBK"/>
          <w:b/>
          <w:bCs/>
          <w:sz w:val="32"/>
          <w:szCs w:val="32"/>
        </w:rPr>
      </w:pPr>
      <w:r>
        <w:rPr>
          <w:rFonts w:hint="eastAsia" w:ascii="方正仿宋_GBK" w:eastAsia="方正仿宋_GBK" w:cs="方正仿宋_GBK"/>
          <w:b/>
          <w:bCs/>
          <w:sz w:val="32"/>
          <w:szCs w:val="32"/>
        </w:rPr>
        <w:t>二、部门预算安排的总体情况</w:t>
      </w:r>
    </w:p>
    <w:p>
      <w:pPr>
        <w:widowControl/>
        <w:adjustRightInd w:val="0"/>
        <w:snapToGrid w:val="0"/>
        <w:spacing w:line="560" w:lineRule="exact"/>
        <w:ind w:firstLine="643" w:firstLineChars="200"/>
        <w:rPr>
          <w:rFonts w:ascii="仿宋_GB2312" w:eastAsia="仿宋_GB2312"/>
          <w:color w:val="FF0000"/>
          <w:sz w:val="32"/>
          <w:szCs w:val="32"/>
        </w:rPr>
      </w:pPr>
      <w:r>
        <w:rPr>
          <w:rFonts w:hint="eastAsia" w:ascii="仿宋_GB2312" w:eastAsia="仿宋_GB2312"/>
          <w:b/>
          <w:sz w:val="32"/>
          <w:szCs w:val="32"/>
        </w:rPr>
        <w:t>1、收入预算说明</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2021年部门收入预算824.91万元，其中：一般公共预算拨款824.91万元，政府性基金预算拨款0万元，国有资本经营预算拨款0万元，财政专户核拨0万元，其它来源收入0万元。</w:t>
      </w:r>
    </w:p>
    <w:p>
      <w:pPr>
        <w:widowControl/>
        <w:adjustRightInd w:val="0"/>
        <w:snapToGrid w:val="0"/>
        <w:spacing w:line="560" w:lineRule="exact"/>
        <w:ind w:firstLine="643" w:firstLineChars="200"/>
        <w:rPr>
          <w:rFonts w:ascii="仿宋_GB2312" w:eastAsia="仿宋_GB2312"/>
          <w:b/>
          <w:sz w:val="32"/>
          <w:szCs w:val="32"/>
        </w:rPr>
      </w:pPr>
      <w:r>
        <w:rPr>
          <w:rFonts w:hint="eastAsia" w:ascii="仿宋_GB2312" w:eastAsia="仿宋_GB2312"/>
          <w:b/>
          <w:sz w:val="32"/>
          <w:szCs w:val="32"/>
        </w:rPr>
        <w:t xml:space="preserve">2、支出预算说明 </w:t>
      </w:r>
    </w:p>
    <w:p>
      <w:pPr>
        <w:widowControl/>
        <w:adjustRightInd w:val="0"/>
        <w:snapToGrid w:val="0"/>
        <w:spacing w:line="560" w:lineRule="exact"/>
        <w:rPr>
          <w:rFonts w:ascii="仿宋_GB2312" w:eastAsia="仿宋_GB2312"/>
          <w:sz w:val="32"/>
          <w:szCs w:val="32"/>
        </w:rPr>
      </w:pPr>
      <w:r>
        <w:rPr>
          <w:rFonts w:hint="eastAsia" w:ascii="仿宋_GB2312" w:eastAsia="仿宋_GB2312"/>
          <w:sz w:val="32"/>
          <w:szCs w:val="32"/>
        </w:rPr>
        <w:t xml:space="preserve">    2021年支出预算824.91万元，其中：人员经费支出465.06万元，日常公用经费支出79.35万元；项目支出280.5万元，主要用于区人大代表之家（联络站）日常运行，预算初审会议，区代表的培训、学习，区人代会及常委会的召开，公务车购置等。</w:t>
      </w:r>
    </w:p>
    <w:p>
      <w:pPr>
        <w:autoSpaceDE w:val="0"/>
        <w:autoSpaceDN w:val="0"/>
        <w:adjustRightInd w:val="0"/>
        <w:snapToGrid w:val="0"/>
        <w:spacing w:line="560" w:lineRule="exact"/>
        <w:ind w:firstLine="643" w:firstLineChars="200"/>
        <w:jc w:val="left"/>
        <w:rPr>
          <w:rFonts w:ascii="仿宋_GB2312" w:eastAsia="仿宋_GB2312"/>
          <w:b/>
          <w:sz w:val="32"/>
          <w:szCs w:val="32"/>
        </w:rPr>
      </w:pPr>
      <w:r>
        <w:rPr>
          <w:rFonts w:hint="eastAsia" w:ascii="仿宋_GB2312" w:eastAsia="仿宋_GB2312"/>
          <w:b/>
          <w:sz w:val="32"/>
          <w:szCs w:val="32"/>
        </w:rPr>
        <w:t>3、部门预算较上年增减情况</w:t>
      </w:r>
    </w:p>
    <w:p>
      <w:pPr>
        <w:adjustRightInd w:val="0"/>
        <w:snapToGrid w:val="0"/>
        <w:spacing w:line="560" w:lineRule="exact"/>
        <w:ind w:firstLine="640"/>
        <w:rPr>
          <w:rFonts w:ascii="仿宋_GB2312" w:eastAsia="仿宋_GB2312"/>
          <w:sz w:val="32"/>
          <w:szCs w:val="32"/>
        </w:rPr>
      </w:pPr>
      <w:r>
        <w:rPr>
          <w:rFonts w:hint="eastAsia" w:ascii="仿宋_GB2312" w:eastAsia="仿宋_GB2312"/>
          <w:sz w:val="32"/>
          <w:szCs w:val="32"/>
        </w:rPr>
        <w:t>2021年收入预算较2020年</w:t>
      </w:r>
      <w:r>
        <w:rPr>
          <w:rFonts w:hint="eastAsia" w:ascii="仿宋_GB2312" w:eastAsia="仿宋_GB2312"/>
          <w:color w:val="000000"/>
          <w:sz w:val="32"/>
          <w:szCs w:val="32"/>
        </w:rPr>
        <w:t>增长81.66</w:t>
      </w:r>
      <w:r>
        <w:rPr>
          <w:rFonts w:hint="eastAsia" w:ascii="仿宋_GB2312" w:eastAsia="仿宋_GB2312"/>
          <w:sz w:val="32"/>
          <w:szCs w:val="32"/>
        </w:rPr>
        <w:t>万元，主要是由于人员增资和换届选举经费支出。</w:t>
      </w:r>
    </w:p>
    <w:p>
      <w:pPr>
        <w:adjustRightInd w:val="0"/>
        <w:snapToGrid w:val="0"/>
        <w:spacing w:line="560" w:lineRule="exact"/>
        <w:ind w:firstLine="640"/>
        <w:rPr>
          <w:rFonts w:ascii="仿宋_GB2312" w:eastAsia="仿宋_GB2312"/>
          <w:sz w:val="32"/>
          <w:szCs w:val="32"/>
        </w:rPr>
      </w:pPr>
      <w:r>
        <w:rPr>
          <w:rFonts w:hint="eastAsia" w:ascii="仿宋_GB2312" w:eastAsia="仿宋_GB2312"/>
          <w:sz w:val="32"/>
          <w:szCs w:val="32"/>
        </w:rPr>
        <w:t>2021年支出预算较2020年</w:t>
      </w:r>
      <w:r>
        <w:rPr>
          <w:rFonts w:hint="eastAsia" w:ascii="仿宋_GB2312" w:eastAsia="仿宋_GB2312"/>
          <w:color w:val="000000"/>
          <w:sz w:val="32"/>
          <w:szCs w:val="32"/>
        </w:rPr>
        <w:t>增长81.66</w:t>
      </w:r>
      <w:r>
        <w:rPr>
          <w:rFonts w:hint="eastAsia" w:ascii="仿宋_GB2312" w:eastAsia="仿宋_GB2312"/>
          <w:sz w:val="32"/>
          <w:szCs w:val="32"/>
        </w:rPr>
        <w:t>万元，其中：基本支出</w:t>
      </w:r>
      <w:r>
        <w:rPr>
          <w:rFonts w:hint="eastAsia" w:ascii="仿宋_GB2312" w:eastAsia="仿宋_GB2312"/>
          <w:color w:val="000000"/>
          <w:sz w:val="32"/>
          <w:szCs w:val="32"/>
        </w:rPr>
        <w:t>增长37.66</w:t>
      </w:r>
      <w:r>
        <w:rPr>
          <w:rFonts w:hint="eastAsia" w:ascii="仿宋_GB2312" w:eastAsia="仿宋_GB2312"/>
          <w:sz w:val="32"/>
          <w:szCs w:val="32"/>
        </w:rPr>
        <w:t>万元，主要是人员调入和调资等；项目支出</w:t>
      </w:r>
      <w:r>
        <w:rPr>
          <w:rFonts w:hint="eastAsia" w:ascii="仿宋_GB2312" w:eastAsia="仿宋_GB2312"/>
          <w:color w:val="000000"/>
          <w:sz w:val="32"/>
          <w:szCs w:val="32"/>
        </w:rPr>
        <w:t>增长44</w:t>
      </w:r>
      <w:r>
        <w:rPr>
          <w:rFonts w:hint="eastAsia" w:ascii="仿宋_GB2312" w:eastAsia="仿宋_GB2312"/>
          <w:sz w:val="32"/>
          <w:szCs w:val="32"/>
        </w:rPr>
        <w:t>万元，主要是用于换届选举支出。</w:t>
      </w:r>
    </w:p>
    <w:p>
      <w:pPr>
        <w:autoSpaceDE w:val="0"/>
        <w:autoSpaceDN w:val="0"/>
        <w:adjustRightInd w:val="0"/>
        <w:snapToGrid w:val="0"/>
        <w:spacing w:line="560" w:lineRule="exact"/>
        <w:ind w:firstLine="643" w:firstLineChars="200"/>
        <w:jc w:val="left"/>
        <w:rPr>
          <w:rFonts w:ascii="仿宋_GB2312" w:eastAsia="仿宋_GB2312"/>
          <w:b/>
          <w:sz w:val="32"/>
          <w:szCs w:val="32"/>
        </w:rPr>
      </w:pPr>
      <w:r>
        <w:rPr>
          <w:rFonts w:hint="eastAsia" w:ascii="仿宋_GB2312" w:eastAsia="仿宋_GB2312"/>
          <w:b/>
          <w:sz w:val="32"/>
          <w:szCs w:val="32"/>
        </w:rPr>
        <w:t>三、机关运行经费安排情况</w:t>
      </w:r>
    </w:p>
    <w:p>
      <w:pPr>
        <w:widowControl/>
        <w:adjustRightInd w:val="0"/>
        <w:snapToGrid w:val="0"/>
        <w:spacing w:line="560" w:lineRule="exact"/>
        <w:rPr>
          <w:rFonts w:ascii="仿宋_GB2312" w:eastAsia="仿宋_GB2312"/>
          <w:sz w:val="32"/>
          <w:szCs w:val="32"/>
        </w:rPr>
      </w:pPr>
      <w:r>
        <w:rPr>
          <w:rFonts w:hint="eastAsia" w:ascii="仿宋_GB2312" w:eastAsia="仿宋_GB2312"/>
          <w:sz w:val="32"/>
          <w:szCs w:val="32"/>
        </w:rPr>
        <w:t xml:space="preserve">    2021年机关运行经费79.35万元，包括包括办公8.5万元费、邮电费3.25万元、公务接待费10万元、办公用房取暖费0.3万元、公务用车运行维护费20万元、工会费5.3万元、福利费3.15万元、离退休福利费2.75万元、移动通讯补贴9.9万元、交通补贴14.9万元、离退休报刊费1.3万元。</w:t>
      </w:r>
    </w:p>
    <w:p>
      <w:pPr>
        <w:autoSpaceDE w:val="0"/>
        <w:autoSpaceDN w:val="0"/>
        <w:adjustRightInd w:val="0"/>
        <w:snapToGrid w:val="0"/>
        <w:spacing w:line="560" w:lineRule="exact"/>
        <w:ind w:firstLine="723" w:firstLineChars="225"/>
        <w:jc w:val="left"/>
        <w:rPr>
          <w:rFonts w:ascii="仿宋_GB2312" w:eastAsia="仿宋_GB2312"/>
          <w:b/>
          <w:color w:val="FF0000"/>
          <w:sz w:val="32"/>
          <w:szCs w:val="32"/>
        </w:rPr>
      </w:pPr>
      <w:r>
        <w:rPr>
          <w:rFonts w:hint="eastAsia" w:ascii="仿宋_GB2312" w:eastAsia="仿宋_GB2312"/>
          <w:b/>
          <w:sz w:val="32"/>
          <w:szCs w:val="32"/>
        </w:rPr>
        <w:t>四、财政拨款“三公”经费预算情况及增减变化原因</w:t>
      </w:r>
    </w:p>
    <w:p>
      <w:pPr>
        <w:adjustRightInd w:val="0"/>
        <w:snapToGrid w:val="0"/>
        <w:spacing w:line="560" w:lineRule="exact"/>
        <w:ind w:firstLine="720" w:firstLineChars="225"/>
        <w:rPr>
          <w:rFonts w:ascii="仿宋_GB2312" w:eastAsia="仿宋_GB2312"/>
          <w:sz w:val="32"/>
          <w:szCs w:val="32"/>
        </w:rPr>
      </w:pPr>
      <w:r>
        <w:rPr>
          <w:rFonts w:hint="eastAsia" w:ascii="仿宋_GB2312" w:eastAsia="仿宋_GB2312"/>
          <w:sz w:val="32"/>
          <w:szCs w:val="32"/>
        </w:rPr>
        <w:t>2021年，财政拨款“三公”经费预算安排50万元，比2020年</w:t>
      </w:r>
      <w:r>
        <w:rPr>
          <w:rFonts w:hint="eastAsia" w:ascii="仿宋_GB2312" w:eastAsia="仿宋_GB2312"/>
          <w:color w:val="000000"/>
          <w:sz w:val="32"/>
          <w:szCs w:val="32"/>
        </w:rPr>
        <w:t>无增减变化</w:t>
      </w:r>
      <w:r>
        <w:rPr>
          <w:rFonts w:hint="eastAsia" w:ascii="仿宋_GB2312" w:eastAsia="仿宋_GB2312"/>
          <w:sz w:val="32"/>
          <w:szCs w:val="32"/>
        </w:rPr>
        <w:t>。其中：</w:t>
      </w:r>
      <w:r>
        <w:rPr>
          <w:rFonts w:hint="eastAsia" w:ascii="仿宋_GB2312" w:eastAsia="仿宋_GB2312" w:cs="Arial Unicode MS"/>
          <w:sz w:val="32"/>
          <w:szCs w:val="32"/>
        </w:rPr>
        <w:t>①</w:t>
      </w:r>
      <w:r>
        <w:rPr>
          <w:rFonts w:hint="eastAsia" w:ascii="仿宋_GB2312" w:eastAsia="仿宋_GB2312"/>
          <w:sz w:val="32"/>
          <w:szCs w:val="32"/>
        </w:rPr>
        <w:t>因公出国（境）费0万元，比2020年</w:t>
      </w:r>
      <w:r>
        <w:rPr>
          <w:rFonts w:hint="eastAsia" w:ascii="仿宋_GB2312" w:eastAsia="仿宋_GB2312"/>
          <w:color w:val="000000"/>
          <w:sz w:val="32"/>
          <w:szCs w:val="32"/>
        </w:rPr>
        <w:t>无增减变化</w:t>
      </w:r>
      <w:r>
        <w:rPr>
          <w:rFonts w:hint="eastAsia" w:ascii="仿宋_GB2312" w:eastAsia="仿宋_GB2312"/>
          <w:sz w:val="32"/>
          <w:szCs w:val="32"/>
        </w:rPr>
        <w:t>；</w:t>
      </w:r>
      <w:r>
        <w:rPr>
          <w:rFonts w:hint="eastAsia" w:ascii="仿宋_GB2312" w:eastAsia="仿宋_GB2312" w:cs="Arial Unicode MS"/>
          <w:sz w:val="32"/>
          <w:szCs w:val="32"/>
        </w:rPr>
        <w:t>②</w:t>
      </w:r>
      <w:r>
        <w:rPr>
          <w:rFonts w:hint="eastAsia" w:ascii="仿宋_GB2312" w:eastAsia="仿宋_GB2312"/>
          <w:sz w:val="32"/>
          <w:szCs w:val="32"/>
        </w:rPr>
        <w:t>公务用车购置及运行费40万元，其中：公务用车购置费为20万元，比2020年</w:t>
      </w:r>
      <w:r>
        <w:rPr>
          <w:rFonts w:hint="eastAsia" w:ascii="仿宋_GB2312" w:eastAsia="仿宋_GB2312"/>
          <w:color w:val="000000"/>
          <w:sz w:val="32"/>
          <w:szCs w:val="32"/>
        </w:rPr>
        <w:t>无增减变化</w:t>
      </w:r>
      <w:r>
        <w:rPr>
          <w:rFonts w:hint="eastAsia" w:ascii="仿宋_GB2312" w:eastAsia="仿宋_GB2312"/>
          <w:sz w:val="32"/>
          <w:szCs w:val="32"/>
        </w:rPr>
        <w:t>；公务用车运行费20万元，比2020年</w:t>
      </w:r>
      <w:r>
        <w:rPr>
          <w:rFonts w:hint="eastAsia" w:ascii="仿宋_GB2312" w:eastAsia="仿宋_GB2312"/>
          <w:color w:val="000000"/>
          <w:sz w:val="32"/>
          <w:szCs w:val="32"/>
        </w:rPr>
        <w:t>无增减变化</w:t>
      </w:r>
      <w:r>
        <w:rPr>
          <w:rFonts w:hint="eastAsia" w:ascii="仿宋_GB2312" w:eastAsia="仿宋_GB2312"/>
          <w:sz w:val="32"/>
          <w:szCs w:val="32"/>
        </w:rPr>
        <w:t>；</w:t>
      </w:r>
      <w:r>
        <w:rPr>
          <w:rFonts w:hint="eastAsia" w:ascii="仿宋_GB2312" w:eastAsia="仿宋_GB2312" w:cs="Arial Unicode MS"/>
          <w:sz w:val="32"/>
          <w:szCs w:val="32"/>
        </w:rPr>
        <w:t>③</w:t>
      </w:r>
      <w:r>
        <w:rPr>
          <w:rFonts w:hint="eastAsia" w:ascii="仿宋_GB2312" w:eastAsia="仿宋_GB2312"/>
          <w:sz w:val="32"/>
          <w:szCs w:val="32"/>
        </w:rPr>
        <w:t>公务接待费10万元，比2020年</w:t>
      </w:r>
      <w:r>
        <w:rPr>
          <w:rFonts w:hint="eastAsia" w:ascii="仿宋_GB2312" w:eastAsia="仿宋_GB2312"/>
          <w:color w:val="000000"/>
          <w:sz w:val="32"/>
          <w:szCs w:val="32"/>
        </w:rPr>
        <w:t>无增减变化</w:t>
      </w:r>
      <w:r>
        <w:rPr>
          <w:rFonts w:hint="eastAsia" w:ascii="仿宋_GB2312" w:eastAsia="仿宋_GB2312"/>
          <w:sz w:val="32"/>
          <w:szCs w:val="32"/>
        </w:rPr>
        <w:t>。</w:t>
      </w:r>
    </w:p>
    <w:p>
      <w:pPr>
        <w:autoSpaceDE w:val="0"/>
        <w:autoSpaceDN w:val="0"/>
        <w:adjustRightInd w:val="0"/>
        <w:snapToGrid w:val="0"/>
        <w:spacing w:line="560" w:lineRule="exact"/>
        <w:ind w:left="198" w:firstLine="643" w:firstLineChars="200"/>
        <w:jc w:val="left"/>
        <w:rPr>
          <w:rFonts w:ascii="仿宋_GB2312" w:eastAsia="仿宋_GB2312"/>
          <w:b/>
          <w:color w:val="FF0000"/>
          <w:sz w:val="32"/>
          <w:szCs w:val="32"/>
        </w:rPr>
      </w:pPr>
      <w:r>
        <w:rPr>
          <w:rFonts w:hint="eastAsia" w:ascii="仿宋_GB2312" w:eastAsia="仿宋_GB2312"/>
          <w:b/>
          <w:sz w:val="32"/>
          <w:szCs w:val="32"/>
        </w:rPr>
        <w:t>五、绩效预算信息</w:t>
      </w:r>
    </w:p>
    <w:p>
      <w:pPr>
        <w:adjustRightInd w:val="0"/>
        <w:snapToGrid w:val="0"/>
        <w:spacing w:line="560" w:lineRule="exact"/>
        <w:ind w:firstLine="640" w:firstLineChars="200"/>
        <w:jc w:val="left"/>
        <w:rPr>
          <w:rFonts w:ascii="仿宋_GB2312" w:eastAsia="仿宋_GB2312" w:cs="宋体"/>
          <w:sz w:val="32"/>
          <w:szCs w:val="32"/>
        </w:rPr>
      </w:pPr>
      <w:r>
        <w:rPr>
          <w:rFonts w:hint="eastAsia" w:ascii="仿宋_GB2312" w:eastAsia="仿宋_GB2312" w:cs="宋体"/>
          <w:sz w:val="32"/>
          <w:szCs w:val="32"/>
        </w:rPr>
        <w:t>第一部分 部门整体绩效目标</w:t>
      </w:r>
    </w:p>
    <w:p>
      <w:pPr>
        <w:spacing w:line="500" w:lineRule="exact"/>
        <w:ind w:firstLine="640" w:firstLineChars="200"/>
        <w:jc w:val="left"/>
        <w:rPr>
          <w:rFonts w:ascii="仿宋_GB2312" w:eastAsia="仿宋_GB2312"/>
          <w:sz w:val="32"/>
          <w:szCs w:val="32"/>
        </w:rPr>
      </w:pPr>
      <w:r>
        <w:rPr>
          <w:rFonts w:hint="eastAsia" w:ascii="仿宋_GB2312" w:eastAsia="仿宋_GB2312" w:cs="宋体"/>
          <w:sz w:val="32"/>
          <w:szCs w:val="32"/>
        </w:rPr>
        <w:t>（一）</w:t>
      </w:r>
      <w:r>
        <w:rPr>
          <w:rFonts w:hint="eastAsia" w:ascii="仿宋_GB2312" w:eastAsia="仿宋_GB2312"/>
          <w:sz w:val="32"/>
          <w:szCs w:val="32"/>
        </w:rPr>
        <w:t>总体绩效目标：2021年将组织开展《优化营商环境条例》执法检查；听取全区环境状况和环境保护工作情况报告；完善国有资产管理监督机制，出台相关制度，作出相应决定；探索开展“参与式”预算审查，加强事前、事中、事后三位一体的预算审查监督。聚焦民生福祉，围绕义务教育资源均衡布局，职业教育发展，“六位一体”（社区党建、居民自治、社区服务、物业管理、社区教育、社会治安）社区建设，医疗专业人才等方面开展监督，重在强化监督刚性，提高监督实效。围绕民主法治建设，围绕学习贯彻《民法典》加强宣传，开展监督，作出决定，营造学习贯彻氛围；对《未成年人保护法》贯彻落实情况进行跟踪监督，深化监督实效；深入开展规范性文件备案审查工作，实现规范化、常态化；做好法官、检察官履职评议收官总结工作；继续开展对政府部门主要负责同志履职评议。</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依法组织指导区乡两级人大换届选举工作。组织专门力量，搞好工作人员业务培训，确保选举工作依法有序推进。深入发挥“代表家站”和“智慧人大”平台作用。以争创“三好代表”活动为统领，着力提高代表贡献率和活跃度，引导代表在服务发展大局、紧密联系群众、为民排忧解难上发挥独特作用。抓好代表建议督办。加强跟踪督办和重点督办，切实提高办成率和落实率。</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完善工作制度，加强业务培训，不断提高常委会把握大局能力和依法履职水平。抓好人大宣传，发挥各类媒体平台作用，拓展宣传广度和深度，讲好新时代人大故事，让人大制度深入人心、彰显优势。</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（二）分项绩效目标：</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1、人大监督</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促进各项法律法规、人大决议、报告等的落实；促进“一府一委两院”改进工作；提高规范性文件质量；促进社会和谐稳定</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2、人大会议</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完善各项会议制度，规范会议程序，提高会议质量，提高人大代表及常委会审议水平。</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3、选举和任免</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依法组织指导区乡两级人大换届选举工作，确保换届选举工作顺利完成，实现区委人事安排部署；提高组织换届选举工作水平。高质量完成国家机关领导人选举和常委会人事任免服务工作。</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4、人大事</w:t>
      </w:r>
      <w:r>
        <w:rPr>
          <w:rFonts w:hint="eastAsia" w:ascii="仿宋_GB2312" w:eastAsia="仿宋_GB2312" w:cs="宋体"/>
          <w:sz w:val="32"/>
          <w:szCs w:val="32"/>
        </w:rPr>
        <w:t>务</w:t>
      </w:r>
      <w:r>
        <w:rPr>
          <w:rFonts w:hint="eastAsia" w:ascii="仿宋_GB2312" w:eastAsia="仿宋_GB2312" w:cs="Batang"/>
          <w:sz w:val="32"/>
          <w:szCs w:val="32"/>
        </w:rPr>
        <w:t>管理</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完善工作制度，加强业务培训，不断提高常委会把握大局能力和依法履职水平。促进机关自身建设、服务保障能力进一步提升。</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（三）工作保障措施：</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1、依法行使重大事项决定权。围绕推动区委决策部署的贯彻落实，把事关全区改革发展稳定和人民群众切身利益的重大事项、重大问题适时列入常委会会议议题，在深入调查的基础上，依法作出决议、决定。进一步健全讨论、决定重大事项的程序和制度，推行政府重大决策出台前向常委会报告制度，及时将区委重大决策部署通过法定程序转化为全区人民的共同意志和具体行动，更好地推动重大决策的科学化、民主化。</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2、认真做好人事任免工作。坚持党管干部和人大依法任免有机统一，通过法定程序实现区委人事安排意图，为国家机关高效运转提供有力组织保证。健全人大常委会任免工作机制，不断完善任前了解、法律知识考试、主任会议审议、拟任职人员作供职报告、人大常委会会议审议表决、颁发任命书、向宪法宣誓等制度，增强任命人员的公仆意识、法治意识、责任意识和人民意识。</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3、强化决议决定落实监督。认真做好区人大及常委会决议决定的交办、反馈工作，通过听取审议报告、满意度测评和组织人大代表视察检查等方式，促进各项决议、决定落到实处。</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4、突出政府专项工作监督。聚焦改革发展稳定全局的重大问题，加强工作监督。常委会将重点听取和审议区政府的专项报告。同时，组织部分省、市、区人大代表开展重点项目视察。</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5、严格计划财政审查监督。一是听取和审议区政府关于国民经济和社会发展计划执行情况的报告、区政府关于财政预算执行情况的报告。二是听取和审议区政府关于区本级预算执行及其他财政收支情况审计工作报告。三是根据需要，听取区政府关于财政预算调整情况的报告，并作出相应决定。四是适时安排听取政府债务情况的专项报告。</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6、围绕民生热点问题进行监督。关注人民群众普遍关注的热点、难点问题，加大监督力度，常委会将听取和审议区政府专项工作报告。</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7、开展法律法规实施情况监督。主动适应全面推进依法治区新形势，加强对法律法规实施情况的监督检查，保证法律法规得到正确有效实施。加强备案和报告事项审查能力建设，严格做到“有件必备、有备必审、有错必纠”，切实维护国家法制统一。</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8、加强司法监督。加强对区法院、区检察院及司法机关的监督，为全区经济社会发展提供公正、权威、高效的司法保障。围绕学习贯彻《民法典》加强宣传，开展监督，作出决定，营造学习贯彻氛围；对《未成年人保护法》贯彻落实情况进行跟踪监督，深化监督实效；深入开展规范性文件备案审查工作，实现规范化、常态化；做好法官、检察官履职评工作。</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9、关注监察机关运转情况，积极探索、强化监督方式方法，适时听取区监察委员会成立运转情况的专项报告。</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10、开展对政府所属部门工作评议。通过调研、评议、整改等环节对部分政府所属部门进行工作评议。促进被评议部门进一步增强法律意识、责任意识、服务意识和自觉接受监督的意识，更好的改进工作，提高履职水平。</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11、做好信访工作监督。认真做好来信来访的受理、分析、交办、督查、督办和反馈各项工作，加大重要信访件督办力度。</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12、积极改进监督方式方法。围绕部分常委会审议议题，提前进行调研，持续跟踪问效，更多采取上下联动的形式开展执法检查，扩大人大监督的效果和影响。建立专家咨询库，进行预决算草案初步审查时，听取有关专家意见。成立由法律专业人员组成的司法监督咨询委员会，为区人大常委会开展司法监督工作提供咨询和意见。充分发挥法制、财经、城环、教科文卫、选任代五个专门委员会的作用，增强监督效能。 </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13、创新联系机制。坚持常委会组成人员联系代表制度，邀请代表列席常委会会议和参加执法检查、视察调研、专题询问等活动，拓宽代表知情知政渠道，扩大代表有序政治参与。深入发挥“代表家站”和“智慧人大”平台作用，强化管理，充实内容，广泛开展丰富多彩的活动，特别是组织开展“代表回选区、见选民”活动，密切代表与选民群众的联系。</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14、创新办理机制。以提高代表议案建议的提出和办理水平为目标，积极创新“提、督、问、评”的办理工作机制。创新综合分析机制，提前布置，把好初审，增强代表议案建议的科学性、合法性、普惠性和可操作性；创新办理机制，规范交办、督办和答复要求，实现办理过程和结果的“双满意”；完善监督机制，适时听取办理情况汇报，公开议案建议内容、承办单位和办理结果，通过社会监督提升办理实效；完善绩效评价机制，探索建立科学的评价问责体系，努力提高办成率。</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15、创新履职机制。加强代表履职的组织引领和服务推动，有计划地安排代表闭会期间活动。通过组织业务培训、观摩交流、健全履职档案，规范代表管理，实现代表履职常态化。探索更多、更有效的代表活动方式，以争创“三好代表”活动为统领，着力提高代表贡献率和活跃度，引导代表在服务发展大局、紧密联系群众、为民排忧解难上发挥独特作用。</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16、加强思想作风建设。牢固树立政治意识、大局意识、责任意识和看齐意识，做到讲政治、顾大局、懂规矩、守纪律，在思想上政治上行动上与区委保持高度一致。注重发挥区人大党组的领导核心作用，坚持重大事项、重要工作向区委请示报告制度，自觉把坚持党的领导贯穿于人大履职的全过程、各方面。</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17、加强履职能力建设。紧紧围绕全区中心工作、常委会年度履职重点、社会关切热点等事项，深入、系统地开展调查研究，广泛汇聚各方智慧，为区委、区政府决策和常委会审议提供参考依据、夯实民意基础。</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18、加强宣传信息工作。充分发挥丰南人大微信公众号、“代表家站”和“智慧人大”平台作用，为人大工作开展营造良好社会环境。加强向省、市人大信息载体的反馈力度，宣传我区人大工作好的经验和做法。推进人代会和常委会电子表决系统的使用，以信息化促进人大工作科学化、民主化、法治化。</w:t>
      </w:r>
    </w:p>
    <w:p>
      <w:pPr>
        <w:spacing w:line="500" w:lineRule="exact"/>
        <w:jc w:val="left"/>
        <w:rPr>
          <w:rFonts w:eastAsia="方正仿宋_GBK"/>
          <w:sz w:val="28"/>
        </w:rPr>
      </w:pPr>
    </w:p>
    <w:p>
      <w:pPr>
        <w:spacing w:line="500" w:lineRule="exact"/>
        <w:jc w:val="left"/>
        <w:rPr>
          <w:rFonts w:eastAsia="方正仿宋_GBK"/>
          <w:sz w:val="28"/>
        </w:rPr>
      </w:pPr>
    </w:p>
    <w:p>
      <w:pPr>
        <w:adjustRightInd w:val="0"/>
        <w:snapToGrid w:val="0"/>
        <w:spacing w:line="560" w:lineRule="exact"/>
        <w:ind w:firstLine="640" w:firstLineChars="200"/>
        <w:jc w:val="left"/>
        <w:outlineLvl w:val="0"/>
        <w:rPr>
          <w:rFonts w:ascii="仿宋_GB2312" w:eastAsia="仿宋_GB2312"/>
          <w:sz w:val="32"/>
          <w:szCs w:val="32"/>
        </w:rPr>
      </w:pPr>
    </w:p>
    <w:p>
      <w:pPr>
        <w:adjustRightInd w:val="0"/>
        <w:snapToGrid w:val="0"/>
        <w:spacing w:line="560" w:lineRule="exact"/>
        <w:ind w:firstLine="640" w:firstLineChars="200"/>
        <w:jc w:val="left"/>
        <w:outlineLvl w:val="0"/>
        <w:rPr>
          <w:rFonts w:ascii="仿宋_GB2312" w:eastAsia="仿宋_GB2312"/>
          <w:sz w:val="32"/>
          <w:szCs w:val="32"/>
        </w:rPr>
      </w:pPr>
      <w:r>
        <w:rPr>
          <w:rFonts w:hint="eastAsia" w:ascii="仿宋_GB2312" w:eastAsia="仿宋_GB2312"/>
          <w:sz w:val="32"/>
          <w:szCs w:val="32"/>
        </w:rPr>
        <w:t>第二部分 专项资金绩效目标</w:t>
      </w:r>
    </w:p>
    <w:p>
      <w:pPr>
        <w:adjustRightInd w:val="0"/>
        <w:snapToGrid w:val="0"/>
        <w:spacing w:line="560" w:lineRule="exact"/>
        <w:ind w:firstLine="640" w:firstLineChars="200"/>
        <w:jc w:val="left"/>
        <w:outlineLvl w:val="0"/>
        <w:rPr>
          <w:rFonts w:ascii="仿宋_GB2312" w:eastAsia="仿宋_GB2312"/>
          <w:sz w:val="32"/>
          <w:szCs w:val="32"/>
        </w:rPr>
      </w:pPr>
      <w:r>
        <w:rPr>
          <w:rFonts w:hint="eastAsia" w:ascii="仿宋_GB2312" w:eastAsia="仿宋_GB2312"/>
          <w:sz w:val="32"/>
          <w:szCs w:val="32"/>
        </w:rPr>
        <w:t>无</w:t>
      </w:r>
    </w:p>
    <w:p>
      <w:pPr>
        <w:adjustRightInd w:val="0"/>
        <w:snapToGrid w:val="0"/>
        <w:spacing w:line="560" w:lineRule="exact"/>
        <w:ind w:firstLine="640" w:firstLineChars="200"/>
        <w:jc w:val="left"/>
        <w:outlineLvl w:val="0"/>
        <w:rPr>
          <w:rFonts w:ascii="仿宋_GB2312" w:eastAsia="仿宋_GB2312"/>
          <w:sz w:val="32"/>
          <w:szCs w:val="32"/>
        </w:rPr>
      </w:pPr>
      <w:r>
        <w:rPr>
          <w:rFonts w:hint="eastAsia" w:ascii="仿宋_GB2312" w:eastAsia="仿宋_GB2312"/>
          <w:sz w:val="32"/>
          <w:szCs w:val="32"/>
        </w:rPr>
        <w:t>第三部分 预算项目绩效目标</w:t>
      </w:r>
    </w:p>
    <w:p>
      <w:pPr>
        <w:ind w:firstLine="640" w:firstLineChars="200"/>
        <w:jc w:val="left"/>
        <w:outlineLvl w:val="3"/>
        <w:rPr>
          <w:rFonts w:ascii="仿宋_GB2312" w:eastAsia="仿宋_GB2312"/>
          <w:sz w:val="32"/>
          <w:szCs w:val="32"/>
        </w:rPr>
      </w:pPr>
      <w:bookmarkStart w:id="0" w:name="_Toc65072297"/>
      <w:r>
        <w:rPr>
          <w:rFonts w:hint="eastAsia" w:ascii="仿宋_GB2312" w:eastAsia="仿宋_GB2312"/>
          <w:sz w:val="32"/>
          <w:szCs w:val="32"/>
        </w:rPr>
        <w:t>1.人大会议费绩效目标表</w:t>
      </w:r>
      <w:bookmarkEnd w:id="0"/>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1302072106YK5E71GS7E4</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人大会议费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38.00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38.00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区人大常委会的工作安排，用于每年召开的区人代会费用。受疫情影响，2021年预计支出38万元。其中，各代表团用餐约9万元；住宿约12万元；购置办公用品、制作证件等9万元；工作人员用餐约2万元；印制会议资料约4万元；参会人员核酸检测约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1.2021年1月召开区六届人大五次会议。</w:t>
            </w:r>
          </w:p>
        </w:tc>
      </w:tr>
    </w:tbl>
    <w:p>
      <w:pPr>
        <w:spacing w:line="14" w:lineRule="exact"/>
        <w:jc w:val="center"/>
      </w:pPr>
      <w:r>
        <w:rPr>
          <w:rFonts w:hint="eastAsia"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代表参会率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代表参加会的比例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&gt;95%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区人大常委会工作安排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会议任务的完成率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各项议程的完成情况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区人大常委会工作安排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会议支出节支率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会议费的节约情况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区人大常委会工作安排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对我区的建设和发展的促进作用</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推动我区的建设和发展</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有力促进</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区人大常委会工作安排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反映社会对会议的关注程度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群众对会议召开的关注程度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&gt;90%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区人大常委会工作安排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反映社会对会议的关注程度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群众对会议召开的关注程度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&gt;90%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区人大常委会工作安排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代表对会议组织的满意程度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反映会议召开的圆满程度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区人大常委会工作安排</w:t>
            </w:r>
          </w:p>
        </w:tc>
      </w:tr>
    </w:tbl>
    <w:p>
      <w:pPr>
        <w:spacing w:line="300" w:lineRule="exact"/>
        <w:jc w:val="left"/>
        <w:sectPr>
          <w:footerReference r:id="rId3" w:type="default"/>
          <w:pgSz w:w="11907" w:h="16839"/>
          <w:pgMar w:top="1984" w:right="1304" w:bottom="1134" w:left="1304" w:header="851" w:footer="992" w:gutter="0"/>
          <w:cols w:space="720" w:num="1"/>
          <w:docGrid w:type="lines" w:linePitch="312" w:charSpace="0"/>
        </w:sectPr>
      </w:pPr>
    </w:p>
    <w:p>
      <w:pPr>
        <w:spacing w:line="300" w:lineRule="exact"/>
        <w:jc w:val="left"/>
      </w:pPr>
    </w:p>
    <w:p>
      <w:pPr>
        <w:ind w:firstLine="640" w:firstLineChars="200"/>
        <w:jc w:val="left"/>
        <w:outlineLvl w:val="3"/>
        <w:rPr>
          <w:rFonts w:ascii="仿宋_GB2312" w:eastAsia="仿宋_GB2312"/>
          <w:sz w:val="32"/>
          <w:szCs w:val="32"/>
        </w:rPr>
      </w:pPr>
      <w:bookmarkStart w:id="1" w:name="_Toc65072298"/>
      <w:r>
        <w:rPr>
          <w:rFonts w:hint="eastAsia" w:ascii="仿宋_GB2312" w:eastAsia="仿宋_GB2312"/>
          <w:sz w:val="32"/>
          <w:szCs w:val="32"/>
        </w:rPr>
        <w:t>2.业务费绩效目标表</w:t>
      </w:r>
      <w:bookmarkEnd w:id="1"/>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13020721EX5VIIVI6B9CE</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业务费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105.00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105.00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区人大常委会工作安排，2021年区人大常委会机关自身建设需业务费105万元。其中自身建设办公费18万元；编辑会刊及印制学习培训资料10万元；组织各专门委员会成员及机关工作人员学习、培训差旅费30万元，培训费30万元；组织主任会议、常委会等会议费7万元；制作代表宣传片等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1.突出中心工作，高效率办文，高标准办会、确保人大常委会高效运转。积极改善机关办公条件,合理调度管理车辆，为各项工作开展提供保障。深化机关规范化建设，加强业务培训，提升机关工作活力。</w:t>
            </w:r>
          </w:p>
        </w:tc>
      </w:tr>
    </w:tbl>
    <w:p>
      <w:pPr>
        <w:spacing w:line="14" w:lineRule="exact"/>
        <w:jc w:val="center"/>
      </w:pPr>
      <w:r>
        <w:rPr>
          <w:rFonts w:hint="eastAsia"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工作人员参加培训率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机关工作人员参加培训的比例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&gt;95%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区人大常委会工作安排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会刊的编辑及印刷完成率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会刊的编辑和印刷的完成情况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区人大常委会工作安排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经费节约率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自身建设经费的节约情况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区人大常委会工作安排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自身建设提高率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机关自身建设的提高情况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显著提高</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区人大常委会工作安排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综合业务管理工作完成率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综合业务管理工作完成率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&gt;95%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区人大常委会工作安排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人大工作的宣传报道完成率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对人大工作的宣传报道的情况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&gt;95%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区人大常委会工作安排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工作人员的满意率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工作人员对机关自身建设的满意情况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&gt;95%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区人大常委会工作安排</w:t>
            </w:r>
          </w:p>
        </w:tc>
      </w:tr>
    </w:tbl>
    <w:p>
      <w:pPr>
        <w:spacing w:line="300" w:lineRule="exact"/>
        <w:jc w:val="left"/>
        <w:sectPr>
          <w:pgSz w:w="11907" w:h="16839"/>
          <w:pgMar w:top="1984" w:right="1304" w:bottom="1134" w:left="1304" w:header="851" w:footer="992" w:gutter="0"/>
          <w:cols w:space="720" w:num="1"/>
          <w:docGrid w:type="lines" w:linePitch="312" w:charSpace="0"/>
        </w:sectPr>
      </w:pPr>
    </w:p>
    <w:p>
      <w:pPr>
        <w:spacing w:line="300" w:lineRule="exact"/>
        <w:jc w:val="left"/>
      </w:pPr>
    </w:p>
    <w:p>
      <w:pPr>
        <w:ind w:firstLine="640" w:firstLineChars="200"/>
        <w:jc w:val="left"/>
        <w:outlineLvl w:val="3"/>
        <w:rPr>
          <w:rFonts w:ascii="仿宋_GB2312" w:eastAsia="仿宋_GB2312"/>
          <w:sz w:val="32"/>
          <w:szCs w:val="32"/>
        </w:rPr>
      </w:pPr>
      <w:bookmarkStart w:id="2" w:name="_Toc65072299"/>
      <w:r>
        <w:rPr>
          <w:rFonts w:hint="eastAsia" w:ascii="仿宋_GB2312" w:eastAsia="仿宋_GB2312"/>
          <w:sz w:val="32"/>
          <w:szCs w:val="32"/>
        </w:rPr>
        <w:t>3.换届选举经费绩效目标表</w:t>
      </w:r>
      <w:bookmarkEnd w:id="2"/>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13020721FZE78IDD1M14C</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换届选举经费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50.00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50.00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用于我区2021年换届选举办公经费。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1.按照省市换届选举工作安排，预计2021年12月底之前完我区换届选举工作。</w:t>
            </w:r>
          </w:p>
        </w:tc>
      </w:tr>
    </w:tbl>
    <w:p>
      <w:pPr>
        <w:spacing w:line="14" w:lineRule="exact"/>
        <w:jc w:val="center"/>
      </w:pPr>
      <w:r>
        <w:rPr>
          <w:rFonts w:hint="eastAsia"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按期完成情况</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换届选举按期完成</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区人大常委会工作安排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换届选举工作完成率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已完成的换届选举工作量占应换届选举量的比例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区人大常委会工作安排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换届选举经费节支率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换届选举经费的节约情况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区人大常委会工作安排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对我区的建设和发展的促进作用</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推动我区的建设和发展</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有力促进</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区人大常委会工作安排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政治任务实现率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实际完成的政治任务占计划实现的政治任务的比例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完全实现</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区人大常委会工作安排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反映社会对会议的关注程度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群众对会议召开的关注程度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&gt;90%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区人大常委会工作安排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选民对换届选举工作的满意程度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选民对换届选举工作的满意程度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&gt;95%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区人大常委会工作安排</w:t>
            </w:r>
          </w:p>
        </w:tc>
      </w:tr>
    </w:tbl>
    <w:p>
      <w:pPr>
        <w:spacing w:line="300" w:lineRule="exact"/>
        <w:jc w:val="left"/>
        <w:sectPr>
          <w:pgSz w:w="11907" w:h="16839"/>
          <w:pgMar w:top="1984" w:right="1304" w:bottom="1134" w:left="1304" w:header="851" w:footer="992" w:gutter="0"/>
          <w:cols w:space="720" w:num="1"/>
          <w:docGrid w:type="lines" w:linePitch="312" w:charSpace="0"/>
        </w:sectPr>
      </w:pPr>
    </w:p>
    <w:p>
      <w:pPr>
        <w:spacing w:line="300" w:lineRule="exact"/>
        <w:jc w:val="left"/>
      </w:pPr>
    </w:p>
    <w:p>
      <w:pPr>
        <w:ind w:firstLine="640" w:firstLineChars="200"/>
        <w:jc w:val="left"/>
        <w:outlineLvl w:val="3"/>
        <w:rPr>
          <w:rFonts w:ascii="仿宋_GB2312" w:eastAsia="仿宋_GB2312"/>
          <w:sz w:val="32"/>
          <w:szCs w:val="32"/>
        </w:rPr>
      </w:pPr>
      <w:bookmarkStart w:id="3" w:name="_Toc65072300"/>
      <w:r>
        <w:rPr>
          <w:rFonts w:hint="eastAsia" w:ascii="仿宋_GB2312" w:eastAsia="仿宋_GB2312"/>
          <w:sz w:val="32"/>
          <w:szCs w:val="32"/>
        </w:rPr>
        <w:t>4.人大代表之家（联络站）运行经费绩效目标表</w:t>
      </w:r>
      <w:bookmarkEnd w:id="3"/>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13020721G3QX3POUQKLB1</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人大代表之家（联络站）运行经费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37.50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37.50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我区现有代表之家18个，代表联络站49个，承担着各级代表与选民的桥梁纽带作用，为保障家站的顺利运行，约需经费37.5万元。其中；日常办公经费约15万元，学习交流差旅费12万元，资料印刷等10万元，代表的误工补贴0.5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1.强对代表家站活动的指导，充分发挥代表家站作用。进一步拓宽代表参与人大各项工作的渠道，依托“五星级”代表家站创建工作，推进高标准建设、高质量管理、高效能运行。继续开展“拓宽联系选民渠道、增强代表履职实效”、“访民情、汇民智、解民忧、促发展”等一系列活动，为人大代表建言献策、依法履职积极创造条件，搭建平台。</w:t>
            </w:r>
          </w:p>
        </w:tc>
      </w:tr>
    </w:tbl>
    <w:p>
      <w:pPr>
        <w:spacing w:line="14" w:lineRule="exact"/>
        <w:jc w:val="center"/>
      </w:pPr>
      <w:r>
        <w:rPr>
          <w:rFonts w:hint="eastAsia"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代表参加活动率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代表实际参加各项活动的情况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&gt;95%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区人大常委会工作安排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代表参加培训率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代表参加各项培训情况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区人大常委会工作安排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家站的运行成本</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运行成本的节支率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区人大常委会工作安排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代表自身素质的提高率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代表自身素质的提高情况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&gt;90%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区人大常委会工作安排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代表履职能力的提高</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代表履职能力的提高情况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显著提高</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区人大常委会工作安排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各级代表对我区发展的促进情况</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各级代表对我区发展的促进情况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有效促进</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区人大常委会工作安排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各级代表的满意程度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各级代表对家（站）工作的满意程度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&gt;95%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区人大常委会工作安排</w:t>
            </w:r>
          </w:p>
        </w:tc>
      </w:tr>
    </w:tbl>
    <w:p>
      <w:pPr>
        <w:spacing w:line="300" w:lineRule="exact"/>
        <w:jc w:val="left"/>
        <w:sectPr>
          <w:pgSz w:w="11907" w:h="16839"/>
          <w:pgMar w:top="1984" w:right="1304" w:bottom="1134" w:left="1304" w:header="851" w:footer="992" w:gutter="0"/>
          <w:cols w:space="720" w:num="1"/>
          <w:docGrid w:type="lines" w:linePitch="312" w:charSpace="0"/>
        </w:sectPr>
      </w:pPr>
    </w:p>
    <w:p>
      <w:pPr>
        <w:spacing w:line="300" w:lineRule="exact"/>
        <w:jc w:val="left"/>
      </w:pPr>
    </w:p>
    <w:p>
      <w:pPr>
        <w:ind w:firstLine="640" w:firstLineChars="200"/>
        <w:jc w:val="left"/>
        <w:outlineLvl w:val="3"/>
        <w:rPr>
          <w:rFonts w:ascii="仿宋_GB2312" w:eastAsia="仿宋_GB2312"/>
          <w:sz w:val="32"/>
          <w:szCs w:val="32"/>
        </w:rPr>
      </w:pPr>
      <w:bookmarkStart w:id="4" w:name="_Toc65072301"/>
      <w:r>
        <w:rPr>
          <w:rFonts w:hint="eastAsia" w:ascii="仿宋_GB2312" w:eastAsia="仿宋_GB2312"/>
          <w:sz w:val="32"/>
          <w:szCs w:val="32"/>
        </w:rPr>
        <w:t>5.公务车购置绩效目标表</w:t>
      </w:r>
      <w:bookmarkEnd w:id="4"/>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13020721QEDWIO32Y3YO2</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公务车购置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20.00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20.00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经区政府批准，2021年计划购置18万元以内、排气量1.8升（含）以下公务车1辆，约需资金20万元（含车辆购置税）。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1.根据车辆控办批准情况，预计10月底之前完成车辆购置工作。</w:t>
            </w:r>
          </w:p>
        </w:tc>
      </w:tr>
    </w:tbl>
    <w:p>
      <w:pPr>
        <w:spacing w:line="14" w:lineRule="exact"/>
        <w:jc w:val="center"/>
      </w:pPr>
      <w:r>
        <w:rPr>
          <w:rFonts w:hint="eastAsia"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公车购置数量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按计划购置公车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一辆</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购车合同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质量合格率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公务车的合格率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及时购置程度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及时购置情况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购车合同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公务出行节支率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公务出行的节约情况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&gt;5%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常委会工作计划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保障机关正常运行能力</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保障机关的正常出行需要</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有力保障</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常委会工作计划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长期使用性</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保障公务车使用性</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保障出行</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常委会工作计划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单位用车满意率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单位公车出行的满意程度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&gt;90%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常委会工作计划</w:t>
            </w:r>
          </w:p>
        </w:tc>
      </w:tr>
    </w:tbl>
    <w:p>
      <w:pPr>
        <w:spacing w:line="300" w:lineRule="exact"/>
        <w:jc w:val="left"/>
        <w:sectPr>
          <w:pgSz w:w="11907" w:h="16839"/>
          <w:pgMar w:top="1984" w:right="1304" w:bottom="1134" w:left="1304" w:header="851" w:footer="992" w:gutter="0"/>
          <w:cols w:space="720" w:num="1"/>
          <w:docGrid w:type="lines" w:linePitch="312" w:charSpace="0"/>
        </w:sectPr>
      </w:pPr>
    </w:p>
    <w:p>
      <w:pPr>
        <w:spacing w:line="300" w:lineRule="exact"/>
        <w:jc w:val="left"/>
      </w:pPr>
    </w:p>
    <w:p>
      <w:pPr>
        <w:ind w:firstLine="640" w:firstLineChars="200"/>
        <w:jc w:val="left"/>
        <w:outlineLvl w:val="3"/>
        <w:rPr>
          <w:rFonts w:ascii="仿宋_GB2312" w:eastAsia="仿宋_GB2312"/>
          <w:sz w:val="32"/>
          <w:szCs w:val="32"/>
        </w:rPr>
      </w:pPr>
      <w:bookmarkStart w:id="5" w:name="_Toc65072302"/>
      <w:r>
        <w:rPr>
          <w:rFonts w:hint="eastAsia" w:ascii="仿宋_GB2312" w:eastAsia="仿宋_GB2312"/>
          <w:sz w:val="32"/>
          <w:szCs w:val="32"/>
        </w:rPr>
        <w:t>6.区代表活动经费绩效目标表</w:t>
      </w:r>
      <w:bookmarkEnd w:id="5"/>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13020721SGOHVUEYES6NG</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区代表活动经费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25.00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25.00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按照区人大常委会的工作安排，为提高常委会组成人员的履职能力，计划分批到外地学习培训业务知识。2021年预计支出25万元，其中，培训费20万元，差旅费5万元。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1.按照区人大常委会工作安排，计划安排约50人次，分批到全国人大培训基地和其他省市培训中心学习培训，提高常委会组成人员的履职能力。</w:t>
            </w:r>
          </w:p>
        </w:tc>
      </w:tr>
    </w:tbl>
    <w:p>
      <w:pPr>
        <w:spacing w:line="14" w:lineRule="exact"/>
        <w:jc w:val="center"/>
      </w:pPr>
      <w:r>
        <w:rPr>
          <w:rFonts w:hint="eastAsia"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培训覆盖率（%）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培训覆盖率=培训对象数量/应覆盖对象数量*100%</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区人大常委会工作计划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质量合格率会议培训资料管理情况</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会议培训资料及相关档案管理情况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区人大常委会工作计划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培训计划按期完成率（%）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及时购置情况培训计划按期完成率=按期完成的培训计划/总培训计划*100%</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区人大常委会工作计划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对会议质量的提升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对常委会会议质量的提升情况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显著提高</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区人大常委会工作计划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推动人大工作的发展</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推动我区人大工作的发展情况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有力促进</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区人大常委会工作计划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履职能力水平</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履职能力水平的提升情况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显著提高</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区人大常委会工作计划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参训人员对培训的满意度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常委会组成人员对培训的满意程度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&gt;95%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区人大常委会工作计划</w:t>
            </w:r>
          </w:p>
        </w:tc>
      </w:tr>
    </w:tbl>
    <w:p>
      <w:pPr>
        <w:spacing w:line="300" w:lineRule="exact"/>
        <w:jc w:val="left"/>
        <w:sectPr>
          <w:pgSz w:w="11907" w:h="16839"/>
          <w:pgMar w:top="1984" w:right="1304" w:bottom="1134" w:left="1304" w:header="851" w:footer="992" w:gutter="0"/>
          <w:cols w:space="720" w:num="1"/>
          <w:docGrid w:type="lines" w:linePitch="312" w:charSpace="0"/>
        </w:sectPr>
      </w:pPr>
    </w:p>
    <w:p>
      <w:pPr>
        <w:spacing w:line="300" w:lineRule="exact"/>
        <w:jc w:val="left"/>
      </w:pPr>
    </w:p>
    <w:p>
      <w:pPr>
        <w:ind w:firstLine="640" w:firstLineChars="200"/>
        <w:jc w:val="left"/>
        <w:outlineLvl w:val="3"/>
        <w:rPr>
          <w:rFonts w:ascii="仿宋_GB2312" w:eastAsia="仿宋_GB2312"/>
          <w:sz w:val="32"/>
          <w:szCs w:val="32"/>
        </w:rPr>
      </w:pPr>
      <w:bookmarkStart w:id="6" w:name="_Toc65072303"/>
      <w:r>
        <w:rPr>
          <w:rFonts w:hint="eastAsia" w:ascii="仿宋_GB2312" w:eastAsia="仿宋_GB2312"/>
          <w:sz w:val="32"/>
          <w:szCs w:val="32"/>
        </w:rPr>
        <w:t>7.预算初审费绩效目标表</w:t>
      </w:r>
      <w:bookmarkEnd w:id="6"/>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13020721WRG9BY92NTBAK</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预算初审费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5.00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5.00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按照区人大常委会的工作安排，由区人大常委会财经委员会组织对区政府2021年预算（草案）及部门预算（草案）进行初审。用于初审组用房、用餐、租用会议室、印制会议资料、购置办公用品、交通费等5万元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50.00%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1.2021年1月区人大常委会组织对区政府2020年预算（草案）及部门预算（草案）进行初审。</w:t>
            </w:r>
          </w:p>
        </w:tc>
      </w:tr>
    </w:tbl>
    <w:p>
      <w:pPr>
        <w:spacing w:line="14" w:lineRule="exact"/>
        <w:jc w:val="center"/>
      </w:pPr>
      <w:r>
        <w:rPr>
          <w:rFonts w:hint="eastAsia"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代表参会人数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代表参加会议的人数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&gt;10%</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代表参会率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代表参加会议的比例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区人大常委会工作安排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会议议程的完成率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各项会议议程的完成情况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区人大常委会工作安排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会议支出节支率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会议费的节约情况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区人大常委会工作安排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初审工作完成率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各项初审工作的完成情况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&gt;100%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区人大常委会工作安排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初审任务的实现率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会议任务的实现情况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实现任务</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区人大常委会工作安排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会议内容的贯彻情况</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各项议程的贯彻情况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完全贯彻</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区人大常委会工作安排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初审组成员的满意程度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对会议组织的满意程度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&gt;95%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区人大常委会工作安排</w:t>
            </w:r>
          </w:p>
        </w:tc>
      </w:tr>
    </w:tbl>
    <w:p>
      <w:pPr>
        <w:spacing w:line="300" w:lineRule="exact"/>
        <w:jc w:val="left"/>
        <w:sectPr>
          <w:pgSz w:w="11907" w:h="16839"/>
          <w:pgMar w:top="1984" w:right="1304" w:bottom="1134" w:left="1304" w:header="851" w:footer="992" w:gutter="0"/>
          <w:cols w:space="720" w:num="1"/>
          <w:docGrid w:type="lines" w:linePitch="312" w:charSpace="0"/>
        </w:sectPr>
      </w:pPr>
    </w:p>
    <w:p>
      <w:pPr>
        <w:spacing w:line="300" w:lineRule="exact"/>
        <w:jc w:val="left"/>
      </w:pPr>
    </w:p>
    <w:p>
      <w:pPr>
        <w:adjustRightInd w:val="0"/>
        <w:snapToGrid w:val="0"/>
        <w:spacing w:line="560" w:lineRule="exact"/>
        <w:ind w:firstLine="640" w:firstLineChars="200"/>
        <w:jc w:val="left"/>
        <w:outlineLvl w:val="0"/>
        <w:rPr>
          <w:rFonts w:ascii="仿宋_GB2312" w:eastAsia="仿宋_GB2312"/>
          <w:color w:val="FF0000"/>
          <w:sz w:val="32"/>
          <w:szCs w:val="32"/>
        </w:rPr>
      </w:pPr>
    </w:p>
    <w:p>
      <w:pPr>
        <w:spacing w:line="14" w:lineRule="exact"/>
        <w:ind w:firstLine="420" w:firstLineChars="200"/>
        <w:jc w:val="center"/>
      </w:pPr>
      <w:r>
        <w:rPr>
          <w:rFonts w:hint="eastAsia" w:ascii="方正书宋_GBK" w:eastAsia="方正书宋_GBK"/>
        </w:rPr>
        <w:t xml:space="preserve"> </w:t>
      </w:r>
    </w:p>
    <w:p>
      <w:pPr>
        <w:autoSpaceDE w:val="0"/>
        <w:autoSpaceDN w:val="0"/>
        <w:adjustRightInd w:val="0"/>
        <w:snapToGrid w:val="0"/>
        <w:spacing w:line="560" w:lineRule="exact"/>
        <w:ind w:firstLine="803" w:firstLineChars="250"/>
        <w:jc w:val="left"/>
        <w:rPr>
          <w:rFonts w:ascii="仿宋_GB2312" w:eastAsia="仿宋_GB2312"/>
          <w:color w:val="FF0000"/>
          <w:sz w:val="32"/>
          <w:szCs w:val="32"/>
        </w:rPr>
      </w:pPr>
      <w:r>
        <w:rPr>
          <w:rFonts w:hint="eastAsia" w:ascii="仿宋_GB2312" w:eastAsia="仿宋_GB2312"/>
          <w:b/>
          <w:sz w:val="32"/>
          <w:szCs w:val="32"/>
        </w:rPr>
        <w:t>六、政府采购预算信息</w:t>
      </w:r>
    </w:p>
    <w:p>
      <w:pPr>
        <w:adjustRightInd w:val="0"/>
        <w:snapToGrid w:val="0"/>
        <w:spacing w:line="560" w:lineRule="exact"/>
        <w:ind w:left="178" w:leftChars="85" w:firstLine="697" w:firstLineChars="218"/>
        <w:rPr>
          <w:rFonts w:ascii="仿宋_GB2312" w:eastAsia="仿宋_GB2312"/>
          <w:sz w:val="32"/>
          <w:szCs w:val="32"/>
        </w:rPr>
      </w:pPr>
      <w:r>
        <w:rPr>
          <w:rFonts w:hint="eastAsia" w:ascii="仿宋_GB2312" w:eastAsia="仿宋_GB2312"/>
          <w:sz w:val="32"/>
          <w:szCs w:val="32"/>
        </w:rPr>
        <w:t>2021年部门预算共计安排政府采购项目0个,涉及金额0万元。</w:t>
      </w:r>
    </w:p>
    <w:p>
      <w:pPr>
        <w:adjustRightInd w:val="0"/>
        <w:snapToGrid w:val="0"/>
        <w:spacing w:line="560" w:lineRule="exact"/>
        <w:ind w:left="178" w:leftChars="85" w:firstLine="700" w:firstLineChars="218"/>
        <w:rPr>
          <w:rFonts w:ascii="仿宋_GB2312" w:eastAsia="仿宋_GB2312"/>
          <w:color w:val="FF0000"/>
          <w:sz w:val="32"/>
          <w:szCs w:val="32"/>
        </w:rPr>
      </w:pPr>
      <w:r>
        <w:rPr>
          <w:rFonts w:hint="eastAsia" w:ascii="仿宋_GB2312" w:eastAsia="仿宋_GB2312"/>
          <w:b/>
          <w:sz w:val="32"/>
          <w:szCs w:val="32"/>
        </w:rPr>
        <w:t>七、国有资产信息</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我单位2020年底固定资产102.09万元。</w:t>
      </w:r>
    </w:p>
    <w:tbl>
      <w:tblPr>
        <w:tblStyle w:val="8"/>
        <w:tblW w:w="0" w:type="auto"/>
        <w:tblInd w:w="93" w:type="dxa"/>
        <w:tblLayout w:type="fixed"/>
        <w:tblCellMar>
          <w:top w:w="0" w:type="dxa"/>
          <w:left w:w="108" w:type="dxa"/>
          <w:bottom w:w="0" w:type="dxa"/>
          <w:right w:w="108" w:type="dxa"/>
        </w:tblCellMar>
      </w:tblPr>
      <w:tblGrid>
        <w:gridCol w:w="1900"/>
        <w:gridCol w:w="2689"/>
        <w:gridCol w:w="4131"/>
      </w:tblGrid>
      <w:tr>
        <w:tblPrEx>
          <w:tblCellMar>
            <w:top w:w="0" w:type="dxa"/>
            <w:left w:w="108" w:type="dxa"/>
            <w:bottom w:w="0" w:type="dxa"/>
            <w:right w:w="108" w:type="dxa"/>
          </w:tblCellMar>
        </w:tblPrEx>
        <w:trPr>
          <w:trHeight w:val="846" w:hRule="atLeast"/>
        </w:trPr>
        <w:tc>
          <w:tcPr>
            <w:tcW w:w="8720" w:type="dxa"/>
            <w:gridSpan w:val="3"/>
            <w:tcBorders>
              <w:top w:val="nil"/>
              <w:left w:val="nil"/>
              <w:bottom w:val="nil"/>
              <w:right w:val="nil"/>
            </w:tcBorders>
            <w:vAlign w:val="center"/>
          </w:tcPr>
          <w:p>
            <w:pPr>
              <w:widowControl/>
              <w:rPr>
                <w:rFonts w:ascii="宋体" w:cs="宋体"/>
                <w:b/>
                <w:bCs/>
                <w:kern w:val="0"/>
                <w:sz w:val="32"/>
                <w:szCs w:val="32"/>
              </w:rPr>
            </w:pPr>
          </w:p>
          <w:p>
            <w:pPr>
              <w:widowControl/>
              <w:jc w:val="center"/>
              <w:rPr>
                <w:rFonts w:ascii="宋体" w:cs="宋体"/>
                <w:b/>
                <w:bCs/>
                <w:kern w:val="0"/>
                <w:sz w:val="32"/>
                <w:szCs w:val="32"/>
              </w:rPr>
            </w:pPr>
            <w:r>
              <w:rPr>
                <w:rFonts w:hint="eastAsia" w:ascii="宋体" w:cs="宋体"/>
                <w:b/>
                <w:bCs/>
                <w:kern w:val="0"/>
                <w:sz w:val="32"/>
                <w:szCs w:val="32"/>
              </w:rPr>
              <w:t>部门固定资产占用情况表</w:t>
            </w:r>
          </w:p>
        </w:tc>
      </w:tr>
      <w:tr>
        <w:tblPrEx>
          <w:tblCellMar>
            <w:top w:w="0" w:type="dxa"/>
            <w:left w:w="108" w:type="dxa"/>
            <w:bottom w:w="0" w:type="dxa"/>
            <w:right w:w="108" w:type="dxa"/>
          </w:tblCellMar>
        </w:tblPrEx>
        <w:trPr>
          <w:trHeight w:val="612" w:hRule="atLeast"/>
        </w:trPr>
        <w:tc>
          <w:tcPr>
            <w:tcW w:w="4589" w:type="dxa"/>
            <w:gridSpan w:val="2"/>
            <w:tcBorders>
              <w:top w:val="nil"/>
              <w:left w:val="nil"/>
              <w:bottom w:val="nil"/>
              <w:right w:val="nil"/>
            </w:tcBorders>
            <w:vAlign w:val="center"/>
          </w:tcPr>
          <w:p>
            <w:pPr>
              <w:widowControl/>
              <w:jc w:val="left"/>
              <w:rPr>
                <w:rFonts w:eastAsia="仿宋"/>
                <w:kern w:val="0"/>
                <w:sz w:val="22"/>
              </w:rPr>
            </w:pPr>
            <w:r>
              <w:rPr>
                <w:rFonts w:hint="eastAsia" w:eastAsia="仿宋"/>
                <w:kern w:val="0"/>
                <w:sz w:val="22"/>
              </w:rPr>
              <w:t>编制部门：</w:t>
            </w:r>
            <w:r>
              <w:rPr>
                <w:rFonts w:eastAsia="仿宋"/>
                <w:kern w:val="0"/>
                <w:sz w:val="22"/>
              </w:rPr>
              <w:t>丰南区人大办公室</w:t>
            </w:r>
          </w:p>
        </w:tc>
        <w:tc>
          <w:tcPr>
            <w:tcW w:w="4131" w:type="dxa"/>
            <w:tcBorders>
              <w:top w:val="nil"/>
              <w:left w:val="nil"/>
              <w:bottom w:val="nil"/>
              <w:right w:val="nil"/>
            </w:tcBorders>
            <w:vAlign w:val="center"/>
          </w:tcPr>
          <w:p>
            <w:pPr>
              <w:widowControl/>
              <w:jc w:val="right"/>
              <w:rPr>
                <w:rFonts w:ascii="宋体" w:cs="宋体"/>
                <w:b/>
                <w:bCs/>
                <w:kern w:val="0"/>
                <w:sz w:val="22"/>
                <w:szCs w:val="22"/>
              </w:rPr>
            </w:pPr>
            <w:r>
              <w:rPr>
                <w:rFonts w:hint="eastAsia" w:ascii="仿宋_GB2312" w:eastAsia="仿宋_GB2312" w:cs="仿宋_GB2312"/>
                <w:kern w:val="0"/>
                <w:sz w:val="22"/>
                <w:szCs w:val="22"/>
              </w:rPr>
              <w:t>截止时间：2020年12月31日</w:t>
            </w:r>
          </w:p>
        </w:tc>
      </w:tr>
      <w:tr>
        <w:tblPrEx>
          <w:tblCellMar>
            <w:top w:w="0" w:type="dxa"/>
            <w:left w:w="108" w:type="dxa"/>
            <w:bottom w:w="0" w:type="dxa"/>
            <w:right w:w="108" w:type="dxa"/>
          </w:tblCellMar>
        </w:tblPrEx>
        <w:trPr>
          <w:trHeight w:val="397" w:hRule="atLeast"/>
        </w:trPr>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cs="宋体"/>
                <w:b/>
                <w:bCs/>
                <w:kern w:val="0"/>
                <w:sz w:val="22"/>
              </w:rPr>
              <w:t>项目</w:t>
            </w:r>
          </w:p>
        </w:tc>
        <w:tc>
          <w:tcPr>
            <w:tcW w:w="2689"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cs="宋体"/>
                <w:b/>
                <w:bCs/>
                <w:kern w:val="0"/>
                <w:sz w:val="22"/>
              </w:rPr>
              <w:t>数量</w:t>
            </w:r>
          </w:p>
        </w:tc>
        <w:tc>
          <w:tcPr>
            <w:tcW w:w="4131"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2"/>
                <w:szCs w:val="22"/>
              </w:rPr>
            </w:pPr>
            <w:r>
              <w:rPr>
                <w:rFonts w:hint="eastAsia" w:ascii="宋体" w:cs="宋体"/>
                <w:b/>
                <w:bCs/>
                <w:kern w:val="0"/>
                <w:sz w:val="22"/>
                <w:szCs w:val="22"/>
              </w:rPr>
              <w:t>价值（金额单位：万元）</w:t>
            </w:r>
          </w:p>
        </w:tc>
      </w:tr>
      <w:tr>
        <w:tblPrEx>
          <w:tblCellMar>
            <w:top w:w="0" w:type="dxa"/>
            <w:left w:w="108" w:type="dxa"/>
            <w:bottom w:w="0" w:type="dxa"/>
            <w:right w:w="108" w:type="dxa"/>
          </w:tblCellMar>
        </w:tblPrEx>
        <w:trPr>
          <w:trHeight w:val="350" w:hRule="atLeast"/>
        </w:trPr>
        <w:tc>
          <w:tcPr>
            <w:tcW w:w="1900" w:type="dxa"/>
            <w:tcBorders>
              <w:top w:val="nil"/>
              <w:left w:val="single" w:color="auto" w:sz="4" w:space="0"/>
              <w:bottom w:val="single" w:color="auto" w:sz="4" w:space="0"/>
              <w:right w:val="single" w:color="auto" w:sz="4" w:space="0"/>
            </w:tcBorders>
            <w:vAlign w:val="center"/>
          </w:tcPr>
          <w:p>
            <w:pPr>
              <w:widowControl/>
              <w:jc w:val="center"/>
              <w:rPr>
                <w:rFonts w:eastAsia="仿宋"/>
                <w:kern w:val="0"/>
                <w:sz w:val="22"/>
              </w:rPr>
            </w:pPr>
            <w:r>
              <w:rPr>
                <w:rFonts w:hint="eastAsia" w:eastAsia="仿宋"/>
                <w:kern w:val="0"/>
                <w:sz w:val="22"/>
              </w:rPr>
              <w:t>资产总额</w:t>
            </w:r>
          </w:p>
        </w:tc>
        <w:tc>
          <w:tcPr>
            <w:tcW w:w="2689" w:type="dxa"/>
            <w:tcBorders>
              <w:top w:val="nil"/>
              <w:left w:val="nil"/>
              <w:bottom w:val="single" w:color="auto" w:sz="4" w:space="0"/>
              <w:right w:val="single" w:color="auto" w:sz="4" w:space="0"/>
            </w:tcBorders>
            <w:vAlign w:val="center"/>
          </w:tcPr>
          <w:p>
            <w:pPr>
              <w:widowControl/>
              <w:jc w:val="center"/>
              <w:rPr>
                <w:rFonts w:eastAsia="仿宋"/>
                <w:kern w:val="0"/>
                <w:sz w:val="22"/>
              </w:rPr>
            </w:pPr>
          </w:p>
        </w:tc>
        <w:tc>
          <w:tcPr>
            <w:tcW w:w="4131" w:type="dxa"/>
            <w:tcBorders>
              <w:top w:val="nil"/>
              <w:left w:val="nil"/>
              <w:bottom w:val="single" w:color="auto" w:sz="4" w:space="0"/>
              <w:right w:val="single" w:color="auto" w:sz="4" w:space="0"/>
            </w:tcBorders>
            <w:vAlign w:val="center"/>
          </w:tcPr>
          <w:p>
            <w:pPr>
              <w:widowControl/>
              <w:jc w:val="center"/>
              <w:rPr>
                <w:rFonts w:eastAsia="仿宋"/>
                <w:kern w:val="0"/>
                <w:sz w:val="22"/>
              </w:rPr>
            </w:pPr>
            <w:r>
              <w:rPr>
                <w:rFonts w:eastAsia="仿宋"/>
                <w:kern w:val="0"/>
                <w:sz w:val="22"/>
              </w:rPr>
              <w:t>102.09</w:t>
            </w:r>
          </w:p>
        </w:tc>
      </w:tr>
      <w:tr>
        <w:tblPrEx>
          <w:tblCellMar>
            <w:top w:w="0" w:type="dxa"/>
            <w:left w:w="108" w:type="dxa"/>
            <w:bottom w:w="0" w:type="dxa"/>
            <w:right w:w="108" w:type="dxa"/>
          </w:tblCellMar>
        </w:tblPrEx>
        <w:trPr>
          <w:trHeight w:val="539" w:hRule="atLeast"/>
        </w:trPr>
        <w:tc>
          <w:tcPr>
            <w:tcW w:w="1900" w:type="dxa"/>
            <w:tcBorders>
              <w:top w:val="nil"/>
              <w:left w:val="single" w:color="auto" w:sz="4" w:space="0"/>
              <w:bottom w:val="single" w:color="auto" w:sz="4" w:space="0"/>
              <w:right w:val="single" w:color="auto" w:sz="4" w:space="0"/>
            </w:tcBorders>
            <w:vAlign w:val="center"/>
          </w:tcPr>
          <w:p>
            <w:pPr>
              <w:widowControl/>
              <w:jc w:val="left"/>
              <w:rPr>
                <w:rFonts w:eastAsia="仿宋"/>
                <w:kern w:val="0"/>
                <w:sz w:val="22"/>
              </w:rPr>
            </w:pPr>
            <w:r>
              <w:rPr>
                <w:rFonts w:eastAsia="仿宋"/>
                <w:kern w:val="0"/>
                <w:sz w:val="22"/>
              </w:rPr>
              <w:t>1</w:t>
            </w:r>
            <w:r>
              <w:rPr>
                <w:rFonts w:hint="eastAsia" w:eastAsia="仿宋"/>
                <w:kern w:val="0"/>
                <w:sz w:val="22"/>
              </w:rPr>
              <w:t>、房屋（平方米）</w:t>
            </w:r>
          </w:p>
        </w:tc>
        <w:tc>
          <w:tcPr>
            <w:tcW w:w="2689" w:type="dxa"/>
            <w:tcBorders>
              <w:top w:val="nil"/>
              <w:left w:val="nil"/>
              <w:bottom w:val="single" w:color="auto" w:sz="4" w:space="0"/>
              <w:right w:val="single" w:color="auto" w:sz="4" w:space="0"/>
            </w:tcBorders>
            <w:vAlign w:val="center"/>
          </w:tcPr>
          <w:p>
            <w:pPr>
              <w:widowControl/>
              <w:jc w:val="center"/>
              <w:rPr>
                <w:rFonts w:eastAsia="仿宋"/>
                <w:kern w:val="0"/>
                <w:sz w:val="22"/>
              </w:rPr>
            </w:pPr>
          </w:p>
        </w:tc>
        <w:tc>
          <w:tcPr>
            <w:tcW w:w="4131" w:type="dxa"/>
            <w:tcBorders>
              <w:top w:val="nil"/>
              <w:left w:val="nil"/>
              <w:bottom w:val="single" w:color="auto" w:sz="4" w:space="0"/>
              <w:right w:val="single" w:color="auto" w:sz="4" w:space="0"/>
            </w:tcBorders>
            <w:vAlign w:val="center"/>
          </w:tcPr>
          <w:p>
            <w:pPr>
              <w:widowControl/>
              <w:jc w:val="center"/>
              <w:rPr>
                <w:rFonts w:eastAsia="仿宋"/>
                <w:kern w:val="0"/>
                <w:sz w:val="22"/>
              </w:rPr>
            </w:pPr>
          </w:p>
        </w:tc>
      </w:tr>
      <w:tr>
        <w:tblPrEx>
          <w:tblCellMar>
            <w:top w:w="0" w:type="dxa"/>
            <w:left w:w="108" w:type="dxa"/>
            <w:bottom w:w="0" w:type="dxa"/>
            <w:right w:w="108" w:type="dxa"/>
          </w:tblCellMar>
        </w:tblPrEx>
        <w:trPr>
          <w:trHeight w:val="616" w:hRule="atLeast"/>
        </w:trPr>
        <w:tc>
          <w:tcPr>
            <w:tcW w:w="1900" w:type="dxa"/>
            <w:tcBorders>
              <w:top w:val="nil"/>
              <w:left w:val="single" w:color="auto" w:sz="4" w:space="0"/>
              <w:bottom w:val="single" w:color="auto" w:sz="4" w:space="0"/>
              <w:right w:val="single" w:color="auto" w:sz="4" w:space="0"/>
            </w:tcBorders>
            <w:vAlign w:val="center"/>
          </w:tcPr>
          <w:p>
            <w:pPr>
              <w:widowControl/>
              <w:jc w:val="left"/>
              <w:rPr>
                <w:rFonts w:eastAsia="仿宋"/>
                <w:kern w:val="0"/>
                <w:sz w:val="22"/>
              </w:rPr>
            </w:pPr>
            <w:r>
              <w:rPr>
                <w:rFonts w:hint="eastAsia" w:eastAsia="仿宋"/>
                <w:kern w:val="0"/>
                <w:sz w:val="22"/>
              </w:rPr>
              <w:t>其中：办公用房（平方米）</w:t>
            </w:r>
          </w:p>
        </w:tc>
        <w:tc>
          <w:tcPr>
            <w:tcW w:w="2689" w:type="dxa"/>
            <w:tcBorders>
              <w:top w:val="nil"/>
              <w:left w:val="nil"/>
              <w:bottom w:val="single" w:color="auto" w:sz="4" w:space="0"/>
              <w:right w:val="single" w:color="auto" w:sz="4" w:space="0"/>
            </w:tcBorders>
            <w:vAlign w:val="center"/>
          </w:tcPr>
          <w:p>
            <w:pPr>
              <w:widowControl/>
              <w:jc w:val="center"/>
              <w:rPr>
                <w:rFonts w:eastAsia="仿宋"/>
                <w:kern w:val="0"/>
                <w:sz w:val="22"/>
              </w:rPr>
            </w:pPr>
          </w:p>
        </w:tc>
        <w:tc>
          <w:tcPr>
            <w:tcW w:w="4131" w:type="dxa"/>
            <w:tcBorders>
              <w:top w:val="nil"/>
              <w:left w:val="nil"/>
              <w:bottom w:val="single" w:color="auto" w:sz="4" w:space="0"/>
              <w:right w:val="single" w:color="auto" w:sz="4" w:space="0"/>
            </w:tcBorders>
            <w:vAlign w:val="center"/>
          </w:tcPr>
          <w:p>
            <w:pPr>
              <w:widowControl/>
              <w:jc w:val="center"/>
              <w:rPr>
                <w:rFonts w:eastAsia="仿宋"/>
                <w:kern w:val="0"/>
                <w:sz w:val="22"/>
              </w:rPr>
            </w:pPr>
          </w:p>
        </w:tc>
      </w:tr>
      <w:tr>
        <w:tblPrEx>
          <w:tblCellMar>
            <w:top w:w="0" w:type="dxa"/>
            <w:left w:w="108" w:type="dxa"/>
            <w:bottom w:w="0" w:type="dxa"/>
            <w:right w:w="108" w:type="dxa"/>
          </w:tblCellMar>
        </w:tblPrEx>
        <w:trPr>
          <w:trHeight w:val="463" w:hRule="atLeast"/>
        </w:trPr>
        <w:tc>
          <w:tcPr>
            <w:tcW w:w="1900" w:type="dxa"/>
            <w:tcBorders>
              <w:top w:val="nil"/>
              <w:left w:val="single" w:color="auto" w:sz="4" w:space="0"/>
              <w:bottom w:val="single" w:color="auto" w:sz="4" w:space="0"/>
              <w:right w:val="single" w:color="auto" w:sz="4" w:space="0"/>
            </w:tcBorders>
            <w:vAlign w:val="center"/>
          </w:tcPr>
          <w:p>
            <w:pPr>
              <w:widowControl/>
              <w:jc w:val="left"/>
              <w:rPr>
                <w:rFonts w:eastAsia="仿宋"/>
                <w:kern w:val="0"/>
                <w:sz w:val="22"/>
              </w:rPr>
            </w:pPr>
            <w:r>
              <w:rPr>
                <w:rFonts w:eastAsia="仿宋"/>
                <w:kern w:val="0"/>
                <w:sz w:val="22"/>
              </w:rPr>
              <w:t>2</w:t>
            </w:r>
            <w:r>
              <w:rPr>
                <w:rFonts w:hint="eastAsia" w:eastAsia="仿宋"/>
                <w:kern w:val="0"/>
                <w:sz w:val="22"/>
              </w:rPr>
              <w:t>、车辆（台、辆）</w:t>
            </w:r>
          </w:p>
        </w:tc>
        <w:tc>
          <w:tcPr>
            <w:tcW w:w="2689" w:type="dxa"/>
            <w:tcBorders>
              <w:top w:val="nil"/>
              <w:left w:val="nil"/>
              <w:bottom w:val="single" w:color="auto" w:sz="4" w:space="0"/>
              <w:right w:val="single" w:color="auto" w:sz="4" w:space="0"/>
            </w:tcBorders>
            <w:vAlign w:val="center"/>
          </w:tcPr>
          <w:p>
            <w:pPr>
              <w:widowControl/>
              <w:jc w:val="center"/>
              <w:rPr>
                <w:rFonts w:eastAsia="仿宋"/>
                <w:kern w:val="0"/>
                <w:sz w:val="22"/>
              </w:rPr>
            </w:pPr>
            <w:r>
              <w:rPr>
                <w:rFonts w:eastAsia="仿宋"/>
                <w:kern w:val="0"/>
                <w:sz w:val="22"/>
              </w:rPr>
              <w:t>3</w:t>
            </w:r>
          </w:p>
        </w:tc>
        <w:tc>
          <w:tcPr>
            <w:tcW w:w="4131" w:type="dxa"/>
            <w:tcBorders>
              <w:top w:val="nil"/>
              <w:left w:val="nil"/>
              <w:bottom w:val="single" w:color="auto" w:sz="4" w:space="0"/>
              <w:right w:val="single" w:color="auto" w:sz="4" w:space="0"/>
            </w:tcBorders>
            <w:vAlign w:val="center"/>
          </w:tcPr>
          <w:p>
            <w:pPr>
              <w:widowControl/>
              <w:jc w:val="center"/>
              <w:rPr>
                <w:rFonts w:eastAsia="仿宋"/>
                <w:kern w:val="0"/>
                <w:sz w:val="22"/>
              </w:rPr>
            </w:pPr>
            <w:r>
              <w:rPr>
                <w:rFonts w:eastAsia="仿宋"/>
                <w:kern w:val="0"/>
                <w:sz w:val="22"/>
              </w:rPr>
              <w:t>48.23</w:t>
            </w:r>
          </w:p>
        </w:tc>
      </w:tr>
      <w:tr>
        <w:tblPrEx>
          <w:tblCellMar>
            <w:top w:w="0" w:type="dxa"/>
            <w:left w:w="108" w:type="dxa"/>
            <w:bottom w:w="0" w:type="dxa"/>
            <w:right w:w="108" w:type="dxa"/>
          </w:tblCellMar>
        </w:tblPrEx>
        <w:trPr>
          <w:trHeight w:val="691" w:hRule="atLeast"/>
        </w:trPr>
        <w:tc>
          <w:tcPr>
            <w:tcW w:w="1900" w:type="dxa"/>
            <w:tcBorders>
              <w:top w:val="nil"/>
              <w:left w:val="single" w:color="auto" w:sz="4" w:space="0"/>
              <w:bottom w:val="single" w:color="auto" w:sz="4" w:space="0"/>
              <w:right w:val="single" w:color="auto" w:sz="4" w:space="0"/>
            </w:tcBorders>
            <w:vAlign w:val="center"/>
          </w:tcPr>
          <w:p>
            <w:pPr>
              <w:widowControl/>
              <w:jc w:val="left"/>
              <w:rPr>
                <w:rFonts w:eastAsia="仿宋"/>
                <w:kern w:val="0"/>
                <w:sz w:val="22"/>
              </w:rPr>
            </w:pPr>
            <w:r>
              <w:rPr>
                <w:rFonts w:eastAsia="仿宋"/>
                <w:kern w:val="0"/>
                <w:sz w:val="22"/>
              </w:rPr>
              <w:t>3</w:t>
            </w:r>
            <w:r>
              <w:rPr>
                <w:rFonts w:hint="eastAsia" w:eastAsia="仿宋"/>
                <w:kern w:val="0"/>
                <w:sz w:val="22"/>
              </w:rPr>
              <w:t>、单价在</w:t>
            </w:r>
            <w:r>
              <w:rPr>
                <w:rFonts w:eastAsia="仿宋"/>
                <w:kern w:val="0"/>
                <w:sz w:val="22"/>
              </w:rPr>
              <w:t>20</w:t>
            </w:r>
            <w:r>
              <w:rPr>
                <w:rFonts w:hint="eastAsia" w:eastAsia="仿宋"/>
                <w:kern w:val="0"/>
                <w:sz w:val="22"/>
              </w:rPr>
              <w:t>万元以上设备</w:t>
            </w:r>
          </w:p>
        </w:tc>
        <w:tc>
          <w:tcPr>
            <w:tcW w:w="2689" w:type="dxa"/>
            <w:tcBorders>
              <w:top w:val="nil"/>
              <w:left w:val="nil"/>
              <w:bottom w:val="single" w:color="auto" w:sz="4" w:space="0"/>
              <w:right w:val="single" w:color="auto" w:sz="4" w:space="0"/>
            </w:tcBorders>
            <w:vAlign w:val="center"/>
          </w:tcPr>
          <w:p>
            <w:pPr>
              <w:widowControl/>
              <w:jc w:val="center"/>
              <w:rPr>
                <w:rFonts w:eastAsia="仿宋"/>
                <w:kern w:val="0"/>
                <w:sz w:val="22"/>
              </w:rPr>
            </w:pPr>
          </w:p>
        </w:tc>
        <w:tc>
          <w:tcPr>
            <w:tcW w:w="4131" w:type="dxa"/>
            <w:tcBorders>
              <w:top w:val="nil"/>
              <w:left w:val="nil"/>
              <w:bottom w:val="single" w:color="auto" w:sz="4" w:space="0"/>
              <w:right w:val="single" w:color="auto" w:sz="4" w:space="0"/>
            </w:tcBorders>
            <w:vAlign w:val="center"/>
          </w:tcPr>
          <w:p>
            <w:pPr>
              <w:widowControl/>
              <w:jc w:val="center"/>
              <w:rPr>
                <w:rFonts w:eastAsia="仿宋"/>
                <w:kern w:val="0"/>
                <w:sz w:val="22"/>
              </w:rPr>
            </w:pPr>
          </w:p>
        </w:tc>
      </w:tr>
      <w:tr>
        <w:tblPrEx>
          <w:tblCellMar>
            <w:top w:w="0" w:type="dxa"/>
            <w:left w:w="108" w:type="dxa"/>
            <w:bottom w:w="0" w:type="dxa"/>
            <w:right w:w="108" w:type="dxa"/>
          </w:tblCellMar>
        </w:tblPrEx>
        <w:trPr>
          <w:trHeight w:val="390" w:hRule="atLeast"/>
        </w:trPr>
        <w:tc>
          <w:tcPr>
            <w:tcW w:w="1900" w:type="dxa"/>
            <w:tcBorders>
              <w:top w:val="nil"/>
              <w:left w:val="single" w:color="auto" w:sz="4" w:space="0"/>
              <w:bottom w:val="single" w:color="auto" w:sz="4" w:space="0"/>
              <w:right w:val="single" w:color="auto" w:sz="4" w:space="0"/>
            </w:tcBorders>
            <w:vAlign w:val="center"/>
          </w:tcPr>
          <w:p>
            <w:pPr>
              <w:widowControl/>
              <w:jc w:val="left"/>
              <w:rPr>
                <w:rFonts w:eastAsia="仿宋"/>
                <w:kern w:val="0"/>
                <w:sz w:val="22"/>
              </w:rPr>
            </w:pPr>
            <w:r>
              <w:rPr>
                <w:rFonts w:eastAsia="仿宋"/>
                <w:kern w:val="0"/>
                <w:sz w:val="22"/>
              </w:rPr>
              <w:t>4</w:t>
            </w:r>
            <w:r>
              <w:rPr>
                <w:rFonts w:hint="eastAsia" w:eastAsia="仿宋"/>
                <w:kern w:val="0"/>
                <w:sz w:val="22"/>
              </w:rPr>
              <w:t>、其他固定资产</w:t>
            </w:r>
          </w:p>
        </w:tc>
        <w:tc>
          <w:tcPr>
            <w:tcW w:w="2689" w:type="dxa"/>
            <w:tcBorders>
              <w:top w:val="nil"/>
              <w:left w:val="nil"/>
              <w:bottom w:val="single" w:color="auto" w:sz="4" w:space="0"/>
              <w:right w:val="single" w:color="auto" w:sz="4" w:space="0"/>
            </w:tcBorders>
            <w:vAlign w:val="center"/>
          </w:tcPr>
          <w:p>
            <w:pPr>
              <w:widowControl/>
              <w:jc w:val="center"/>
              <w:rPr>
                <w:rFonts w:eastAsia="仿宋"/>
                <w:kern w:val="0"/>
                <w:sz w:val="22"/>
              </w:rPr>
            </w:pPr>
          </w:p>
        </w:tc>
        <w:tc>
          <w:tcPr>
            <w:tcW w:w="4131" w:type="dxa"/>
            <w:tcBorders>
              <w:top w:val="nil"/>
              <w:left w:val="nil"/>
              <w:bottom w:val="single" w:color="auto" w:sz="4" w:space="0"/>
              <w:right w:val="single" w:color="auto" w:sz="4" w:space="0"/>
            </w:tcBorders>
            <w:vAlign w:val="center"/>
          </w:tcPr>
          <w:p>
            <w:pPr>
              <w:widowControl/>
              <w:jc w:val="center"/>
              <w:rPr>
                <w:rFonts w:eastAsia="仿宋"/>
                <w:kern w:val="0"/>
                <w:sz w:val="22"/>
              </w:rPr>
            </w:pPr>
            <w:r>
              <w:rPr>
                <w:rFonts w:eastAsia="仿宋"/>
                <w:kern w:val="0"/>
                <w:sz w:val="22"/>
              </w:rPr>
              <w:t>53.86</w:t>
            </w:r>
          </w:p>
        </w:tc>
      </w:tr>
    </w:tbl>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2021年我单位拟购置公务用车一辆，约新增资产20万元。</w:t>
      </w:r>
    </w:p>
    <w:p>
      <w:pPr>
        <w:autoSpaceDE w:val="0"/>
        <w:autoSpaceDN w:val="0"/>
        <w:adjustRightInd w:val="0"/>
        <w:snapToGrid w:val="0"/>
        <w:spacing w:line="560" w:lineRule="exact"/>
        <w:ind w:firstLine="643" w:firstLineChars="200"/>
        <w:jc w:val="left"/>
        <w:rPr>
          <w:rFonts w:ascii="仿宋_GB2312" w:eastAsia="仿宋_GB2312"/>
          <w:color w:val="FF0000"/>
          <w:sz w:val="32"/>
          <w:szCs w:val="32"/>
        </w:rPr>
      </w:pPr>
      <w:r>
        <w:rPr>
          <w:rFonts w:hint="eastAsia" w:ascii="仿宋_GB2312" w:eastAsia="仿宋_GB2312"/>
          <w:b/>
          <w:sz w:val="32"/>
          <w:szCs w:val="32"/>
        </w:rPr>
        <w:t>八、专业名词解释</w:t>
      </w:r>
    </w:p>
    <w:p>
      <w:pPr>
        <w:adjustRightInd w:val="0"/>
        <w:snapToGrid w:val="0"/>
        <w:spacing w:line="560" w:lineRule="exact"/>
        <w:rPr>
          <w:rFonts w:ascii="仿宋_GB2312" w:eastAsia="仿宋_GB2312"/>
          <w:sz w:val="32"/>
          <w:szCs w:val="32"/>
        </w:rPr>
      </w:pPr>
      <w:r>
        <w:rPr>
          <w:rFonts w:hint="eastAsia" w:ascii="仿宋_GB2312" w:eastAsia="仿宋_GB2312"/>
          <w:b/>
          <w:sz w:val="32"/>
          <w:szCs w:val="32"/>
        </w:rPr>
        <w:t xml:space="preserve">  </w:t>
      </w:r>
      <w:r>
        <w:rPr>
          <w:rFonts w:hint="eastAsia" w:ascii="仿宋_GB2312" w:eastAsia="仿宋_GB2312"/>
          <w:sz w:val="32"/>
          <w:szCs w:val="32"/>
        </w:rPr>
        <w:t xml:space="preserve">  基本支出</w:t>
      </w:r>
      <w:r>
        <w:rPr>
          <w:rFonts w:hint="eastAsia" w:ascii="仿宋_GB2312" w:eastAsia="仿宋_GB2312"/>
          <w:b/>
          <w:sz w:val="32"/>
          <w:szCs w:val="32"/>
        </w:rPr>
        <w:t>：</w:t>
      </w:r>
      <w:r>
        <w:rPr>
          <w:rFonts w:hint="eastAsia" w:ascii="仿宋_GB2312" w:eastAsia="仿宋_GB2312"/>
          <w:sz w:val="32"/>
          <w:szCs w:val="32"/>
        </w:rPr>
        <w:t>为保障机构正常运转，完成日常工作任务，而发生的人员支出和公用支出。</w:t>
      </w:r>
    </w:p>
    <w:p>
      <w:pPr>
        <w:adjustRightInd w:val="0"/>
        <w:snapToGrid w:val="0"/>
        <w:spacing w:line="560" w:lineRule="exact"/>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sz w:val="32"/>
          <w:szCs w:val="32"/>
        </w:rPr>
        <w:t xml:space="preserve"> </w:t>
      </w:r>
      <w:r>
        <w:rPr>
          <w:rFonts w:hint="eastAsia" w:ascii="仿宋_GB2312" w:eastAsia="仿宋_GB2312"/>
          <w:sz w:val="32"/>
          <w:szCs w:val="32"/>
        </w:rPr>
        <w:t>项目支出</w:t>
      </w:r>
      <w:r>
        <w:rPr>
          <w:rFonts w:hint="eastAsia" w:ascii="仿宋_GB2312" w:eastAsia="仿宋_GB2312"/>
          <w:b/>
          <w:sz w:val="32"/>
          <w:szCs w:val="32"/>
        </w:rPr>
        <w:t>：</w:t>
      </w:r>
      <w:r>
        <w:rPr>
          <w:rFonts w:hint="eastAsia" w:ascii="仿宋_GB2312" w:eastAsia="仿宋_GB2312"/>
          <w:sz w:val="32"/>
          <w:szCs w:val="32"/>
        </w:rPr>
        <w:t xml:space="preserve">为完成特定行政任务和事业发展目标而发生的费用。    </w:t>
      </w:r>
    </w:p>
    <w:p>
      <w:pPr>
        <w:adjustRightInd w:val="0"/>
        <w:snapToGrid w:val="0"/>
        <w:spacing w:line="560" w:lineRule="exact"/>
        <w:ind w:firstLine="600"/>
        <w:rPr>
          <w:rFonts w:ascii="仿宋_GB2312" w:eastAsia="仿宋_GB2312"/>
          <w:sz w:val="32"/>
          <w:szCs w:val="32"/>
        </w:rPr>
      </w:pPr>
      <w:r>
        <w:rPr>
          <w:rFonts w:hint="eastAsia" w:ascii="仿宋_GB2312" w:eastAsia="仿宋_GB2312"/>
          <w:b/>
          <w:sz w:val="32"/>
          <w:szCs w:val="32"/>
        </w:rPr>
        <w:t>九、其他情况说明</w:t>
      </w:r>
      <w:r>
        <w:rPr>
          <w:rFonts w:hint="eastAsia" w:ascii="仿宋_GB2312" w:eastAsia="仿宋_GB2312"/>
          <w:sz w:val="32"/>
          <w:szCs w:val="32"/>
        </w:rPr>
        <w:t>部门预算政府性基金预算财政拨款支出表，此表无数据，因本单位不涉及政府性基金，因此无数据；</w:t>
      </w:r>
    </w:p>
    <w:p>
      <w:pPr>
        <w:adjustRightInd w:val="0"/>
        <w:snapToGrid w:val="0"/>
        <w:spacing w:line="560" w:lineRule="exact"/>
        <w:ind w:firstLine="600"/>
        <w:rPr>
          <w:rFonts w:ascii="仿宋_GB2312" w:eastAsia="仿宋_GB2312"/>
          <w:sz w:val="32"/>
          <w:szCs w:val="32"/>
        </w:rPr>
      </w:pPr>
      <w:r>
        <w:rPr>
          <w:rFonts w:hint="eastAsia" w:ascii="仿宋_GB2312" w:eastAsia="仿宋_GB2312"/>
          <w:sz w:val="32"/>
          <w:szCs w:val="32"/>
        </w:rPr>
        <w:t>部门预算国有资本经营预算财政拨款支出表，此表无数据，因本单位不涉及国有资本经营，因此无数据。</w:t>
      </w:r>
    </w:p>
    <w:p>
      <w:pPr>
        <w:adjustRightInd w:val="0"/>
        <w:snapToGrid w:val="0"/>
        <w:spacing w:line="560" w:lineRule="exact"/>
        <w:ind w:firstLine="1108" w:firstLineChars="345"/>
        <w:rPr>
          <w:rFonts w:ascii="仿宋_GB2312" w:eastAsia="仿宋_GB2312"/>
          <w:b/>
          <w:sz w:val="32"/>
          <w:szCs w:val="32"/>
        </w:rPr>
      </w:pPr>
    </w:p>
    <w:p>
      <w:pPr>
        <w:adjustRightInd w:val="0"/>
        <w:snapToGrid w:val="0"/>
        <w:spacing w:line="560" w:lineRule="exact"/>
        <w:ind w:firstLine="1108" w:firstLineChars="345"/>
        <w:rPr>
          <w:rFonts w:ascii="仿宋_GB2312" w:eastAsia="仿宋_GB2312"/>
          <w:b/>
          <w:sz w:val="32"/>
          <w:szCs w:val="32"/>
        </w:rPr>
      </w:pPr>
    </w:p>
    <w:p>
      <w:pPr>
        <w:adjustRightInd w:val="0"/>
        <w:snapToGrid w:val="0"/>
        <w:spacing w:line="560" w:lineRule="exact"/>
        <w:ind w:firstLine="1108" w:firstLineChars="345"/>
        <w:rPr>
          <w:rFonts w:ascii="仿宋_GB2312" w:eastAsia="仿宋_GB2312"/>
          <w:b/>
          <w:sz w:val="32"/>
          <w:szCs w:val="32"/>
        </w:rPr>
      </w:pPr>
    </w:p>
    <w:p>
      <w:pPr>
        <w:adjustRightInd w:val="0"/>
        <w:snapToGrid w:val="0"/>
        <w:spacing w:line="560" w:lineRule="exact"/>
        <w:ind w:firstLine="1108" w:firstLineChars="345"/>
        <w:rPr>
          <w:rFonts w:ascii="仿宋_GB2312" w:eastAsia="仿宋_GB2312"/>
          <w:b/>
          <w:sz w:val="32"/>
          <w:szCs w:val="32"/>
        </w:rPr>
      </w:pPr>
    </w:p>
    <w:p>
      <w:pPr>
        <w:adjustRightInd w:val="0"/>
        <w:snapToGrid w:val="0"/>
        <w:spacing w:line="160" w:lineRule="exact"/>
        <w:rPr>
          <w:rFonts w:ascii="宋体"/>
          <w:b/>
          <w:szCs w:val="21"/>
        </w:rPr>
      </w:pPr>
    </w:p>
    <w:sectPr>
      <w:pgSz w:w="11907" w:h="16840"/>
      <w:pgMar w:top="1701" w:right="1531" w:bottom="1588" w:left="1531" w:header="851" w:footer="992" w:gutter="0"/>
      <w:pgNumType w:start="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宋体"/>
    <w:panose1 w:val="00000000000000000000"/>
    <w:charset w:val="86"/>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Batang">
    <w:altName w:val="Malgun Gothic"/>
    <w:panose1 w:val="02030600000101010101"/>
    <w:charset w:val="81"/>
    <w:family w:val="roman"/>
    <w:pitch w:val="default"/>
    <w:sig w:usb0="00000000" w:usb1="00000000" w:usb2="00000030" w:usb3="00000000" w:csb0="0008009F" w:csb1="00000000"/>
  </w:font>
  <w:font w:name="方正书宋_GBK">
    <w:altName w:val="宋体"/>
    <w:panose1 w:val="00000000000000000000"/>
    <w:charset w:val="86"/>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649"/>
        <w:tab w:val="clear" w:pos="4153"/>
        <w:tab w:val="clear" w:pos="8306"/>
      </w:tabs>
    </w:pPr>
    <w:r>
      <w:pict>
        <v:shape id="_x0000_s2049" o:spid="_x0000_s2049" o:spt="202" type="#_x0000_t202" style="position:absolute;left:0pt;margin-top:0pt;height:10.35pt;width:4.5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6"/>
                </w:pP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064522"/>
    <w:multiLevelType w:val="singleLevel"/>
    <w:tmpl w:val="77064522"/>
    <w:lvl w:ilvl="0" w:tentative="0">
      <w:start w:val="1"/>
      <w:numFmt w:val="chineseCounting"/>
      <w:suff w:val="nothing"/>
      <w:lvlText w:val="%1、"/>
      <w:lvlJc w:val="left"/>
      <w:pPr>
        <w:tabs>
          <w:tab w:val="left" w:pos="0"/>
        </w:tabs>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NiYWMxMjFlMmE2ZWE1OWMxYzQyMDU3MTlhZjJhODcifQ=="/>
  </w:docVars>
  <w:rsids>
    <w:rsidRoot w:val="00172A27"/>
    <w:rsid w:val="00051688"/>
    <w:rsid w:val="00172A27"/>
    <w:rsid w:val="00190EBC"/>
    <w:rsid w:val="00340BFA"/>
    <w:rsid w:val="00352A27"/>
    <w:rsid w:val="003546BD"/>
    <w:rsid w:val="00367530"/>
    <w:rsid w:val="003F77B7"/>
    <w:rsid w:val="004640C4"/>
    <w:rsid w:val="005D6C0A"/>
    <w:rsid w:val="007C679D"/>
    <w:rsid w:val="00AE60B0"/>
    <w:rsid w:val="00B34A39"/>
    <w:rsid w:val="00B952AC"/>
    <w:rsid w:val="00BC029C"/>
    <w:rsid w:val="00C4287A"/>
    <w:rsid w:val="00D40FA0"/>
    <w:rsid w:val="00DB4B38"/>
    <w:rsid w:val="00E12770"/>
    <w:rsid w:val="00E143E7"/>
    <w:rsid w:val="00FD7EFB"/>
    <w:rsid w:val="0E1D1A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5">
    <w:name w:val="Date"/>
    <w:basedOn w:val="1"/>
    <w:next w:val="1"/>
    <w:qFormat/>
    <w:uiPriority w:val="0"/>
    <w:pPr>
      <w:ind w:left="2500" w:leftChars="25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4D60FC-EDB5-47BB-9156-6E1A07B8703C}">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1619</Words>
  <Characters>9229</Characters>
  <Lines>76</Lines>
  <Paragraphs>21</Paragraphs>
  <TotalTime>1</TotalTime>
  <ScaleCrop>false</ScaleCrop>
  <LinksUpToDate>false</LinksUpToDate>
  <CharactersWithSpaces>10827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2021-05-06T07:52:00Z</dcterms:created>
  <dc:creator>user</dc:creator>
  <cp:lastModifiedBy>Lenovo</cp:lastModifiedBy>
  <cp:lastPrinted>2020-02-05T06:39:00Z</cp:lastPrinted>
  <dcterms:modified xsi:type="dcterms:W3CDTF">2025-03-28T01:17:53Z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4E92FD4B571B4ACFBFA005D30E974819_12</vt:lpwstr>
  </property>
</Properties>
</file>