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hAnsi="宋体" w:eastAsia="仿宋" w:cs="Times New Roman"/>
          <w:b/>
          <w:sz w:val="30"/>
          <w:szCs w:val="30"/>
        </w:rPr>
      </w:pPr>
      <w:r>
        <w:rPr>
          <w:rFonts w:ascii="宋体" w:hAnsi="宋体" w:eastAsia="仿宋" w:cs="Times New Roman"/>
          <w:b/>
          <w:sz w:val="30"/>
          <w:szCs w:val="30"/>
        </w:rPr>
        <w:t>（202</w:t>
      </w:r>
      <w:r>
        <w:rPr>
          <w:rFonts w:hint="eastAsia" w:ascii="宋体" w:hAnsi="宋体" w:eastAsia="仿宋" w:cs="Times New Roman"/>
          <w:b/>
          <w:sz w:val="30"/>
          <w:szCs w:val="30"/>
          <w:lang w:val="en-US" w:eastAsia="zh-CN"/>
        </w:rPr>
        <w:t>4</w:t>
      </w:r>
      <w:r>
        <w:rPr>
          <w:rFonts w:ascii="宋体" w:hAnsi="宋体" w:eastAsia="仿宋" w:cs="Times New Roman"/>
          <w:b/>
          <w:sz w:val="30"/>
          <w:szCs w:val="30"/>
        </w:rPr>
        <w:t>年度）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321" w:firstLineChars="100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评价方式：</w:t>
      </w:r>
      <w:r>
        <w:rPr>
          <w:rFonts w:ascii="宋体" w:hAnsi="宋体" w:eastAsia="仿宋" w:cs="Times New Roman"/>
          <w:b/>
          <w:sz w:val="44"/>
          <w:szCs w:val="44"/>
        </w:rPr>
        <w:sym w:font="Wingdings 2" w:char="0052"/>
      </w:r>
      <w:r>
        <w:rPr>
          <w:rFonts w:ascii="宋体" w:hAnsi="宋体" w:eastAsia="仿宋" w:cs="Times New Roman"/>
          <w:b/>
          <w:sz w:val="32"/>
          <w:szCs w:val="32"/>
        </w:rPr>
        <w:t xml:space="preserve">直接组织评价        </w:t>
      </w:r>
      <w:r>
        <w:rPr>
          <w:rFonts w:ascii="宋体" w:hAnsi="宋体" w:eastAsia="仿宋" w:cs="Times New Roman"/>
          <w:b/>
          <w:sz w:val="44"/>
          <w:szCs w:val="44"/>
        </w:rPr>
        <w:t>□</w:t>
      </w:r>
      <w:r>
        <w:rPr>
          <w:rFonts w:ascii="宋体" w:hAnsi="宋体" w:eastAsia="仿宋" w:cs="Times New Roman"/>
          <w:b/>
          <w:sz w:val="32"/>
          <w:szCs w:val="32"/>
        </w:rPr>
        <w:t>委托评价</w:t>
      </w: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rPr>
          <w:rFonts w:ascii="宋体" w:hAnsi="宋体" w:eastAsia="仿宋" w:cs="Times New Roman"/>
          <w:b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928" w:firstLineChars="60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仿宋" w:cs="Times New Roman"/>
          <w:b/>
          <w:sz w:val="32"/>
          <w:szCs w:val="32"/>
          <w:u w:val="single"/>
        </w:rPr>
      </w:pPr>
      <w:r>
        <w:rPr>
          <w:rFonts w:ascii="宋体" w:hAnsi="宋体" w:eastAsia="仿宋" w:cs="Times New Roman"/>
          <w:b/>
          <w:sz w:val="32"/>
          <w:szCs w:val="32"/>
        </w:rPr>
        <w:t>部门名称：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  <w:lang w:val="en-US" w:eastAsia="zh-CN"/>
        </w:rPr>
        <w:t>唐山市丰南区司法局</w:t>
      </w:r>
      <w:r>
        <w:rPr>
          <w:rFonts w:hint="eastAsia" w:ascii="宋体" w:hAnsi="宋体" w:eastAsia="仿宋" w:cs="Times New Roman"/>
          <w:b/>
          <w:sz w:val="32"/>
          <w:szCs w:val="32"/>
          <w:u w:val="single"/>
        </w:rPr>
        <w:t xml:space="preserve">  （加盖公章）</w:t>
      </w:r>
    </w:p>
    <w:p>
      <w:pPr>
        <w:ind w:firstLine="643" w:firstLineChars="200"/>
        <w:rPr>
          <w:rFonts w:hint="default" w:ascii="宋体" w:hAnsi="宋体" w:eastAsia="仿宋" w:cs="Times New Roman"/>
          <w:b/>
          <w:sz w:val="32"/>
          <w:szCs w:val="32"/>
          <w:lang w:val="en-US" w:eastAsia="zh-CN"/>
        </w:rPr>
      </w:pPr>
      <w:r>
        <w:rPr>
          <w:rFonts w:ascii="宋体" w:hAnsi="宋体" w:eastAsia="仿宋" w:cs="Times New Roman"/>
          <w:b/>
          <w:sz w:val="32"/>
          <w:szCs w:val="32"/>
        </w:rPr>
        <w:t>联系电话：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5099686</w:t>
      </w: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ind w:firstLine="1446" w:firstLineChars="450"/>
        <w:rPr>
          <w:rFonts w:ascii="宋体" w:hAnsi="宋体" w:eastAsia="仿宋" w:cs="Times New Roman"/>
          <w:b/>
          <w:sz w:val="32"/>
          <w:szCs w:val="32"/>
        </w:rPr>
      </w:pPr>
    </w:p>
    <w:p>
      <w:pPr>
        <w:jc w:val="center"/>
        <w:rPr>
          <w:rFonts w:ascii="宋体" w:hAnsi="宋体" w:eastAsia="仿宋" w:cs="Times New Roman"/>
          <w:b/>
          <w:sz w:val="32"/>
          <w:szCs w:val="32"/>
        </w:rPr>
      </w:pPr>
      <w:r>
        <w:rPr>
          <w:rFonts w:ascii="宋体" w:hAnsi="宋体" w:eastAsia="仿宋" w:cs="Times New Roman"/>
          <w:b/>
          <w:sz w:val="32"/>
          <w:szCs w:val="32"/>
        </w:rPr>
        <w:t>填报日期</w:t>
      </w:r>
      <w:r>
        <w:rPr>
          <w:rFonts w:hint="eastAsia" w:ascii="宋体" w:hAnsi="宋体" w:eastAsia="仿宋" w:cs="Times New Roman"/>
          <w:b/>
          <w:sz w:val="32"/>
          <w:szCs w:val="32"/>
        </w:rPr>
        <w:t>：202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5</w:t>
      </w:r>
      <w:r>
        <w:rPr>
          <w:rFonts w:ascii="宋体" w:hAnsi="宋体" w:eastAsia="仿宋" w:cs="Times New Roman"/>
          <w:b/>
          <w:sz w:val="32"/>
          <w:szCs w:val="32"/>
        </w:rPr>
        <w:t>年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</w:t>
      </w:r>
      <w:r>
        <w:rPr>
          <w:rFonts w:ascii="宋体" w:hAnsi="宋体" w:eastAsia="仿宋" w:cs="Times New Roman"/>
          <w:b/>
          <w:sz w:val="32"/>
          <w:szCs w:val="32"/>
        </w:rPr>
        <w:t>月</w:t>
      </w:r>
      <w:r>
        <w:rPr>
          <w:rFonts w:hint="eastAsia" w:ascii="宋体" w:hAnsi="宋体" w:eastAsia="仿宋" w:cs="Times New Roman"/>
          <w:b/>
          <w:sz w:val="32"/>
          <w:szCs w:val="32"/>
          <w:lang w:val="en-US" w:eastAsia="zh-CN"/>
        </w:rPr>
        <w:t>21</w:t>
      </w:r>
      <w:r>
        <w:rPr>
          <w:rFonts w:ascii="宋体" w:hAnsi="宋体" w:eastAsia="仿宋" w:cs="Times New Roman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hint="eastAsia" w:ascii="宋体" w:cs="Times New Roman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部门</w:t>
      </w:r>
      <w:r>
        <w:rPr>
          <w:rFonts w:hint="eastAsia" w:ascii="宋体" w:hAnsi="宋体" w:eastAsia="黑体" w:cs="Times New Roman"/>
          <w:b/>
          <w:sz w:val="30"/>
          <w:szCs w:val="30"/>
        </w:rPr>
        <w:t>整体</w:t>
      </w:r>
      <w:r>
        <w:rPr>
          <w:rFonts w:ascii="宋体" w:hAnsi="宋体" w:eastAsia="黑体" w:cs="Times New Roman"/>
          <w:b/>
          <w:sz w:val="30"/>
          <w:szCs w:val="30"/>
        </w:rPr>
        <w:t>概况</w:t>
      </w:r>
    </w:p>
    <w:p>
      <w:pPr>
        <w:numPr>
          <w:ilvl w:val="0"/>
          <w:numId w:val="2"/>
        </w:numPr>
        <w:snapToGrid w:val="0"/>
        <w:spacing w:line="520" w:lineRule="exact"/>
        <w:ind w:firstLine="602" w:firstLineChars="200"/>
        <w:rPr>
          <w:rFonts w:hint="eastAsia" w:ascii="宋体" w:hAnsi="宋体" w:eastAsia="仿宋" w:cs="Times New Roman"/>
          <w:b/>
          <w:sz w:val="30"/>
          <w:szCs w:val="30"/>
        </w:rPr>
      </w:pPr>
      <w:r>
        <w:rPr>
          <w:rFonts w:hint="eastAsia" w:ascii="宋体" w:hAnsi="宋体" w:eastAsia="仿宋" w:cs="Times New Roman"/>
          <w:b/>
          <w:sz w:val="30"/>
          <w:szCs w:val="30"/>
        </w:rPr>
        <w:t>部门主要职责职能及人员情况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/>
          <w:sz w:val="32"/>
          <w:szCs w:val="32"/>
        </w:rPr>
        <w:t>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职责</w:t>
      </w:r>
      <w:r>
        <w:rPr>
          <w:rFonts w:hint="eastAsia" w:ascii="仿宋_GB2312" w:hAnsi="仿宋" w:eastAsia="仿宋_GB2312"/>
          <w:sz w:val="32"/>
          <w:szCs w:val="32"/>
        </w:rPr>
        <w:t>职能。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综合办公室。负责机关日常运转工作；负责拟订全区司法行政工作规划、年度工作要点并监督实施；负责司法行政信息工作；负责全区司法行政系统重大政务活动的协调安排和督察督办；负责起草综合性文件、报告；负责信息、保密、文电、档案、接待及安全保卫工作；负责本系统社会治安综合治理、安全生产等工作。负责本系统财务、物资装备和基本建设管理、网络信息化建设；负责本系统的预决算、财务管理、工资福利和政府采购工作；负责本系统国有资产管理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法治政研督查科、依法治区办秘书科。研究提出建设法治政府推进依法行政的意见和措施；负责全面依法治区重大决策部署和政策措施的督促检查工作；负责拟定区委全面依法治区办年度督查工作计划，组织开展重点工作督查，提出督察意见、问责建议；接受全区各部门法治工作重要决定和方案的备案；负责拟定本系统发展战略、中长期规划、重大政策；负责推进全区司法行政改革工作；组织开展政府规章和规范性文件清理工作；负责规范性文件备案审查；组织办理区政府重大行政决策合法性审查；负责本系统的执法监督检查和法治调研工作；负责本系统纪检监察、监督执纪问责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行政复议应诉科。依法受理行政复议申请，履行《中华人民共和国行政复议法》规定的各项职责。承办由区政府、区政府各部门行政行为引起的行政复议案件；受区政府委托，代理以区政府为被告的行政诉讼案件应诉工作；监督、指导全区行政复议和行政应诉工作；办理行政复议与应诉的统计分析、评价、问题建议和综合等事项；办理区政府交办的涉法事务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行政执法协调监督科。负责全区行政执法综合协调工作；指导、监督全区各部门行政执法工作，推进严格规范公正文明执法；指导全区行政执法队伍规范化、制度化建设和行政执法人员培训工作；指导、监督仲裁法律法规和政策的执行；负责区政府职能转变、“放管服”等改革措施的法制办协调工作，牵头负责区司法局“放管服”有关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基层工作指导科。统筹、协调、指导司法所建设，指导、监督基层司法所、人民调解工作；指导全区人民调解、行政调解、行业性专业性调解工作。指导全区各级人民调解委员会工作，参与并组织全区矛盾纠纷排查化解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社区矫正帮教科。负责组织实施社区矫正工作；组织对社区矫正协管员和社会志愿者进行专门培训；指导、监督社区矫正的有关法律法规及相关方针政策的执行情况；负责对社区服刑人员进行矫正的日常监督、管理和帮扶工作。负责对镇乡、街道帮教组织建设的指导，整顿、调整帮教组织和工作人员、开展好安置帮教工作；负责镇乡、街道安置帮教人员的日常组织和协调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法律服务管理科。负责指导和管理律师、法律服务、司法鉴定工作；负责审查各律师事务所、法律服务所、司法鉴定机构有关年检登记、考评以及对律师、法律服务工作者、司法鉴定人员的教育和管理工作；指导、监督党政机关、企事业单位法律顾问和社会法律咨询服务机构工作；受理对律师、法律服务工作者、司法鉴定人员的投诉，负责本系统涉法涉诉、信访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法律援助科（丰南区法律援助中心）。负责规划和推进全区公共法律服务体系和平台建设工作；负责指导、监督全区法律援助工作及开展情况；指导、监督其他团体、组织、学校开展法律援助活动，承办本地区公民申请的法律援助事项；负责对全区法律援助人员的培训；负责法律援助表彰和处罚工作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法制宣传科。负责拟订全区法治宣传教育规划并组织实施。指导、监督全区“谁执法谁普法”的法普法责任制落实，推进全民普法工作；指导、监督全区国家工作人员学法用法工作；指导、监督全区依法治理和基层法治创建工作；指导全区社会主义法治文化建设工作；负责组织、指导法治宣传报道工作。</w:t>
      </w:r>
    </w:p>
    <w:p>
      <w:pPr>
        <w:ind w:firstLine="56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政治处（警务处）。负责和指导本系统思想政治工作、组织工作、人事管理、机构编制工作；负责机关和直属单位的党群工作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。</w:t>
      </w:r>
    </w:p>
    <w:p>
      <w:pPr>
        <w:ind w:firstLine="56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二、人员情况。</w:t>
      </w:r>
    </w:p>
    <w:p>
      <w:pPr>
        <w:snapToGrid w:val="0"/>
        <w:spacing w:line="520" w:lineRule="exact"/>
        <w:ind w:firstLine="640" w:firstLineChars="200"/>
        <w:rPr>
          <w:rFonts w:ascii="宋体" w:hAnsi="宋体" w:eastAsia="仿宋" w:cs="Times New Roman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我部门财政供养实有在职人员68人，其中行政编制67人，人事代理 1 人；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劳务派遣人员41人（其中非定额人员6人），离退休老干部调解员44人，退休人员28人。</w:t>
      </w:r>
    </w:p>
    <w:p>
      <w:pPr>
        <w:ind w:firstLine="602" w:firstLineChars="200"/>
        <w:rPr>
          <w:rFonts w:ascii="宋体" w:hAnsi="宋体" w:eastAsia="仿宋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仿宋" w:cs="Times New Roman"/>
          <w:b/>
          <w:color w:val="auto"/>
          <w:sz w:val="30"/>
          <w:szCs w:val="30"/>
        </w:rPr>
        <w:t>（二）部门预算执行情况等</w:t>
      </w:r>
    </w:p>
    <w:p>
      <w:pPr>
        <w:spacing w:line="540" w:lineRule="exact"/>
        <w:ind w:firstLine="600" w:firstLineChars="200"/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</w:pP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本部门202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年度申请预算资金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1887.434024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万元，其中：共同财政事权转移支付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98.014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98.014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万元、省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36.94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万元、市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万元），专项转移支付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万元、省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万元、市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万元），债券资金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万元；实际支出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1887.434024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万元，其中：共同财政事权转移支付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万元、省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万元、市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万元），专项转移支付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万元（包含中央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万元、省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万元、市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万元），债券资金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万元；预算执行率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%。其中：项目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个（与部门开展项目自评个数相同），金额合计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470.270461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万元（与部门开展项目自评金额合计相同），实际支出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470.270461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万元，执行率为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仿宋" w:cs="仿宋"/>
          <w:b w:val="0"/>
          <w:bCs/>
          <w:color w:val="auto"/>
          <w:sz w:val="30"/>
          <w:szCs w:val="30"/>
        </w:rPr>
        <w:t>%。</w:t>
      </w:r>
    </w:p>
    <w:p>
      <w:pPr>
        <w:ind w:left="0"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二、绩效评价组织情况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绩效目标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:提高全区人民法律意识和法律素质，增强法治化管理水平，促进全区民主与法制建设;全面构建全区社区矫正信息化管理体系；全面加强社区矫正日常监管工作，最大限度预防和减少社区矫正人员脱管、漏管和重新犯罪，维护社会和谐稳定;充分发挥人民调解在化解矛盾纠纷的基础性作用;全面构建全区安置帮教网络信息化管理体系；加强帮教人员日常监管工作，最大限度预防和减少帮教人员脱管、漏管和重新犯罪;政府职能依法全面履行，依法行政制度体系完备，行政决策科学民主合法，宪法法律严格公正实施，行政权力规范透明运行，人民权益切实有效保障，依法行政能力普遍提高。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绩效指标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:重点工作完成率100%,全年工作任务达标率100%,绩效目标指标设置达标率100%,完成及时率100%,法律援助案件及时受理、及时审批、及时指派100%,人民调解发挥作用95%,服务对象满意度90%。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评价标准和评价方法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三、</w:t>
      </w:r>
      <w:r>
        <w:rPr>
          <w:rFonts w:hint="eastAsia" w:ascii="宋体" w:hAnsi="宋体" w:eastAsia="黑体" w:cs="Times New Roman"/>
          <w:b/>
          <w:sz w:val="30"/>
          <w:szCs w:val="30"/>
        </w:rPr>
        <w:t>部门绩效管理开展的整体绩效实现情况</w:t>
      </w:r>
    </w:p>
    <w:p>
      <w:pPr>
        <w:spacing w:line="570" w:lineRule="exact"/>
        <w:ind w:firstLine="640" w:firstLineChars="200"/>
        <w:jc w:val="both"/>
        <w:rPr>
          <w:rFonts w:ascii="宋体" w:hAnsi="宋体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2024年我局整体支出情况良好，根据年初工作规划和重点性工作，较好的完成了年度工作目标,</w:t>
      </w:r>
      <w:r>
        <w:rPr>
          <w:rFonts w:hint="eastAsia" w:ascii="宋体" w:hAnsi="宋体" w:eastAsia="仿宋" w:cs="Times New Roman"/>
          <w:b w:val="0"/>
          <w:bCs/>
          <w:sz w:val="30"/>
          <w:szCs w:val="30"/>
          <w:lang w:val="en-US" w:eastAsia="zh-CN"/>
        </w:rPr>
        <w:t>服务对象满意度90%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加强预算收支管理，不断建立健全内部控制制度，梳理内部控制流程，部门整体支出管理情况得到提升。支出总额控制在预算总额内，除专项预算的追加区社会治理综合服务中心修缮费用预算外，本部门预算未进行预算相关事项调整。根据《部门整体支出绩效评价指标体系评分表》评分，得分98分</w:t>
      </w:r>
      <w:r>
        <w:rPr>
          <w:rFonts w:hint="eastAsia" w:ascii="仿宋" w:eastAsia="仿宋"/>
          <w:sz w:val="32"/>
          <w:szCs w:val="32"/>
        </w:rPr>
        <w:t>。</w:t>
      </w:r>
    </w:p>
    <w:p>
      <w:pPr>
        <w:numPr>
          <w:ilvl w:val="0"/>
          <w:numId w:val="3"/>
        </w:numPr>
        <w:ind w:firstLine="602" w:firstLineChars="200"/>
        <w:rPr>
          <w:rFonts w:ascii="宋体" w:hAnsi="宋体" w:eastAsia="黑体" w:cs="Times New Roman"/>
          <w:b/>
          <w:sz w:val="30"/>
          <w:szCs w:val="30"/>
        </w:rPr>
      </w:pPr>
      <w:r>
        <w:rPr>
          <w:rFonts w:ascii="宋体" w:hAnsi="宋体" w:eastAsia="黑体" w:cs="Times New Roman"/>
          <w:b/>
          <w:sz w:val="30"/>
          <w:szCs w:val="30"/>
        </w:rPr>
        <w:t>存在的问题和建议</w:t>
      </w:r>
    </w:p>
    <w:p>
      <w:pPr>
        <w:keepNext w:val="0"/>
        <w:keepLines w:val="0"/>
        <w:widowControl/>
        <w:suppressLineNumbers w:val="0"/>
        <w:shd w:val="clear" w:color="auto" w:fill="FFFFFF"/>
        <w:wordWrap/>
        <w:bidi w:val="0"/>
        <w:spacing w:before="100" w:beforeAutospacing="1" w:after="0" w:afterAutospacing="0" w:line="60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黑体" w:cs="Times New Roman"/>
          <w:b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绩效评价工作的认识不够。通过绩效评价工作的逐步推进，我单位逐步树立了绩效理念，对预算绩效评价工作的态度由“被动接受”变为“主动实施”，但了解还不够深入，认为绩效评价只是财务部门的事情，相关项目职责部门配合不够，往往只能提供有限的财经资料或简单的工作计划、工作总结，绩效评价工作资料非常有限，内容粗浅。大部分单位直接借用工作计划，工作总结等做为绩效自评报告的主要内容。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主要建议：一是需要进行广泛的项目绩效评价技术培训；二是要从项目预算开始对项目绩效内容进行约束；三是项目评价的依据项目实施方案编制要详细，可操作性要强，资金支出计划要准确，减少项目变更，降低项目资金余额。</w:t>
      </w:r>
      <w:r>
        <w:rPr>
          <w:rFonts w:hint="eastAsia" w:ascii="方正仿宋简体" w:eastAsia="方正仿宋简体" w:cs="方正仿宋简体"/>
          <w:sz w:val="32"/>
          <w:szCs w:val="32"/>
        </w:rPr>
        <w:t xml:space="preserve">     </w:t>
      </w:r>
    </w:p>
    <w:p>
      <w:pPr>
        <w:ind w:firstLine="602" w:firstLineChars="200"/>
        <w:rPr>
          <w:rFonts w:ascii="宋体" w:hAnsi="宋体" w:eastAsia="黑体" w:cs="Times New Roman"/>
          <w:b/>
          <w:bCs/>
          <w:sz w:val="30"/>
          <w:szCs w:val="30"/>
        </w:rPr>
      </w:pPr>
      <w:r>
        <w:rPr>
          <w:rFonts w:ascii="宋体" w:hAnsi="宋体" w:eastAsia="黑体" w:cs="Times New Roman"/>
          <w:b/>
          <w:bCs/>
          <w:sz w:val="30"/>
          <w:szCs w:val="30"/>
        </w:rPr>
        <w:t>五、</w:t>
      </w:r>
      <w:r>
        <w:rPr>
          <w:rFonts w:hint="eastAsia" w:ascii="宋体" w:hAnsi="宋体" w:eastAsia="黑体" w:cs="Times New Roman"/>
          <w:b/>
          <w:bCs/>
          <w:sz w:val="30"/>
          <w:szCs w:val="30"/>
        </w:rPr>
        <w:t>其他需要说明的问题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无。</w:t>
      </w:r>
    </w:p>
    <w:p>
      <w:pPr>
        <w:ind w:firstLine="602" w:firstLineChars="200"/>
        <w:rPr>
          <w:rFonts w:hint="eastAsia" w:ascii="宋体" w:hAnsi="宋体" w:eastAsia="黑体" w:cs="Times New Roman"/>
          <w:b/>
          <w:sz w:val="30"/>
          <w:szCs w:val="30"/>
        </w:rPr>
      </w:pPr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79785"/>
    <w:multiLevelType w:val="singleLevel"/>
    <w:tmpl w:val="B8C7978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44FD473B"/>
    <w:multiLevelType w:val="singleLevel"/>
    <w:tmpl w:val="44FD47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8ECF22"/>
    <w:multiLevelType w:val="singleLevel"/>
    <w:tmpl w:val="5E8ECF2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ZkNmE1NDBjZjhkNWQ3YTU0N2UyM2U4ZDQwYmNhNGQifQ=="/>
    <w:docVar w:name="KSO_WPS_MARK_KEY" w:val="8b22cfbe-2c37-4a50-8ac0-9f115a7198ae"/>
  </w:docVars>
  <w:rsids>
    <w:rsidRoot w:val="00000000"/>
    <w:rsid w:val="00F60F73"/>
    <w:rsid w:val="2FB50EE2"/>
    <w:rsid w:val="31455897"/>
    <w:rsid w:val="55A73443"/>
    <w:rsid w:val="59260EED"/>
    <w:rsid w:val="5FF46507"/>
    <w:rsid w:val="64D121B8"/>
    <w:rsid w:val="69465BE1"/>
    <w:rsid w:val="715475A8"/>
    <w:rsid w:val="795A6D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7C7BE9D-26D7-410C-A78F-CF42BD890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2956</Words>
  <Characters>3068</Characters>
  <Lines>0</Lines>
  <Paragraphs>38</Paragraphs>
  <TotalTime>1</TotalTime>
  <ScaleCrop>false</ScaleCrop>
  <LinksUpToDate>false</LinksUpToDate>
  <CharactersWithSpaces>3087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Administrator</cp:lastModifiedBy>
  <dcterms:modified xsi:type="dcterms:W3CDTF">2025-03-31T03:05:21Z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4D9F625E79F7481D9ACC8DDBA32A007E_13</vt:lpwstr>
  </property>
</Properties>
</file>