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E8101">
      <w:pPr>
        <w:jc w:val="left"/>
        <w:rPr>
          <w:rFonts w:hint="eastAsia" w:ascii="宋体" w:eastAsia="宋体" w:cs="Times New Roman"/>
          <w:b/>
          <w:sz w:val="30"/>
          <w:szCs w:val="30"/>
          <w:lang w:val="en-US" w:eastAsia="zh-CN"/>
        </w:rPr>
      </w:pPr>
      <w:r>
        <w:rPr>
          <w:rFonts w:hint="eastAsia" w:ascii="宋体" w:cs="Times New Roman"/>
          <w:b/>
          <w:sz w:val="30"/>
          <w:szCs w:val="30"/>
        </w:rPr>
        <w:t>附件</w:t>
      </w:r>
      <w:r>
        <w:rPr>
          <w:rFonts w:hint="eastAsia" w:ascii="宋体" w:cs="Times New Roman"/>
          <w:b/>
          <w:sz w:val="30"/>
          <w:szCs w:val="30"/>
          <w:lang w:val="en-US" w:eastAsia="zh-CN"/>
        </w:rPr>
        <w:t>5</w:t>
      </w:r>
    </w:p>
    <w:p w14:paraId="4790AC73">
      <w:pPr>
        <w:jc w:val="center"/>
        <w:rPr>
          <w:rFonts w:hint="eastAsia" w:ascii="宋体" w:cs="Times New Roman"/>
          <w:b/>
          <w:sz w:val="44"/>
          <w:szCs w:val="44"/>
          <w:lang w:eastAsia="zh-CN"/>
        </w:rPr>
      </w:pPr>
      <w:r>
        <w:rPr>
          <w:rFonts w:hint="eastAsia" w:ascii="宋体" w:cs="Times New Roman"/>
          <w:b/>
          <w:sz w:val="44"/>
          <w:szCs w:val="44"/>
          <w:lang w:eastAsia="zh-CN"/>
        </w:rPr>
        <w:t>丰南区住房和城乡建设局</w:t>
      </w:r>
    </w:p>
    <w:p w14:paraId="182ABB22">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14:paraId="6E1F8A69">
      <w:pPr>
        <w:jc w:val="center"/>
        <w:rPr>
          <w:rFonts w:ascii="宋体" w:hAnsi="宋体" w:eastAsia="仿宋" w:cs="Times New Roman"/>
          <w:b/>
          <w:sz w:val="30"/>
          <w:szCs w:val="30"/>
        </w:rPr>
      </w:pPr>
      <w:r>
        <w:rPr>
          <w:rFonts w:ascii="宋体" w:hAnsi="宋体" w:eastAsia="仿宋" w:cs="Times New Roman"/>
          <w:b/>
          <w:sz w:val="30"/>
          <w:szCs w:val="30"/>
        </w:rPr>
        <w:t>（202</w:t>
      </w:r>
      <w:r>
        <w:rPr>
          <w:rFonts w:hint="eastAsia" w:ascii="宋体" w:hAnsi="宋体" w:eastAsia="仿宋" w:cs="Times New Roman"/>
          <w:b/>
          <w:sz w:val="30"/>
          <w:szCs w:val="30"/>
          <w:lang w:val="en-US" w:eastAsia="zh-CN"/>
        </w:rPr>
        <w:t>4</w:t>
      </w:r>
      <w:r>
        <w:rPr>
          <w:rFonts w:ascii="宋体" w:hAnsi="宋体" w:eastAsia="仿宋" w:cs="Times New Roman"/>
          <w:b/>
          <w:sz w:val="30"/>
          <w:szCs w:val="30"/>
        </w:rPr>
        <w:t>年度）</w:t>
      </w:r>
    </w:p>
    <w:p w14:paraId="1E78D81F">
      <w:pPr>
        <w:rPr>
          <w:rFonts w:ascii="宋体" w:hAnsi="宋体" w:eastAsia="仿宋" w:cs="Times New Roman"/>
          <w:b/>
        </w:rPr>
      </w:pPr>
    </w:p>
    <w:p w14:paraId="0C4D13BB">
      <w:pPr>
        <w:rPr>
          <w:rFonts w:ascii="宋体" w:hAnsi="宋体" w:eastAsia="仿宋" w:cs="Times New Roman"/>
          <w:b/>
        </w:rPr>
      </w:pPr>
    </w:p>
    <w:p w14:paraId="2A652A60">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ascii="宋体" w:hAnsi="宋体" w:eastAsia="仿宋" w:cs="Times New Roman"/>
          <w:b/>
          <w:sz w:val="44"/>
          <w:szCs w:val="44"/>
        </w:rPr>
        <w:sym w:font="Wingdings 2" w:char="0052"/>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bookmarkStart w:id="1" w:name="_GoBack"/>
      <w:bookmarkEnd w:id="1"/>
    </w:p>
    <w:p w14:paraId="66E4A562">
      <w:pPr>
        <w:rPr>
          <w:rFonts w:ascii="宋体" w:hAnsi="宋体" w:eastAsia="仿宋" w:cs="Times New Roman"/>
          <w:b/>
        </w:rPr>
      </w:pPr>
    </w:p>
    <w:p w14:paraId="525442DB">
      <w:pPr>
        <w:rPr>
          <w:rFonts w:ascii="宋体" w:hAnsi="宋体" w:eastAsia="仿宋" w:cs="Times New Roman"/>
          <w:b/>
        </w:rPr>
      </w:pPr>
    </w:p>
    <w:p w14:paraId="45DB90BD">
      <w:pPr>
        <w:rPr>
          <w:rFonts w:ascii="宋体" w:hAnsi="宋体" w:eastAsia="仿宋" w:cs="Times New Roman"/>
          <w:b/>
        </w:rPr>
      </w:pPr>
    </w:p>
    <w:p w14:paraId="5A62F978">
      <w:pPr>
        <w:ind w:firstLine="1928" w:firstLineChars="600"/>
        <w:rPr>
          <w:rFonts w:ascii="宋体" w:hAnsi="宋体" w:eastAsia="仿宋" w:cs="Times New Roman"/>
          <w:b/>
          <w:sz w:val="32"/>
          <w:szCs w:val="32"/>
        </w:rPr>
      </w:pPr>
    </w:p>
    <w:p w14:paraId="0E38B310">
      <w:pPr>
        <w:ind w:firstLine="1928" w:firstLineChars="600"/>
        <w:rPr>
          <w:rFonts w:ascii="宋体" w:hAnsi="宋体" w:eastAsia="仿宋" w:cs="Times New Roman"/>
          <w:b/>
          <w:sz w:val="32"/>
          <w:szCs w:val="32"/>
        </w:rPr>
      </w:pPr>
    </w:p>
    <w:p w14:paraId="3BEC1B3B">
      <w:pPr>
        <w:ind w:firstLine="1928" w:firstLineChars="600"/>
        <w:rPr>
          <w:rFonts w:ascii="宋体" w:hAnsi="宋体" w:eastAsia="仿宋" w:cs="Times New Roman"/>
          <w:b/>
          <w:sz w:val="32"/>
          <w:szCs w:val="32"/>
        </w:rPr>
      </w:pPr>
    </w:p>
    <w:p w14:paraId="7C0F54DD">
      <w:pPr>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rPr>
        <w:t xml:space="preserve"> </w:t>
      </w:r>
      <w:r>
        <w:rPr>
          <w:rFonts w:hint="eastAsia" w:ascii="宋体" w:hAnsi="宋体" w:eastAsia="仿宋" w:cs="Times New Roman"/>
          <w:b/>
          <w:sz w:val="32"/>
          <w:szCs w:val="32"/>
          <w:u w:val="single"/>
          <w:lang w:val="en-US" w:eastAsia="zh-CN"/>
        </w:rPr>
        <w:t>唐山市丰南区住房和城乡建设局</w:t>
      </w:r>
      <w:r>
        <w:rPr>
          <w:rFonts w:hint="eastAsia" w:ascii="宋体" w:hAnsi="宋体" w:eastAsia="仿宋" w:cs="Times New Roman"/>
          <w:b/>
          <w:sz w:val="32"/>
          <w:szCs w:val="32"/>
          <w:u w:val="single"/>
        </w:rPr>
        <w:t xml:space="preserve">     （加盖公章）</w:t>
      </w:r>
    </w:p>
    <w:p w14:paraId="5707488E">
      <w:pPr>
        <w:rPr>
          <w:rFonts w:hint="default" w:ascii="宋体" w:hAnsi="宋体" w:eastAsia="仿宋" w:cs="Times New Roman"/>
          <w:b/>
          <w:sz w:val="32"/>
          <w:szCs w:val="32"/>
          <w:lang w:val="en-US" w:eastAsia="zh-CN"/>
        </w:rPr>
      </w:pPr>
      <w:r>
        <w:rPr>
          <w:rFonts w:ascii="宋体" w:hAnsi="宋体" w:eastAsia="仿宋" w:cs="Times New Roman"/>
          <w:b/>
          <w:sz w:val="32"/>
          <w:szCs w:val="32"/>
        </w:rPr>
        <w:t>联系电话：</w:t>
      </w:r>
      <w:r>
        <w:rPr>
          <w:rFonts w:hint="eastAsia" w:ascii="宋体" w:hAnsi="宋体" w:eastAsia="仿宋" w:cs="Times New Roman"/>
          <w:b/>
          <w:sz w:val="32"/>
          <w:szCs w:val="32"/>
          <w:lang w:val="en-US" w:eastAsia="zh-CN"/>
        </w:rPr>
        <w:t>8288928</w:t>
      </w:r>
    </w:p>
    <w:p w14:paraId="19E0DF92">
      <w:pPr>
        <w:ind w:firstLine="1446" w:firstLineChars="450"/>
        <w:rPr>
          <w:rFonts w:ascii="宋体" w:hAnsi="宋体" w:eastAsia="仿宋" w:cs="Times New Roman"/>
          <w:b/>
          <w:sz w:val="32"/>
          <w:szCs w:val="32"/>
        </w:rPr>
      </w:pPr>
    </w:p>
    <w:p w14:paraId="429AB913">
      <w:pPr>
        <w:ind w:firstLine="1446" w:firstLineChars="450"/>
        <w:rPr>
          <w:rFonts w:ascii="宋体" w:hAnsi="宋体" w:eastAsia="仿宋" w:cs="Times New Roman"/>
          <w:b/>
          <w:sz w:val="32"/>
          <w:szCs w:val="32"/>
        </w:rPr>
      </w:pPr>
    </w:p>
    <w:p w14:paraId="4876FE9C">
      <w:pPr>
        <w:ind w:firstLine="1446" w:firstLineChars="450"/>
        <w:rPr>
          <w:rFonts w:ascii="宋体" w:hAnsi="宋体" w:eastAsia="仿宋" w:cs="Times New Roman"/>
          <w:b/>
          <w:sz w:val="32"/>
          <w:szCs w:val="32"/>
        </w:rPr>
      </w:pPr>
    </w:p>
    <w:p w14:paraId="408465EF">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：202</w:t>
      </w:r>
      <w:r>
        <w:rPr>
          <w:rFonts w:hint="eastAsia" w:ascii="宋体" w:hAnsi="宋体" w:eastAsia="仿宋" w:cs="Times New Roman"/>
          <w:b/>
          <w:sz w:val="32"/>
          <w:szCs w:val="32"/>
          <w:lang w:val="en-US" w:eastAsia="zh-CN"/>
        </w:rPr>
        <w:t>5</w:t>
      </w:r>
      <w:r>
        <w:rPr>
          <w:rFonts w:ascii="宋体" w:hAnsi="宋体" w:eastAsia="仿宋" w:cs="Times New Roman"/>
          <w:b/>
          <w:sz w:val="32"/>
          <w:szCs w:val="32"/>
        </w:rPr>
        <w:t xml:space="preserve">年 </w:t>
      </w:r>
      <w:r>
        <w:rPr>
          <w:rFonts w:hint="eastAsia" w:ascii="宋体" w:hAnsi="宋体" w:eastAsia="仿宋" w:cs="Times New Roman"/>
          <w:b/>
          <w:sz w:val="32"/>
          <w:szCs w:val="32"/>
          <w:lang w:val="en-US" w:eastAsia="zh-CN"/>
        </w:rPr>
        <w:t>2</w:t>
      </w:r>
      <w:r>
        <w:rPr>
          <w:rFonts w:ascii="宋体" w:hAnsi="宋体" w:eastAsia="仿宋" w:cs="Times New Roman"/>
          <w:b/>
          <w:sz w:val="32"/>
          <w:szCs w:val="32"/>
        </w:rPr>
        <w:t xml:space="preserve">月 </w:t>
      </w:r>
      <w:r>
        <w:rPr>
          <w:rFonts w:hint="eastAsia" w:ascii="宋体" w:hAnsi="宋体" w:eastAsia="仿宋" w:cs="Times New Roman"/>
          <w:b/>
          <w:sz w:val="32"/>
          <w:szCs w:val="32"/>
          <w:lang w:val="en-US" w:eastAsia="zh-CN"/>
        </w:rPr>
        <w:t>26</w:t>
      </w:r>
      <w:r>
        <w:rPr>
          <w:rFonts w:ascii="宋体" w:hAnsi="宋体" w:eastAsia="仿宋" w:cs="Times New Roman"/>
          <w:b/>
          <w:sz w:val="32"/>
          <w:szCs w:val="32"/>
        </w:rPr>
        <w:t>日</w:t>
      </w:r>
    </w:p>
    <w:p w14:paraId="27B02337">
      <w:pPr>
        <w:jc w:val="center"/>
        <w:rPr>
          <w:rFonts w:ascii="宋体" w:cs="Times New Roman"/>
          <w:b/>
          <w:sz w:val="44"/>
          <w:szCs w:val="44"/>
        </w:rPr>
      </w:pPr>
    </w:p>
    <w:p w14:paraId="32482C08">
      <w:pPr>
        <w:jc w:val="center"/>
        <w:rPr>
          <w:rFonts w:ascii="宋体" w:cs="Times New Roman"/>
          <w:b/>
          <w:sz w:val="44"/>
          <w:szCs w:val="44"/>
        </w:rPr>
      </w:pPr>
    </w:p>
    <w:p w14:paraId="2EE0AFAF">
      <w:pPr>
        <w:jc w:val="center"/>
        <w:rPr>
          <w:rFonts w:ascii="宋体" w:cs="Times New Roman"/>
          <w:b/>
          <w:sz w:val="44"/>
          <w:szCs w:val="44"/>
        </w:rPr>
      </w:pPr>
    </w:p>
    <w:p w14:paraId="35A20DB8">
      <w:pPr>
        <w:jc w:val="center"/>
        <w:rPr>
          <w:rFonts w:ascii="宋体" w:cs="Times New Roman"/>
          <w:b/>
          <w:sz w:val="44"/>
          <w:szCs w:val="44"/>
        </w:rPr>
      </w:pPr>
    </w:p>
    <w:p w14:paraId="53B00B08">
      <w:pPr>
        <w:jc w:val="center"/>
        <w:rPr>
          <w:rFonts w:ascii="宋体" w:cs="Times New Roman"/>
          <w:b/>
          <w:sz w:val="44"/>
          <w:szCs w:val="44"/>
        </w:rPr>
      </w:pPr>
    </w:p>
    <w:p w14:paraId="0840134D">
      <w:pPr>
        <w:jc w:val="center"/>
        <w:rPr>
          <w:rFonts w:ascii="宋体" w:cs="Times New Roman"/>
          <w:b/>
          <w:sz w:val="44"/>
          <w:szCs w:val="44"/>
        </w:rPr>
      </w:pPr>
    </w:p>
    <w:p w14:paraId="085FF00F">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14:paraId="1BCBEE3A">
      <w:pPr>
        <w:numPr>
          <w:ilvl w:val="0"/>
          <w:numId w:val="1"/>
        </w:numPr>
        <w:ind w:left="0"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14:paraId="749FDDDA">
      <w:pPr>
        <w:numPr>
          <w:ilvl w:val="0"/>
          <w:numId w:val="2"/>
        </w:num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部门主要职责职能及人员情况</w:t>
      </w:r>
    </w:p>
    <w:p w14:paraId="6EBC6B43">
      <w:pPr>
        <w:keepNext w:val="0"/>
        <w:keepLines w:val="0"/>
        <w:pageBreakBefore w:val="0"/>
        <w:widowControl/>
        <w:numPr>
          <w:ilvl w:val="0"/>
          <w:numId w:val="3"/>
        </w:numPr>
        <w:kinsoku/>
        <w:wordWrap/>
        <w:overflowPunct/>
        <w:topLinePunct w:val="0"/>
        <w:autoSpaceDE/>
        <w:autoSpaceDN/>
        <w:bidi w:val="0"/>
        <w:spacing w:line="360" w:lineRule="auto"/>
        <w:ind w:firstLine="560" w:firstLineChars="200"/>
        <w:textAlignment w:val="baseline"/>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部门</w:t>
      </w:r>
      <w:r>
        <w:rPr>
          <w:rFonts w:hint="eastAsia" w:ascii="仿宋" w:hAnsi="仿宋" w:eastAsia="仿宋" w:cs="仿宋"/>
          <w:b w:val="0"/>
          <w:bCs w:val="0"/>
          <w:color w:val="auto"/>
          <w:sz w:val="28"/>
          <w:szCs w:val="28"/>
        </w:rPr>
        <w:t>职责：</w:t>
      </w:r>
    </w:p>
    <w:p w14:paraId="10469FFB">
      <w:pPr>
        <w:keepNext w:val="0"/>
        <w:keepLines w:val="0"/>
        <w:pageBreakBefore w:val="0"/>
        <w:kinsoku/>
        <w:wordWrap/>
        <w:overflowPunct/>
        <w:topLinePunct w:val="0"/>
        <w:autoSpaceDE/>
        <w:autoSpaceDN/>
        <w:bidi w:val="0"/>
        <w:spacing w:line="360" w:lineRule="auto"/>
        <w:ind w:left="630" w:right="313"/>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根据《唐山市丰南区住房和城乡建设局主要职责内设机构和</w:t>
      </w:r>
    </w:p>
    <w:p w14:paraId="3D82401C">
      <w:pPr>
        <w:keepNext w:val="0"/>
        <w:keepLines w:val="0"/>
        <w:pageBreakBefore w:val="0"/>
        <w:kinsoku/>
        <w:wordWrap/>
        <w:overflowPunct/>
        <w:topLinePunct w:val="0"/>
        <w:autoSpaceDE/>
        <w:autoSpaceDN/>
        <w:bidi w:val="0"/>
        <w:spacing w:line="360" w:lineRule="auto"/>
        <w:ind w:right="313"/>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人员编制规定》，唐山市丰南区住房和城乡建设局为区政府工作部门，主要职责:</w:t>
      </w:r>
    </w:p>
    <w:p w14:paraId="62692DAC">
      <w:pPr>
        <w:keepNext w:val="0"/>
        <w:keepLines w:val="0"/>
        <w:pageBreakBefore w:val="0"/>
        <w:numPr>
          <w:ilvl w:val="0"/>
          <w:numId w:val="0"/>
        </w:numPr>
        <w:kinsoku/>
        <w:wordWrap/>
        <w:overflowPunct/>
        <w:topLinePunct w:val="0"/>
        <w:autoSpaceDE/>
        <w:autoSpaceDN/>
        <w:bidi w:val="0"/>
        <w:spacing w:line="360" w:lineRule="auto"/>
        <w:ind w:right="313" w:rightChars="0"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贯彻执行国家和省、市有关住房和城乡建设管理的方针、政策和法律法规；拟定全区住房和城乡建设发展中长期规划和年度计划；起草全区工程建设、村镇建设、建筑业、住房保障、房产管理、物业管理和市政公用基础设施管理、园林绿化等管理制度、规定，拟定相关政策。</w:t>
      </w:r>
    </w:p>
    <w:p w14:paraId="36004148">
      <w:pPr>
        <w:keepNext w:val="0"/>
        <w:keepLines w:val="0"/>
        <w:pageBreakBefore w:val="0"/>
        <w:numPr>
          <w:ilvl w:val="0"/>
          <w:numId w:val="0"/>
        </w:numPr>
        <w:kinsoku/>
        <w:wordWrap/>
        <w:overflowPunct/>
        <w:topLinePunct w:val="0"/>
        <w:autoSpaceDE/>
        <w:autoSpaceDN/>
        <w:bidi w:val="0"/>
        <w:spacing w:line="360" w:lineRule="auto"/>
        <w:ind w:right="313" w:rightChars="0"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承担规范全区住房和城乡建设管理秩序的责任。贯彻执行国家、省关于住房建设和住房保障、工程建设、城市建设、村镇建设、建筑业、房地产业、市政公用事、行业管理。</w:t>
      </w:r>
    </w:p>
    <w:p w14:paraId="7C66B430">
      <w:pPr>
        <w:keepNext w:val="0"/>
        <w:keepLines w:val="0"/>
        <w:pageBreakBefore w:val="0"/>
        <w:numPr>
          <w:ilvl w:val="0"/>
          <w:numId w:val="0"/>
        </w:numPr>
        <w:kinsoku/>
        <w:wordWrap/>
        <w:overflowPunct/>
        <w:topLinePunct w:val="0"/>
        <w:autoSpaceDE/>
        <w:autoSpaceDN/>
        <w:bidi w:val="0"/>
        <w:spacing w:line="360" w:lineRule="auto"/>
        <w:ind w:right="313" w:rightChars="0"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承担规范全区房地产市场秩序、监督管理房地产市场的责任。贯彻执行国家、省有关房地产市场监督管理的政策；会同有关部门规范房地产市场市场秩序，指导、监督、管理全区房地产开发、房屋权属管理、房屋租赁、房屋面积管理、房地产估价与经纪管理工作。</w:t>
      </w:r>
    </w:p>
    <w:p w14:paraId="5C602F51">
      <w:pPr>
        <w:keepNext w:val="0"/>
        <w:keepLines w:val="0"/>
        <w:pageBreakBefore w:val="0"/>
        <w:numPr>
          <w:ilvl w:val="0"/>
          <w:numId w:val="0"/>
        </w:numPr>
        <w:kinsoku/>
        <w:wordWrap/>
        <w:overflowPunct/>
        <w:topLinePunct w:val="0"/>
        <w:autoSpaceDE/>
        <w:autoSpaceDN/>
        <w:bidi w:val="0"/>
        <w:spacing w:line="360" w:lineRule="auto"/>
        <w:ind w:right="313" w:rightChars="0"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承担保障全区城镇低收入家庭住房的责任。贯彻执行国家、省、市有关住房保障和廉租住房方面的政策；会同有关部门做好全区有关廉租住房资金安排；负责住房制度改革工作。</w:t>
      </w:r>
    </w:p>
    <w:p w14:paraId="21AB7A1D">
      <w:pPr>
        <w:keepNext w:val="0"/>
        <w:keepLines w:val="0"/>
        <w:pageBreakBefore w:val="0"/>
        <w:numPr>
          <w:ilvl w:val="0"/>
          <w:numId w:val="0"/>
        </w:numPr>
        <w:kinsoku/>
        <w:wordWrap/>
        <w:overflowPunct/>
        <w:topLinePunct w:val="0"/>
        <w:autoSpaceDE/>
        <w:autoSpaceDN/>
        <w:bidi w:val="0"/>
        <w:spacing w:line="360" w:lineRule="auto"/>
        <w:ind w:right="313" w:rightChars="0"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承担危旧平房改造工作的责任。负责拟定危旧平房改造工作计划，并进行政策指导和监督。</w:t>
      </w:r>
    </w:p>
    <w:p w14:paraId="00F0692F">
      <w:pPr>
        <w:keepNext w:val="0"/>
        <w:keepLines w:val="0"/>
        <w:pageBreakBefore w:val="0"/>
        <w:numPr>
          <w:ilvl w:val="0"/>
          <w:numId w:val="0"/>
        </w:numPr>
        <w:kinsoku/>
        <w:wordWrap/>
        <w:overflowPunct/>
        <w:topLinePunct w:val="0"/>
        <w:autoSpaceDE/>
        <w:autoSpaceDN/>
        <w:bidi w:val="0"/>
        <w:spacing w:line="360" w:lineRule="auto"/>
        <w:ind w:right="313" w:rightChars="0"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承担物业管理工作的责任。指导规范监督物业管理行为，指导、监督专项维修资金归集和使用。</w:t>
      </w:r>
    </w:p>
    <w:p w14:paraId="1B619554">
      <w:pPr>
        <w:keepNext w:val="0"/>
        <w:keepLines w:val="0"/>
        <w:pageBreakBefore w:val="0"/>
        <w:numPr>
          <w:ilvl w:val="0"/>
          <w:numId w:val="0"/>
        </w:numPr>
        <w:kinsoku/>
        <w:wordWrap/>
        <w:overflowPunct/>
        <w:topLinePunct w:val="0"/>
        <w:autoSpaceDE/>
        <w:autoSpaceDN/>
        <w:bidi w:val="0"/>
        <w:spacing w:line="360" w:lineRule="auto"/>
        <w:ind w:right="313" w:rightChars="0"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承担监督管理全区建筑市场，规范建筑市场各方主体行为的责任。指导全区建筑活动，组织实施房屋建筑和市政工程项目招投标活动的监督执法；规范建筑市场，管理建筑市场准入清出、建筑施工、建设监理、工程质量和建筑安全生产；拟定全区工程施工建筑装饰装修、建设监理、工程造价、工程咨询、市政公用行业和相关社会中介组织的管理办法并监督执行；参与全区大中型建设项目建设前期工作；组织管理全区重点工程建设，负责监管工程的竣工验收；负责对进行施工现场的建设工业产品进行监督管理；负责管理城市建设档案。</w:t>
      </w:r>
    </w:p>
    <w:p w14:paraId="4B6D5FC7">
      <w:pPr>
        <w:keepNext w:val="0"/>
        <w:keepLines w:val="0"/>
        <w:pageBreakBefore w:val="0"/>
        <w:numPr>
          <w:ilvl w:val="0"/>
          <w:numId w:val="0"/>
        </w:numPr>
        <w:kinsoku/>
        <w:wordWrap/>
        <w:overflowPunct/>
        <w:topLinePunct w:val="0"/>
        <w:autoSpaceDE/>
        <w:autoSpaceDN/>
        <w:bidi w:val="0"/>
        <w:spacing w:line="360" w:lineRule="auto"/>
        <w:ind w:right="313" w:rightChars="0"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承担市政公用设施建设管理的责任。负责全区城市市政公用设施建设、运行、安全、和应急管理；负责全区城市建设项目的审查报批工作；负责城市道路和排水管网的建设管理，参与城市防洪的有关工作；负责城乡市容环境卫生综合治理工作；负责公共园林绿地的建设和养护管理工作。</w:t>
      </w:r>
    </w:p>
    <w:p w14:paraId="0BD29448">
      <w:pPr>
        <w:keepNext w:val="0"/>
        <w:keepLines w:val="0"/>
        <w:pageBreakBefore w:val="0"/>
        <w:numPr>
          <w:ilvl w:val="0"/>
          <w:numId w:val="0"/>
        </w:numPr>
        <w:kinsoku/>
        <w:wordWrap/>
        <w:overflowPunct/>
        <w:topLinePunct w:val="0"/>
        <w:autoSpaceDE/>
        <w:autoSpaceDN/>
        <w:bidi w:val="0"/>
        <w:spacing w:line="360" w:lineRule="auto"/>
        <w:ind w:right="313" w:rightChars="0"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担规范和指导全区村镇建设的责任。拟定全区村庄和小城镇建设政策、管理办法并指导实施；指导全区农村住房建设、住房安全及危房改造；指导全区小城镇、村庄基础设施和人居生态环境的改善工作；负责全区村镇建设试点工作，指导全区重点镇建设，指导全区村镇房屋产权产籍的管理工作。</w:t>
      </w:r>
    </w:p>
    <w:p w14:paraId="582765E7">
      <w:pPr>
        <w:keepNext w:val="0"/>
        <w:keepLines w:val="0"/>
        <w:pageBreakBefore w:val="0"/>
        <w:numPr>
          <w:ilvl w:val="0"/>
          <w:numId w:val="0"/>
        </w:numPr>
        <w:kinsoku/>
        <w:wordWrap/>
        <w:overflowPunct/>
        <w:topLinePunct w:val="0"/>
        <w:autoSpaceDE/>
        <w:autoSpaceDN/>
        <w:bidi w:val="0"/>
        <w:spacing w:line="360" w:lineRule="auto"/>
        <w:ind w:right="313" w:rightChars="0"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负责全区供水、供热、燃气事业的管理工作，指导实施供水、供热、燃气年度建设项目计划。</w:t>
      </w:r>
    </w:p>
    <w:p w14:paraId="385D184D">
      <w:pPr>
        <w:keepNext w:val="0"/>
        <w:keepLines w:val="0"/>
        <w:pageBreakBefore w:val="0"/>
        <w:numPr>
          <w:ilvl w:val="0"/>
          <w:numId w:val="0"/>
        </w:numPr>
        <w:kinsoku/>
        <w:wordWrap/>
        <w:overflowPunct/>
        <w:topLinePunct w:val="0"/>
        <w:autoSpaceDE/>
        <w:autoSpaceDN/>
        <w:bidi w:val="0"/>
        <w:spacing w:line="360" w:lineRule="auto"/>
        <w:ind w:right="313" w:rightChars="0"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贯彻执行城镇各类房屋建筑及其附属设施和城市市政工程建设的抗震设计规范；负责全市建筑节能、墙体材料革新、粉煤灰尘及工业废渣综合利用工作。</w:t>
      </w:r>
    </w:p>
    <w:p w14:paraId="179A8A9E">
      <w:pPr>
        <w:keepNext w:val="0"/>
        <w:keepLines w:val="0"/>
        <w:pageBreakBefore w:val="0"/>
        <w:numPr>
          <w:ilvl w:val="0"/>
          <w:numId w:val="0"/>
        </w:numPr>
        <w:kinsoku/>
        <w:wordWrap/>
        <w:overflowPunct/>
        <w:topLinePunct w:val="0"/>
        <w:autoSpaceDE/>
        <w:autoSpaceDN/>
        <w:bidi w:val="0"/>
        <w:spacing w:line="360" w:lineRule="auto"/>
        <w:ind w:right="313" w:rightChars="0"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承担对全区重点工程建设的协调、服务、监督、管理责任。</w:t>
      </w:r>
    </w:p>
    <w:p w14:paraId="5F306B43">
      <w:pPr>
        <w:keepNext w:val="0"/>
        <w:keepLines w:val="0"/>
        <w:pageBreakBefore w:val="0"/>
        <w:numPr>
          <w:ilvl w:val="0"/>
          <w:numId w:val="0"/>
        </w:numPr>
        <w:kinsoku/>
        <w:wordWrap/>
        <w:overflowPunct/>
        <w:topLinePunct w:val="0"/>
        <w:autoSpaceDE/>
        <w:autoSpaceDN/>
        <w:bidi w:val="0"/>
        <w:spacing w:line="360" w:lineRule="auto"/>
        <w:ind w:right="313" w:rightChars="0"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承办区政府交办的其他事项。</w:t>
      </w:r>
    </w:p>
    <w:p w14:paraId="288ECDCF">
      <w:pPr>
        <w:keepNext w:val="0"/>
        <w:keepLines w:val="0"/>
        <w:pageBreakBefore w:val="0"/>
        <w:numPr>
          <w:ilvl w:val="0"/>
          <w:numId w:val="0"/>
        </w:numPr>
        <w:kinsoku/>
        <w:wordWrap/>
        <w:overflowPunct/>
        <w:topLinePunct w:val="0"/>
        <w:autoSpaceDE/>
        <w:autoSpaceDN/>
        <w:bidi w:val="0"/>
        <w:spacing w:line="360" w:lineRule="auto"/>
        <w:ind w:right="313" w:rightChars="0"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2、机构设置</w:t>
      </w:r>
    </w:p>
    <w:p w14:paraId="5069A498">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注：我部门纳入预算管理的核算单位分别为住房和城乡建设局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单位性质行政，单位规格正科级，经费保障形式为财政性资金基本保证；市政工程</w:t>
      </w:r>
      <w:r>
        <w:rPr>
          <w:rFonts w:hint="eastAsia" w:ascii="仿宋" w:hAnsi="仿宋" w:eastAsia="仿宋" w:cs="仿宋"/>
          <w:color w:val="000000"/>
          <w:sz w:val="28"/>
          <w:szCs w:val="28"/>
          <w:lang w:eastAsia="zh-CN"/>
        </w:rPr>
        <w:t>服务站</w:t>
      </w:r>
      <w:r>
        <w:rPr>
          <w:rFonts w:hint="eastAsia" w:ascii="仿宋" w:hAnsi="仿宋" w:eastAsia="仿宋" w:cs="仿宋"/>
          <w:color w:val="000000"/>
          <w:sz w:val="28"/>
          <w:szCs w:val="28"/>
        </w:rPr>
        <w:t>，单位性质事业，单位规格正股级，经费保障形式财政</w:t>
      </w:r>
      <w:r>
        <w:rPr>
          <w:rFonts w:hint="eastAsia" w:ascii="仿宋" w:hAnsi="仿宋" w:eastAsia="仿宋" w:cs="仿宋"/>
          <w:color w:val="000000"/>
          <w:sz w:val="28"/>
          <w:szCs w:val="28"/>
          <w:lang w:eastAsia="zh-CN"/>
        </w:rPr>
        <w:t>拨款</w:t>
      </w:r>
      <w:r>
        <w:rPr>
          <w:rFonts w:hint="eastAsia" w:ascii="仿宋" w:hAnsi="仿宋" w:eastAsia="仿宋" w:cs="仿宋"/>
          <w:color w:val="000000"/>
          <w:sz w:val="28"/>
          <w:szCs w:val="28"/>
        </w:rPr>
        <w:t>；房产</w:t>
      </w:r>
      <w:r>
        <w:rPr>
          <w:rFonts w:hint="eastAsia" w:ascii="仿宋" w:hAnsi="仿宋" w:eastAsia="仿宋" w:cs="仿宋"/>
          <w:color w:val="000000"/>
          <w:sz w:val="28"/>
          <w:szCs w:val="28"/>
          <w:lang w:eastAsia="zh-CN"/>
        </w:rPr>
        <w:t>服务站</w:t>
      </w:r>
      <w:r>
        <w:rPr>
          <w:rFonts w:hint="eastAsia" w:ascii="仿宋" w:hAnsi="仿宋" w:eastAsia="仿宋" w:cs="仿宋"/>
          <w:color w:val="000000"/>
          <w:sz w:val="28"/>
          <w:szCs w:val="28"/>
        </w:rPr>
        <w:t>单位性质为事业，单位规格正股级，经费保障形式财政性资金零补助；园林</w:t>
      </w:r>
      <w:r>
        <w:rPr>
          <w:rFonts w:hint="eastAsia" w:ascii="仿宋" w:hAnsi="仿宋" w:eastAsia="仿宋" w:cs="仿宋"/>
          <w:color w:val="000000"/>
          <w:sz w:val="28"/>
          <w:szCs w:val="28"/>
          <w:lang w:eastAsia="zh-CN"/>
        </w:rPr>
        <w:t>绿化服务站</w:t>
      </w:r>
      <w:r>
        <w:rPr>
          <w:rFonts w:hint="eastAsia" w:ascii="仿宋" w:hAnsi="仿宋" w:eastAsia="仿宋" w:cs="仿宋"/>
          <w:color w:val="000000"/>
          <w:sz w:val="28"/>
          <w:szCs w:val="28"/>
        </w:rPr>
        <w:t>单位性质事业，单位规格其他，经费保障形式财政</w:t>
      </w:r>
      <w:r>
        <w:rPr>
          <w:rFonts w:hint="eastAsia" w:ascii="仿宋" w:hAnsi="仿宋" w:eastAsia="仿宋" w:cs="仿宋"/>
          <w:color w:val="000000"/>
          <w:sz w:val="28"/>
          <w:szCs w:val="28"/>
          <w:lang w:eastAsia="zh-CN"/>
        </w:rPr>
        <w:t>拨款</w:t>
      </w:r>
      <w:r>
        <w:rPr>
          <w:rFonts w:hint="eastAsia" w:ascii="仿宋" w:hAnsi="仿宋" w:eastAsia="仿宋" w:cs="仿宋"/>
          <w:color w:val="000000"/>
          <w:sz w:val="28"/>
          <w:szCs w:val="28"/>
        </w:rPr>
        <w:t>；排水</w:t>
      </w:r>
      <w:r>
        <w:rPr>
          <w:rFonts w:hint="eastAsia" w:ascii="仿宋" w:hAnsi="仿宋" w:eastAsia="仿宋" w:cs="仿宋"/>
          <w:color w:val="000000"/>
          <w:sz w:val="28"/>
          <w:szCs w:val="28"/>
          <w:lang w:eastAsia="zh-CN"/>
        </w:rPr>
        <w:t>服务站</w:t>
      </w:r>
      <w:r>
        <w:rPr>
          <w:rFonts w:hint="eastAsia" w:ascii="仿宋" w:hAnsi="仿宋" w:eastAsia="仿宋" w:cs="仿宋"/>
          <w:color w:val="000000"/>
          <w:sz w:val="28"/>
          <w:szCs w:val="28"/>
        </w:rPr>
        <w:t>，单位性质事业，单位规格正股级，经费保障形式财政性资金基本保证；</w:t>
      </w:r>
      <w:r>
        <w:rPr>
          <w:rFonts w:hint="eastAsia" w:ascii="仿宋" w:hAnsi="仿宋" w:eastAsia="仿宋" w:cs="仿宋"/>
          <w:color w:val="000000"/>
          <w:sz w:val="28"/>
          <w:szCs w:val="28"/>
          <w:lang w:eastAsia="zh-CN"/>
        </w:rPr>
        <w:t>农村环境卫生服务站，单位性质事业，单位规格其他，经费保障形式财政性资金基本保证。</w:t>
      </w:r>
    </w:p>
    <w:p w14:paraId="513382EC">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仿宋" w:hAnsi="仿宋" w:eastAsia="仿宋" w:cs="仿宋"/>
          <w:color w:val="000000"/>
          <w:sz w:val="28"/>
          <w:szCs w:val="28"/>
          <w:lang w:eastAsia="zh-CN"/>
        </w:rPr>
      </w:pPr>
    </w:p>
    <w:p w14:paraId="6A154797">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仿宋" w:hAnsi="仿宋" w:eastAsia="仿宋" w:cs="仿宋"/>
          <w:color w:val="000000"/>
          <w:sz w:val="28"/>
          <w:szCs w:val="28"/>
          <w:lang w:eastAsia="zh-CN"/>
        </w:rPr>
      </w:pPr>
    </w:p>
    <w:p w14:paraId="24AA667A">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仿宋" w:hAnsi="仿宋" w:eastAsia="仿宋" w:cs="仿宋"/>
          <w:color w:val="000000"/>
          <w:sz w:val="28"/>
          <w:szCs w:val="28"/>
          <w:lang w:eastAsia="zh-CN"/>
        </w:rPr>
      </w:pPr>
    </w:p>
    <w:tbl>
      <w:tblPr>
        <w:tblStyle w:val="5"/>
        <w:tblpPr w:leftFromText="180" w:rightFromText="180" w:vertAnchor="text" w:horzAnchor="page" w:tblpX="1540" w:tblpY="500"/>
        <w:tblOverlap w:val="never"/>
        <w:tblW w:w="882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91"/>
        <w:gridCol w:w="1276"/>
        <w:gridCol w:w="1134"/>
        <w:gridCol w:w="3021"/>
      </w:tblGrid>
      <w:tr w14:paraId="00D1A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trPr>
        <w:tc>
          <w:tcPr>
            <w:tcW w:w="3391" w:type="dxa"/>
            <w:vMerge w:val="restart"/>
            <w:noWrap w:val="0"/>
            <w:vAlign w:val="center"/>
          </w:tcPr>
          <w:p w14:paraId="79AA53CB">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单位名称</w:t>
            </w:r>
          </w:p>
        </w:tc>
        <w:tc>
          <w:tcPr>
            <w:tcW w:w="1276" w:type="dxa"/>
            <w:vMerge w:val="restart"/>
            <w:noWrap w:val="0"/>
            <w:vAlign w:val="center"/>
          </w:tcPr>
          <w:p w14:paraId="752A9919">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单位性质</w:t>
            </w:r>
          </w:p>
        </w:tc>
        <w:tc>
          <w:tcPr>
            <w:tcW w:w="1134" w:type="dxa"/>
            <w:vMerge w:val="restart"/>
            <w:noWrap w:val="0"/>
            <w:vAlign w:val="center"/>
          </w:tcPr>
          <w:p w14:paraId="32B1F2BF">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单位规格</w:t>
            </w:r>
          </w:p>
        </w:tc>
        <w:tc>
          <w:tcPr>
            <w:tcW w:w="3021" w:type="dxa"/>
            <w:vMerge w:val="restart"/>
            <w:noWrap w:val="0"/>
            <w:vAlign w:val="center"/>
          </w:tcPr>
          <w:p w14:paraId="2190C6E1">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经费保障形式</w:t>
            </w:r>
          </w:p>
        </w:tc>
      </w:tr>
      <w:tr w14:paraId="441A3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trPr>
        <w:tc>
          <w:tcPr>
            <w:tcW w:w="3391" w:type="dxa"/>
            <w:vMerge w:val="continue"/>
            <w:noWrap w:val="0"/>
            <w:vAlign w:val="center"/>
          </w:tcPr>
          <w:p w14:paraId="5977295C">
            <w:pPr>
              <w:keepNext w:val="0"/>
              <w:keepLines w:val="0"/>
              <w:pageBreakBefore w:val="0"/>
              <w:kinsoku/>
              <w:wordWrap/>
              <w:overflowPunct/>
              <w:topLinePunct w:val="0"/>
              <w:autoSpaceDE/>
              <w:autoSpaceDN/>
              <w:bidi w:val="0"/>
              <w:spacing w:line="360" w:lineRule="auto"/>
              <w:jc w:val="left"/>
              <w:outlineLvl w:val="0"/>
              <w:rPr>
                <w:rFonts w:hint="eastAsia" w:ascii="仿宋" w:hAnsi="仿宋" w:eastAsia="仿宋" w:cs="仿宋"/>
                <w:sz w:val="28"/>
                <w:szCs w:val="28"/>
              </w:rPr>
            </w:pPr>
          </w:p>
        </w:tc>
        <w:tc>
          <w:tcPr>
            <w:tcW w:w="1276" w:type="dxa"/>
            <w:vMerge w:val="continue"/>
            <w:noWrap w:val="0"/>
            <w:vAlign w:val="center"/>
          </w:tcPr>
          <w:p w14:paraId="02F24F51">
            <w:pPr>
              <w:keepNext w:val="0"/>
              <w:keepLines w:val="0"/>
              <w:pageBreakBefore w:val="0"/>
              <w:kinsoku/>
              <w:wordWrap/>
              <w:overflowPunct/>
              <w:topLinePunct w:val="0"/>
              <w:autoSpaceDE/>
              <w:autoSpaceDN/>
              <w:bidi w:val="0"/>
              <w:spacing w:line="360" w:lineRule="auto"/>
              <w:jc w:val="left"/>
              <w:outlineLvl w:val="0"/>
              <w:rPr>
                <w:rFonts w:hint="eastAsia" w:ascii="仿宋" w:hAnsi="仿宋" w:eastAsia="仿宋" w:cs="仿宋"/>
                <w:sz w:val="28"/>
                <w:szCs w:val="28"/>
              </w:rPr>
            </w:pPr>
          </w:p>
        </w:tc>
        <w:tc>
          <w:tcPr>
            <w:tcW w:w="1134" w:type="dxa"/>
            <w:vMerge w:val="continue"/>
            <w:noWrap w:val="0"/>
            <w:vAlign w:val="center"/>
          </w:tcPr>
          <w:p w14:paraId="2CF2FECC">
            <w:pPr>
              <w:keepNext w:val="0"/>
              <w:keepLines w:val="0"/>
              <w:pageBreakBefore w:val="0"/>
              <w:kinsoku/>
              <w:wordWrap/>
              <w:overflowPunct/>
              <w:topLinePunct w:val="0"/>
              <w:autoSpaceDE/>
              <w:autoSpaceDN/>
              <w:bidi w:val="0"/>
              <w:spacing w:line="360" w:lineRule="auto"/>
              <w:jc w:val="left"/>
              <w:outlineLvl w:val="0"/>
              <w:rPr>
                <w:rFonts w:hint="eastAsia" w:ascii="仿宋" w:hAnsi="仿宋" w:eastAsia="仿宋" w:cs="仿宋"/>
                <w:sz w:val="28"/>
                <w:szCs w:val="28"/>
              </w:rPr>
            </w:pPr>
          </w:p>
        </w:tc>
        <w:tc>
          <w:tcPr>
            <w:tcW w:w="3021" w:type="dxa"/>
            <w:vMerge w:val="continue"/>
            <w:noWrap w:val="0"/>
            <w:vAlign w:val="center"/>
          </w:tcPr>
          <w:p w14:paraId="6ED8B9E8">
            <w:pPr>
              <w:keepNext w:val="0"/>
              <w:keepLines w:val="0"/>
              <w:pageBreakBefore w:val="0"/>
              <w:kinsoku/>
              <w:wordWrap/>
              <w:overflowPunct/>
              <w:topLinePunct w:val="0"/>
              <w:autoSpaceDE/>
              <w:autoSpaceDN/>
              <w:bidi w:val="0"/>
              <w:spacing w:line="360" w:lineRule="auto"/>
              <w:jc w:val="left"/>
              <w:outlineLvl w:val="0"/>
              <w:rPr>
                <w:rFonts w:hint="eastAsia" w:ascii="仿宋" w:hAnsi="仿宋" w:eastAsia="仿宋" w:cs="仿宋"/>
                <w:sz w:val="28"/>
                <w:szCs w:val="28"/>
              </w:rPr>
            </w:pPr>
          </w:p>
        </w:tc>
      </w:tr>
      <w:tr w14:paraId="2EC4B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rPr>
        <w:tc>
          <w:tcPr>
            <w:tcW w:w="3391" w:type="dxa"/>
            <w:noWrap w:val="0"/>
            <w:vAlign w:val="center"/>
          </w:tcPr>
          <w:p w14:paraId="3937D196">
            <w:pPr>
              <w:keepNext w:val="0"/>
              <w:keepLines w:val="0"/>
              <w:pageBreakBefore w:val="0"/>
              <w:kinsoku/>
              <w:wordWrap/>
              <w:overflowPunct/>
              <w:topLinePunct w:val="0"/>
              <w:autoSpaceDE/>
              <w:autoSpaceDN/>
              <w:bidi w:val="0"/>
              <w:spacing w:line="360" w:lineRule="auto"/>
              <w:jc w:val="left"/>
              <w:rPr>
                <w:rFonts w:hint="eastAsia" w:ascii="仿宋" w:hAnsi="仿宋" w:eastAsia="仿宋" w:cs="仿宋"/>
                <w:sz w:val="28"/>
                <w:szCs w:val="28"/>
              </w:rPr>
            </w:pPr>
            <w:r>
              <w:rPr>
                <w:rFonts w:hint="eastAsia" w:ascii="仿宋" w:hAnsi="仿宋" w:eastAsia="仿宋" w:cs="仿宋"/>
                <w:sz w:val="28"/>
                <w:szCs w:val="28"/>
              </w:rPr>
              <w:t>住房和城乡建设局</w:t>
            </w:r>
          </w:p>
        </w:tc>
        <w:tc>
          <w:tcPr>
            <w:tcW w:w="1276" w:type="dxa"/>
            <w:noWrap w:val="0"/>
            <w:vAlign w:val="center"/>
          </w:tcPr>
          <w:p w14:paraId="2D98D7E8">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行政</w:t>
            </w:r>
          </w:p>
        </w:tc>
        <w:tc>
          <w:tcPr>
            <w:tcW w:w="1134" w:type="dxa"/>
            <w:noWrap w:val="0"/>
            <w:vAlign w:val="center"/>
          </w:tcPr>
          <w:p w14:paraId="4861E3A5">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正科级</w:t>
            </w:r>
          </w:p>
        </w:tc>
        <w:tc>
          <w:tcPr>
            <w:tcW w:w="3021" w:type="dxa"/>
            <w:noWrap w:val="0"/>
            <w:vAlign w:val="center"/>
          </w:tcPr>
          <w:p w14:paraId="06ECA91F">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财政性资金基本保证</w:t>
            </w:r>
          </w:p>
        </w:tc>
      </w:tr>
      <w:tr w14:paraId="6DB03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rPr>
        <w:tc>
          <w:tcPr>
            <w:tcW w:w="3391" w:type="dxa"/>
            <w:noWrap w:val="0"/>
            <w:vAlign w:val="center"/>
          </w:tcPr>
          <w:p w14:paraId="743B980C">
            <w:pPr>
              <w:keepNext w:val="0"/>
              <w:keepLines w:val="0"/>
              <w:pageBreakBefore w:val="0"/>
              <w:kinsoku/>
              <w:wordWrap/>
              <w:overflowPunct/>
              <w:topLinePunct w:val="0"/>
              <w:autoSpaceDE/>
              <w:autoSpaceDN/>
              <w:bidi w:val="0"/>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市政工程</w:t>
            </w:r>
            <w:r>
              <w:rPr>
                <w:rFonts w:hint="eastAsia" w:ascii="仿宋" w:hAnsi="仿宋" w:eastAsia="仿宋" w:cs="仿宋"/>
                <w:sz w:val="28"/>
                <w:szCs w:val="28"/>
                <w:lang w:eastAsia="zh-CN"/>
              </w:rPr>
              <w:t>服务站</w:t>
            </w:r>
          </w:p>
        </w:tc>
        <w:tc>
          <w:tcPr>
            <w:tcW w:w="1276" w:type="dxa"/>
            <w:noWrap w:val="0"/>
            <w:vAlign w:val="center"/>
          </w:tcPr>
          <w:p w14:paraId="51FF6625">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事业</w:t>
            </w:r>
          </w:p>
        </w:tc>
        <w:tc>
          <w:tcPr>
            <w:tcW w:w="1134" w:type="dxa"/>
            <w:noWrap w:val="0"/>
            <w:vAlign w:val="center"/>
          </w:tcPr>
          <w:p w14:paraId="0E2EBDB4">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正股级</w:t>
            </w:r>
          </w:p>
        </w:tc>
        <w:tc>
          <w:tcPr>
            <w:tcW w:w="3021" w:type="dxa"/>
            <w:noWrap w:val="0"/>
            <w:vAlign w:val="center"/>
          </w:tcPr>
          <w:p w14:paraId="2D055A82">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财政拨款</w:t>
            </w:r>
          </w:p>
        </w:tc>
      </w:tr>
      <w:tr w14:paraId="5C382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rPr>
        <w:tc>
          <w:tcPr>
            <w:tcW w:w="3391" w:type="dxa"/>
            <w:noWrap w:val="0"/>
            <w:vAlign w:val="center"/>
          </w:tcPr>
          <w:p w14:paraId="4A723E7C">
            <w:pPr>
              <w:keepNext w:val="0"/>
              <w:keepLines w:val="0"/>
              <w:pageBreakBefore w:val="0"/>
              <w:kinsoku/>
              <w:wordWrap/>
              <w:overflowPunct/>
              <w:topLinePunct w:val="0"/>
              <w:autoSpaceDE/>
              <w:autoSpaceDN/>
              <w:bidi w:val="0"/>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rPr>
              <w:t>房产</w:t>
            </w:r>
            <w:r>
              <w:rPr>
                <w:rFonts w:hint="eastAsia" w:ascii="仿宋" w:hAnsi="仿宋" w:eastAsia="仿宋" w:cs="仿宋"/>
                <w:sz w:val="28"/>
                <w:szCs w:val="28"/>
                <w:lang w:eastAsia="zh-CN"/>
              </w:rPr>
              <w:t>服务站</w:t>
            </w:r>
          </w:p>
        </w:tc>
        <w:tc>
          <w:tcPr>
            <w:tcW w:w="1276" w:type="dxa"/>
            <w:noWrap w:val="0"/>
            <w:vAlign w:val="center"/>
          </w:tcPr>
          <w:p w14:paraId="4937868A">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事业</w:t>
            </w:r>
          </w:p>
        </w:tc>
        <w:tc>
          <w:tcPr>
            <w:tcW w:w="1134" w:type="dxa"/>
            <w:noWrap w:val="0"/>
            <w:vAlign w:val="center"/>
          </w:tcPr>
          <w:p w14:paraId="4A99A4F3">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正股级</w:t>
            </w:r>
          </w:p>
        </w:tc>
        <w:tc>
          <w:tcPr>
            <w:tcW w:w="3021" w:type="dxa"/>
            <w:noWrap w:val="0"/>
            <w:vAlign w:val="center"/>
          </w:tcPr>
          <w:p w14:paraId="6B1160C4">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rPr>
              <w:t>财政</w:t>
            </w:r>
            <w:r>
              <w:rPr>
                <w:rFonts w:hint="eastAsia" w:ascii="仿宋" w:hAnsi="仿宋" w:eastAsia="仿宋" w:cs="仿宋"/>
                <w:sz w:val="28"/>
                <w:szCs w:val="28"/>
                <w:lang w:eastAsia="zh-CN"/>
              </w:rPr>
              <w:t>性资金零补助</w:t>
            </w:r>
          </w:p>
        </w:tc>
      </w:tr>
      <w:tr w14:paraId="7ECE9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rPr>
        <w:tc>
          <w:tcPr>
            <w:tcW w:w="3391" w:type="dxa"/>
            <w:noWrap w:val="0"/>
            <w:vAlign w:val="center"/>
          </w:tcPr>
          <w:p w14:paraId="40CF5F00">
            <w:pPr>
              <w:keepNext w:val="0"/>
              <w:keepLines w:val="0"/>
              <w:pageBreakBefore w:val="0"/>
              <w:kinsoku/>
              <w:wordWrap/>
              <w:overflowPunct/>
              <w:topLinePunct w:val="0"/>
              <w:autoSpaceDE/>
              <w:autoSpaceDN/>
              <w:bidi w:val="0"/>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rPr>
              <w:t>园林</w:t>
            </w:r>
            <w:r>
              <w:rPr>
                <w:rFonts w:hint="eastAsia" w:ascii="仿宋" w:hAnsi="仿宋" w:eastAsia="仿宋" w:cs="仿宋"/>
                <w:sz w:val="28"/>
                <w:szCs w:val="28"/>
                <w:lang w:eastAsia="zh-CN"/>
              </w:rPr>
              <w:t>绿化服务站</w:t>
            </w:r>
          </w:p>
        </w:tc>
        <w:tc>
          <w:tcPr>
            <w:tcW w:w="1276" w:type="dxa"/>
            <w:noWrap w:val="0"/>
            <w:vAlign w:val="center"/>
          </w:tcPr>
          <w:p w14:paraId="230928DD">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事业</w:t>
            </w:r>
          </w:p>
        </w:tc>
        <w:tc>
          <w:tcPr>
            <w:tcW w:w="1134" w:type="dxa"/>
            <w:noWrap w:val="0"/>
            <w:vAlign w:val="center"/>
          </w:tcPr>
          <w:p w14:paraId="42867478">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其他</w:t>
            </w:r>
          </w:p>
        </w:tc>
        <w:tc>
          <w:tcPr>
            <w:tcW w:w="3021" w:type="dxa"/>
            <w:noWrap w:val="0"/>
            <w:vAlign w:val="center"/>
          </w:tcPr>
          <w:p w14:paraId="2A3C3846">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rPr>
              <w:t>财政</w:t>
            </w:r>
            <w:r>
              <w:rPr>
                <w:rFonts w:hint="eastAsia" w:ascii="仿宋" w:hAnsi="仿宋" w:eastAsia="仿宋" w:cs="仿宋"/>
                <w:sz w:val="28"/>
                <w:szCs w:val="28"/>
                <w:lang w:eastAsia="zh-CN"/>
              </w:rPr>
              <w:t>拨款</w:t>
            </w:r>
          </w:p>
        </w:tc>
      </w:tr>
      <w:tr w14:paraId="05C30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rPr>
        <w:tc>
          <w:tcPr>
            <w:tcW w:w="3391" w:type="dxa"/>
            <w:noWrap w:val="0"/>
            <w:vAlign w:val="center"/>
          </w:tcPr>
          <w:p w14:paraId="112A815E">
            <w:pPr>
              <w:keepNext w:val="0"/>
              <w:keepLines w:val="0"/>
              <w:pageBreakBefore w:val="0"/>
              <w:kinsoku/>
              <w:wordWrap/>
              <w:overflowPunct/>
              <w:topLinePunct w:val="0"/>
              <w:autoSpaceDE/>
              <w:autoSpaceDN/>
              <w:bidi w:val="0"/>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rPr>
              <w:t>排水</w:t>
            </w:r>
            <w:r>
              <w:rPr>
                <w:rFonts w:hint="eastAsia" w:ascii="仿宋" w:hAnsi="仿宋" w:eastAsia="仿宋" w:cs="仿宋"/>
                <w:sz w:val="28"/>
                <w:szCs w:val="28"/>
                <w:lang w:eastAsia="zh-CN"/>
              </w:rPr>
              <w:t>服务站</w:t>
            </w:r>
          </w:p>
        </w:tc>
        <w:tc>
          <w:tcPr>
            <w:tcW w:w="1276" w:type="dxa"/>
            <w:noWrap w:val="0"/>
            <w:vAlign w:val="center"/>
          </w:tcPr>
          <w:p w14:paraId="70D83937">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事业</w:t>
            </w:r>
          </w:p>
        </w:tc>
        <w:tc>
          <w:tcPr>
            <w:tcW w:w="1134" w:type="dxa"/>
            <w:noWrap w:val="0"/>
            <w:vAlign w:val="center"/>
          </w:tcPr>
          <w:p w14:paraId="3D75AD98">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正股级</w:t>
            </w:r>
          </w:p>
        </w:tc>
        <w:tc>
          <w:tcPr>
            <w:tcW w:w="3021" w:type="dxa"/>
            <w:noWrap w:val="0"/>
            <w:vAlign w:val="center"/>
          </w:tcPr>
          <w:p w14:paraId="5650D36A">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财政性资金基本保证</w:t>
            </w:r>
          </w:p>
        </w:tc>
      </w:tr>
      <w:tr w14:paraId="25C6B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rPr>
        <w:tc>
          <w:tcPr>
            <w:tcW w:w="3391" w:type="dxa"/>
            <w:noWrap w:val="0"/>
            <w:vAlign w:val="center"/>
          </w:tcPr>
          <w:p w14:paraId="089955CC">
            <w:pPr>
              <w:keepNext w:val="0"/>
              <w:keepLines w:val="0"/>
              <w:pageBreakBefore w:val="0"/>
              <w:kinsoku/>
              <w:wordWrap/>
              <w:overflowPunct/>
              <w:topLinePunct w:val="0"/>
              <w:autoSpaceDE/>
              <w:autoSpaceDN/>
              <w:bidi w:val="0"/>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农村环境卫生服务站</w:t>
            </w:r>
          </w:p>
        </w:tc>
        <w:tc>
          <w:tcPr>
            <w:tcW w:w="1276" w:type="dxa"/>
            <w:noWrap w:val="0"/>
            <w:vAlign w:val="center"/>
          </w:tcPr>
          <w:p w14:paraId="2AC504CD">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事业</w:t>
            </w:r>
          </w:p>
        </w:tc>
        <w:tc>
          <w:tcPr>
            <w:tcW w:w="1134" w:type="dxa"/>
            <w:noWrap w:val="0"/>
            <w:vAlign w:val="center"/>
          </w:tcPr>
          <w:p w14:paraId="343BF1BC">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其他</w:t>
            </w:r>
          </w:p>
        </w:tc>
        <w:tc>
          <w:tcPr>
            <w:tcW w:w="3021" w:type="dxa"/>
            <w:noWrap w:val="0"/>
            <w:vAlign w:val="center"/>
          </w:tcPr>
          <w:p w14:paraId="06722C2B">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财政性资金基本保证</w:t>
            </w:r>
          </w:p>
        </w:tc>
      </w:tr>
    </w:tbl>
    <w:p w14:paraId="474B7F62">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仿宋" w:hAnsi="仿宋" w:eastAsia="仿宋" w:cs="仿宋"/>
          <w:color w:val="000000"/>
          <w:sz w:val="28"/>
          <w:szCs w:val="28"/>
          <w:lang w:val="en-US" w:eastAsia="zh-CN"/>
        </w:rPr>
      </w:pPr>
    </w:p>
    <w:p w14:paraId="62DC3B3D">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人员构成</w:t>
      </w:r>
    </w:p>
    <w:p w14:paraId="5F74C31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住房和城乡建设局：</w:t>
      </w:r>
      <w:r>
        <w:rPr>
          <w:rFonts w:hint="eastAsia" w:ascii="仿宋" w:hAnsi="仿宋" w:eastAsia="仿宋" w:cs="仿宋"/>
          <w:b w:val="0"/>
          <w:bCs w:val="0"/>
          <w:sz w:val="28"/>
          <w:szCs w:val="28"/>
        </w:rPr>
        <w:t>实有行政机关工作人员2</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人，</w:t>
      </w:r>
      <w:r>
        <w:rPr>
          <w:rFonts w:hint="eastAsia" w:ascii="仿宋" w:hAnsi="仿宋" w:eastAsia="仿宋" w:cs="仿宋"/>
          <w:b w:val="0"/>
          <w:bCs w:val="0"/>
          <w:sz w:val="28"/>
          <w:szCs w:val="28"/>
          <w:lang w:eastAsia="zh-CN"/>
        </w:rPr>
        <w:t>机关</w:t>
      </w:r>
      <w:r>
        <w:rPr>
          <w:rFonts w:hint="eastAsia" w:ascii="仿宋" w:hAnsi="仿宋" w:eastAsia="仿宋" w:cs="仿宋"/>
          <w:b w:val="0"/>
          <w:bCs w:val="0"/>
          <w:sz w:val="28"/>
          <w:szCs w:val="28"/>
        </w:rPr>
        <w:t>事业编制人员</w:t>
      </w:r>
      <w:r>
        <w:rPr>
          <w:rFonts w:hint="eastAsia" w:ascii="仿宋" w:hAnsi="仿宋" w:eastAsia="仿宋" w:cs="仿宋"/>
          <w:b w:val="0"/>
          <w:bCs w:val="0"/>
          <w:sz w:val="28"/>
          <w:szCs w:val="28"/>
          <w:lang w:val="en-US" w:eastAsia="zh-CN"/>
        </w:rPr>
        <w:t>31</w:t>
      </w:r>
      <w:r>
        <w:rPr>
          <w:rFonts w:hint="eastAsia" w:ascii="仿宋" w:hAnsi="仿宋" w:eastAsia="仿宋" w:cs="仿宋"/>
          <w:b w:val="0"/>
          <w:bCs w:val="0"/>
          <w:sz w:val="28"/>
          <w:szCs w:val="28"/>
        </w:rPr>
        <w:t>人，人事代理研究生</w:t>
      </w:r>
      <w:r>
        <w:rPr>
          <w:rFonts w:hint="eastAsia" w:ascii="仿宋" w:hAnsi="仿宋" w:eastAsia="仿宋" w:cs="仿宋"/>
          <w:b w:val="0"/>
          <w:bCs w:val="0"/>
          <w:sz w:val="28"/>
          <w:szCs w:val="28"/>
          <w:lang w:val="en-US" w:eastAsia="zh-CN"/>
        </w:rPr>
        <w:t>20</w:t>
      </w:r>
      <w:r>
        <w:rPr>
          <w:rFonts w:hint="eastAsia" w:ascii="仿宋" w:hAnsi="仿宋" w:eastAsia="仿宋" w:cs="仿宋"/>
          <w:b w:val="0"/>
          <w:bCs w:val="0"/>
          <w:sz w:val="28"/>
          <w:szCs w:val="28"/>
        </w:rPr>
        <w:t>人，</w:t>
      </w:r>
      <w:r>
        <w:rPr>
          <w:rFonts w:hint="eastAsia" w:ascii="仿宋" w:hAnsi="仿宋" w:eastAsia="仿宋" w:cs="仿宋"/>
          <w:b w:val="0"/>
          <w:bCs w:val="0"/>
          <w:sz w:val="28"/>
          <w:szCs w:val="28"/>
          <w:lang w:eastAsia="zh-CN"/>
        </w:rPr>
        <w:t>自来水公司全额事业编制</w:t>
      </w:r>
      <w:r>
        <w:rPr>
          <w:rFonts w:hint="eastAsia" w:ascii="仿宋" w:hAnsi="仿宋" w:eastAsia="仿宋" w:cs="仿宋"/>
          <w:b w:val="0"/>
          <w:bCs w:val="0"/>
          <w:sz w:val="28"/>
          <w:szCs w:val="28"/>
          <w:lang w:val="en-US" w:eastAsia="zh-CN"/>
        </w:rPr>
        <w:t>22人。</w:t>
      </w:r>
      <w:r>
        <w:rPr>
          <w:rFonts w:hint="eastAsia" w:ascii="仿宋" w:hAnsi="仿宋" w:eastAsia="仿宋" w:cs="仿宋"/>
          <w:b w:val="0"/>
          <w:bCs w:val="0"/>
          <w:sz w:val="28"/>
          <w:szCs w:val="28"/>
        </w:rPr>
        <w:t>自收自支人员</w:t>
      </w:r>
      <w:r>
        <w:rPr>
          <w:rFonts w:hint="eastAsia" w:ascii="仿宋" w:hAnsi="仿宋" w:eastAsia="仿宋" w:cs="仿宋"/>
          <w:b w:val="0"/>
          <w:bCs w:val="0"/>
          <w:sz w:val="28"/>
          <w:szCs w:val="28"/>
          <w:lang w:val="en-US" w:eastAsia="zh-CN"/>
        </w:rPr>
        <w:t>65</w:t>
      </w:r>
      <w:r>
        <w:rPr>
          <w:rFonts w:hint="eastAsia" w:ascii="仿宋" w:hAnsi="仿宋" w:eastAsia="仿宋" w:cs="仿宋"/>
          <w:b w:val="0"/>
          <w:bCs w:val="0"/>
          <w:sz w:val="28"/>
          <w:szCs w:val="28"/>
        </w:rPr>
        <w:t>人</w:t>
      </w:r>
      <w:r>
        <w:rPr>
          <w:rFonts w:hint="eastAsia" w:ascii="仿宋" w:hAnsi="仿宋" w:eastAsia="仿宋" w:cs="仿宋"/>
          <w:b w:val="0"/>
          <w:bCs w:val="0"/>
          <w:sz w:val="28"/>
          <w:szCs w:val="28"/>
          <w:lang w:val="en-US" w:eastAsia="zh-CN"/>
        </w:rPr>
        <w:t>(其中：自来水24人,检测站25人，热力公司16人）</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劳务派遣13人，财政拨款行政退休人员22人，全额事业退休人员3人，财政补助全额拨款（自来水）14人，自收自支退休人员26人。</w:t>
      </w:r>
    </w:p>
    <w:p w14:paraId="029D2A45">
      <w:pPr>
        <w:adjustRightInd w:val="0"/>
        <w:snapToGrid w:val="0"/>
        <w:spacing w:line="560" w:lineRule="exact"/>
        <w:ind w:left="178" w:leftChars="85"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市政工程</w:t>
      </w:r>
      <w:r>
        <w:rPr>
          <w:rFonts w:hint="eastAsia" w:ascii="仿宋" w:hAnsi="仿宋" w:eastAsia="仿宋" w:cs="仿宋"/>
          <w:b w:val="0"/>
          <w:bCs w:val="0"/>
          <w:sz w:val="28"/>
          <w:szCs w:val="28"/>
          <w:lang w:eastAsia="zh-CN"/>
        </w:rPr>
        <w:t>服务站：</w:t>
      </w:r>
      <w:r>
        <w:rPr>
          <w:rFonts w:hint="eastAsia" w:ascii="仿宋" w:hAnsi="仿宋" w:eastAsia="仿宋" w:cs="仿宋"/>
          <w:b w:val="0"/>
          <w:bCs w:val="0"/>
          <w:sz w:val="28"/>
          <w:szCs w:val="28"/>
        </w:rPr>
        <w:t>实有</w:t>
      </w:r>
      <w:r>
        <w:rPr>
          <w:rFonts w:hint="eastAsia" w:ascii="仿宋" w:hAnsi="仿宋" w:eastAsia="仿宋" w:cs="仿宋"/>
          <w:b w:val="0"/>
          <w:bCs w:val="0"/>
          <w:sz w:val="28"/>
          <w:szCs w:val="28"/>
          <w:lang w:val="en-US" w:eastAsia="zh-CN"/>
        </w:rPr>
        <w:t>在</w:t>
      </w:r>
      <w:r>
        <w:rPr>
          <w:rFonts w:hint="eastAsia" w:ascii="仿宋" w:hAnsi="仿宋" w:eastAsia="仿宋" w:cs="仿宋"/>
          <w:b w:val="0"/>
          <w:bCs w:val="0"/>
          <w:sz w:val="28"/>
          <w:szCs w:val="28"/>
        </w:rPr>
        <w:t>职事业编制</w:t>
      </w:r>
      <w:r>
        <w:rPr>
          <w:rFonts w:hint="eastAsia" w:ascii="仿宋" w:hAnsi="仿宋" w:eastAsia="仿宋" w:cs="仿宋"/>
          <w:b w:val="0"/>
          <w:bCs w:val="0"/>
          <w:sz w:val="28"/>
          <w:szCs w:val="28"/>
          <w:lang w:val="en-US" w:eastAsia="zh-CN"/>
        </w:rPr>
        <w:t>人员</w:t>
      </w: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离退休人员1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人。劳务派遣及其他临时人员3</w:t>
      </w: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rPr>
        <w:t>人。</w:t>
      </w:r>
    </w:p>
    <w:p w14:paraId="49FCBB7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spacing w:val="0"/>
          <w:sz w:val="28"/>
          <w:szCs w:val="28"/>
          <w:lang w:val="en-US" w:eastAsia="zh-CN"/>
        </w:rPr>
      </w:pPr>
      <w:r>
        <w:rPr>
          <w:rFonts w:hint="eastAsia" w:ascii="仿宋" w:hAnsi="仿宋" w:eastAsia="仿宋" w:cs="仿宋"/>
          <w:b w:val="0"/>
          <w:bCs w:val="0"/>
          <w:spacing w:val="0"/>
          <w:sz w:val="28"/>
          <w:szCs w:val="28"/>
          <w:lang w:val="en-US" w:eastAsia="zh-CN"/>
        </w:rPr>
        <w:t>房产服务站：实有在职人员25人，全部是自收自支编制，退休人员23人。</w:t>
      </w:r>
    </w:p>
    <w:p w14:paraId="56011294">
      <w:pPr>
        <w:adjustRightInd w:val="0"/>
        <w:snapToGrid w:val="0"/>
        <w:spacing w:line="560" w:lineRule="exact"/>
        <w:ind w:firstLine="700" w:firstLineChars="25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园林绿化服务站：实</w:t>
      </w:r>
      <w:r>
        <w:rPr>
          <w:rFonts w:hint="eastAsia" w:ascii="仿宋" w:hAnsi="仿宋" w:eastAsia="仿宋" w:cs="仿宋"/>
          <w:b w:val="0"/>
          <w:bCs w:val="0"/>
          <w:sz w:val="28"/>
          <w:szCs w:val="28"/>
        </w:rPr>
        <w:t>有事业在编人员</w:t>
      </w:r>
      <w:r>
        <w:rPr>
          <w:rFonts w:hint="eastAsia" w:ascii="仿宋" w:hAnsi="仿宋" w:eastAsia="仿宋" w:cs="仿宋"/>
          <w:b w:val="0"/>
          <w:bCs w:val="0"/>
          <w:sz w:val="28"/>
          <w:szCs w:val="28"/>
          <w:lang w:val="en-US" w:eastAsia="zh-CN"/>
        </w:rPr>
        <w:t>29</w:t>
      </w:r>
      <w:r>
        <w:rPr>
          <w:rFonts w:hint="eastAsia" w:ascii="仿宋" w:hAnsi="仿宋" w:eastAsia="仿宋" w:cs="仿宋"/>
          <w:b w:val="0"/>
          <w:bCs w:val="0"/>
          <w:sz w:val="28"/>
          <w:szCs w:val="28"/>
        </w:rPr>
        <w:t>人，聘用制研究生3人，自收自支7人，离退休人员1</w:t>
      </w: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rPr>
        <w:t>人。</w:t>
      </w:r>
    </w:p>
    <w:p w14:paraId="6059ACE0">
      <w:pPr>
        <w:adjustRightInd w:val="0"/>
        <w:snapToGrid w:val="0"/>
        <w:spacing w:line="560" w:lineRule="exact"/>
        <w:ind w:left="178" w:leftChars="85" w:firstLine="540"/>
        <w:jc w:val="left"/>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排水服务站：财</w:t>
      </w:r>
      <w:r>
        <w:rPr>
          <w:rFonts w:hint="eastAsia" w:ascii="仿宋" w:hAnsi="仿宋" w:eastAsia="仿宋" w:cs="仿宋"/>
          <w:b w:val="0"/>
          <w:bCs w:val="0"/>
          <w:sz w:val="28"/>
          <w:szCs w:val="28"/>
        </w:rPr>
        <w:t>政供养事业编制实有在职6人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劳务派遣2</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 xml:space="preserve">人。 </w:t>
      </w:r>
    </w:p>
    <w:p w14:paraId="0AA68CC9">
      <w:pPr>
        <w:numPr>
          <w:ilvl w:val="0"/>
          <w:numId w:val="0"/>
        </w:numPr>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农村环境卫生服务站：</w:t>
      </w:r>
      <w:r>
        <w:rPr>
          <w:rFonts w:hint="eastAsia" w:ascii="仿宋" w:hAnsi="仿宋" w:eastAsia="仿宋" w:cs="仿宋"/>
          <w:b w:val="0"/>
          <w:bCs w:val="0"/>
          <w:sz w:val="28"/>
          <w:szCs w:val="28"/>
        </w:rPr>
        <w:t>财政供养实有</w:t>
      </w: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rPr>
        <w:t>人，其中事业编制</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人</w:t>
      </w:r>
      <w:r>
        <w:rPr>
          <w:rFonts w:hint="eastAsia" w:ascii="仿宋" w:hAnsi="仿宋" w:eastAsia="仿宋" w:cs="仿宋"/>
          <w:b w:val="0"/>
          <w:bCs w:val="0"/>
          <w:sz w:val="28"/>
          <w:szCs w:val="28"/>
          <w:lang w:eastAsia="zh-CN"/>
        </w:rPr>
        <w:t>，人事代理</w:t>
      </w:r>
      <w:r>
        <w:rPr>
          <w:rFonts w:hint="eastAsia" w:ascii="仿宋" w:hAnsi="仿宋" w:eastAsia="仿宋" w:cs="仿宋"/>
          <w:b w:val="0"/>
          <w:bCs w:val="0"/>
          <w:sz w:val="28"/>
          <w:szCs w:val="28"/>
          <w:lang w:val="en-US" w:eastAsia="zh-CN"/>
        </w:rPr>
        <w:t>3人</w:t>
      </w:r>
      <w:r>
        <w:rPr>
          <w:rFonts w:hint="eastAsia" w:ascii="仿宋" w:hAnsi="仿宋" w:eastAsia="仿宋" w:cs="仿宋"/>
          <w:b w:val="0"/>
          <w:bCs w:val="0"/>
          <w:sz w:val="28"/>
          <w:szCs w:val="28"/>
        </w:rPr>
        <w:t>。</w:t>
      </w:r>
    </w:p>
    <w:p w14:paraId="27A8EC85">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14:paraId="466FED52">
      <w:pPr>
        <w:spacing w:line="540" w:lineRule="exact"/>
        <w:ind w:firstLine="600" w:firstLineChars="200"/>
        <w:jc w:val="left"/>
        <w:rPr>
          <w:rFonts w:ascii="宋体" w:hAnsi="宋体" w:eastAsia="仿宋" w:cs="Times New Roman"/>
          <w:b w:val="0"/>
          <w:bCs/>
          <w:sz w:val="30"/>
          <w:szCs w:val="30"/>
        </w:rPr>
      </w:pPr>
      <w:r>
        <w:rPr>
          <w:rFonts w:ascii="宋体" w:hAnsi="宋体" w:eastAsia="仿宋" w:cs="Times New Roman"/>
          <w:b w:val="0"/>
          <w:bCs/>
          <w:sz w:val="30"/>
          <w:szCs w:val="30"/>
        </w:rPr>
        <w:t>本</w:t>
      </w:r>
      <w:r>
        <w:rPr>
          <w:rFonts w:hint="eastAsia" w:ascii="宋体" w:hAnsi="宋体" w:eastAsia="仿宋" w:cs="Times New Roman"/>
          <w:b w:val="0"/>
          <w:bCs/>
          <w:sz w:val="30"/>
          <w:szCs w:val="30"/>
          <w:lang w:eastAsia="zh-CN"/>
        </w:rPr>
        <w:t>单位</w:t>
      </w:r>
      <w:r>
        <w:rPr>
          <w:rFonts w:ascii="宋体" w:hAnsi="宋体" w:eastAsia="仿宋" w:cs="Times New Roman"/>
          <w:b w:val="0"/>
          <w:bCs/>
          <w:sz w:val="30"/>
          <w:szCs w:val="30"/>
        </w:rPr>
        <w:t>202</w:t>
      </w:r>
      <w:r>
        <w:rPr>
          <w:rFonts w:hint="eastAsia" w:ascii="宋体" w:hAnsi="宋体" w:eastAsia="仿宋" w:cs="Times New Roman"/>
          <w:b w:val="0"/>
          <w:bCs/>
          <w:sz w:val="30"/>
          <w:szCs w:val="30"/>
          <w:lang w:val="en-US" w:eastAsia="zh-CN"/>
        </w:rPr>
        <w:t>4</w:t>
      </w:r>
      <w:r>
        <w:rPr>
          <w:rFonts w:ascii="宋体" w:hAnsi="宋体" w:eastAsia="仿宋" w:cs="Times New Roman"/>
          <w:b w:val="0"/>
          <w:bCs/>
          <w:sz w:val="30"/>
          <w:szCs w:val="30"/>
        </w:rPr>
        <w:t>年度申请预算</w:t>
      </w:r>
      <w:r>
        <w:rPr>
          <w:rFonts w:hint="eastAsia" w:ascii="宋体" w:hAnsi="宋体" w:eastAsia="仿宋" w:cs="Times New Roman"/>
          <w:b w:val="0"/>
          <w:bCs/>
          <w:sz w:val="30"/>
          <w:szCs w:val="30"/>
        </w:rPr>
        <w:t>资金</w:t>
      </w:r>
      <w:r>
        <w:rPr>
          <w:rFonts w:hint="eastAsia" w:ascii="宋体" w:hAnsi="宋体" w:eastAsia="仿宋" w:cs="Times New Roman"/>
          <w:b w:val="0"/>
          <w:bCs/>
          <w:sz w:val="30"/>
          <w:szCs w:val="30"/>
          <w:lang w:val="en-US" w:eastAsia="zh-CN"/>
        </w:rPr>
        <w:t>117385.99</w:t>
      </w:r>
      <w:r>
        <w:rPr>
          <w:rFonts w:hint="eastAsia" w:ascii="宋体" w:hAnsi="宋体" w:eastAsia="仿宋" w:cs="Times New Roman"/>
          <w:b w:val="0"/>
          <w:bCs/>
          <w:sz w:val="30"/>
          <w:szCs w:val="30"/>
        </w:rPr>
        <w:t>万元，</w:t>
      </w:r>
      <w:r>
        <w:rPr>
          <w:rFonts w:ascii="宋体" w:hAnsi="宋体" w:eastAsia="仿宋" w:cs="Times New Roman"/>
          <w:b w:val="0"/>
          <w:bCs/>
          <w:sz w:val="30"/>
          <w:szCs w:val="30"/>
        </w:rPr>
        <w:t>其中：</w:t>
      </w:r>
      <w:r>
        <w:rPr>
          <w:rFonts w:hint="eastAsia" w:ascii="宋体" w:hAnsi="宋体" w:eastAsia="仿宋" w:cs="Times New Roman"/>
          <w:b w:val="0"/>
          <w:bCs/>
          <w:sz w:val="30"/>
          <w:szCs w:val="30"/>
          <w:lang w:eastAsia="zh-CN"/>
        </w:rPr>
        <w:t>上级专项资金</w:t>
      </w:r>
      <w:r>
        <w:rPr>
          <w:rFonts w:hint="eastAsia" w:ascii="宋体" w:hAnsi="宋体" w:eastAsia="仿宋" w:cs="Times New Roman"/>
          <w:b w:val="0"/>
          <w:bCs/>
          <w:sz w:val="30"/>
          <w:szCs w:val="30"/>
          <w:lang w:val="en-US" w:eastAsia="zh-CN"/>
        </w:rPr>
        <w:t>14341万元，包含中央13659万元、省682万元；超长期国债25800万元；</w:t>
      </w:r>
      <w:r>
        <w:rPr>
          <w:rFonts w:ascii="宋体" w:hAnsi="宋体" w:eastAsia="仿宋" w:cs="Times New Roman"/>
          <w:b w:val="0"/>
          <w:bCs/>
          <w:sz w:val="30"/>
          <w:szCs w:val="30"/>
        </w:rPr>
        <w:t>债券资金</w:t>
      </w:r>
      <w:r>
        <w:rPr>
          <w:rFonts w:hint="eastAsia" w:ascii="宋体" w:hAnsi="宋体" w:eastAsia="仿宋" w:cs="Times New Roman"/>
          <w:b w:val="0"/>
          <w:bCs/>
          <w:sz w:val="30"/>
          <w:szCs w:val="30"/>
          <w:lang w:val="en-US" w:eastAsia="zh-CN"/>
        </w:rPr>
        <w:t>23000</w:t>
      </w:r>
      <w:r>
        <w:rPr>
          <w:rFonts w:ascii="宋体" w:hAnsi="宋体" w:eastAsia="仿宋" w:cs="Times New Roman"/>
          <w:b w:val="0"/>
          <w:bCs/>
          <w:sz w:val="30"/>
          <w:szCs w:val="30"/>
        </w:rPr>
        <w:t>万元；</w:t>
      </w:r>
      <w:r>
        <w:rPr>
          <w:rFonts w:hint="eastAsia" w:ascii="宋体" w:hAnsi="宋体" w:eastAsia="仿宋" w:cs="Times New Roman"/>
          <w:b w:val="0"/>
          <w:bCs/>
          <w:sz w:val="30"/>
          <w:szCs w:val="30"/>
          <w:lang w:eastAsia="zh-CN"/>
        </w:rPr>
        <w:t>区级资金</w:t>
      </w:r>
      <w:r>
        <w:rPr>
          <w:rFonts w:hint="eastAsia" w:ascii="宋体" w:hAnsi="宋体" w:eastAsia="仿宋" w:cs="Times New Roman"/>
          <w:b w:val="0"/>
          <w:bCs/>
          <w:sz w:val="30"/>
          <w:szCs w:val="30"/>
          <w:lang w:val="en-US" w:eastAsia="zh-CN"/>
        </w:rPr>
        <w:t>54244.99万元。</w:t>
      </w:r>
      <w:r>
        <w:rPr>
          <w:rFonts w:hint="eastAsia" w:ascii="宋体" w:hAnsi="宋体" w:eastAsia="仿宋" w:cs="Times New Roman"/>
          <w:b w:val="0"/>
          <w:bCs/>
          <w:sz w:val="30"/>
          <w:szCs w:val="30"/>
        </w:rPr>
        <w:t>实际支出</w:t>
      </w:r>
      <w:r>
        <w:rPr>
          <w:rFonts w:hint="eastAsia" w:ascii="宋体" w:hAnsi="宋体" w:eastAsia="仿宋" w:cs="Times New Roman"/>
          <w:b w:val="0"/>
          <w:bCs/>
          <w:sz w:val="30"/>
          <w:szCs w:val="30"/>
          <w:lang w:val="en-US" w:eastAsia="zh-CN"/>
        </w:rPr>
        <w:t>70770.15</w:t>
      </w:r>
      <w:r>
        <w:rPr>
          <w:rFonts w:hint="eastAsia" w:ascii="宋体" w:hAnsi="宋体" w:eastAsia="仿宋" w:cs="Times New Roman"/>
          <w:b w:val="0"/>
          <w:bCs/>
          <w:sz w:val="30"/>
          <w:szCs w:val="30"/>
        </w:rPr>
        <w:t>万元</w:t>
      </w:r>
      <w:r>
        <w:rPr>
          <w:rFonts w:hint="eastAsia" w:ascii="宋体" w:hAnsi="宋体" w:eastAsia="仿宋" w:cs="Times New Roman"/>
          <w:b w:val="0"/>
          <w:bCs/>
          <w:sz w:val="30"/>
          <w:szCs w:val="30"/>
          <w:lang w:eastAsia="zh-CN"/>
        </w:rPr>
        <w:t>，其中：上级专项资金支出</w:t>
      </w:r>
      <w:r>
        <w:rPr>
          <w:rFonts w:hint="eastAsia" w:ascii="宋体" w:hAnsi="宋体" w:eastAsia="仿宋" w:cs="Times New Roman"/>
          <w:b w:val="0"/>
          <w:bCs/>
          <w:sz w:val="30"/>
          <w:szCs w:val="30"/>
          <w:lang w:val="en-US" w:eastAsia="zh-CN"/>
        </w:rPr>
        <w:t>4598.21万元，包括中央专项转移支付资金4561万元，超长期国债37.21万元。债券资金支出22925.07万元，区级资金支出43246.87万元，</w:t>
      </w:r>
      <w:r>
        <w:rPr>
          <w:rFonts w:hint="eastAsia" w:ascii="宋体" w:hAnsi="宋体" w:eastAsia="仿宋" w:cs="Times New Roman"/>
          <w:b w:val="0"/>
          <w:bCs/>
          <w:sz w:val="30"/>
          <w:szCs w:val="30"/>
          <w:lang w:eastAsia="zh-CN"/>
        </w:rPr>
        <w:t>预算执行率</w:t>
      </w:r>
      <w:r>
        <w:rPr>
          <w:rFonts w:hint="eastAsia" w:ascii="宋体" w:hAnsi="宋体" w:eastAsia="仿宋" w:cs="Times New Roman"/>
          <w:b w:val="0"/>
          <w:bCs/>
          <w:sz w:val="30"/>
          <w:szCs w:val="30"/>
          <w:lang w:val="en-US" w:eastAsia="zh-CN"/>
        </w:rPr>
        <w:t>60.29%，</w:t>
      </w:r>
      <w:r>
        <w:rPr>
          <w:rFonts w:hint="eastAsia" w:ascii="宋体" w:hAnsi="宋体" w:eastAsia="仿宋" w:cs="Times New Roman"/>
          <w:b w:val="0"/>
          <w:bCs/>
          <w:sz w:val="30"/>
          <w:szCs w:val="30"/>
        </w:rPr>
        <w:t>其中：</w:t>
      </w:r>
      <w:r>
        <w:rPr>
          <w:rFonts w:ascii="宋体" w:hAnsi="宋体" w:eastAsia="仿宋" w:cs="Times New Roman"/>
          <w:b w:val="0"/>
          <w:bCs/>
          <w:sz w:val="30"/>
          <w:szCs w:val="30"/>
        </w:rPr>
        <w:t>项目</w:t>
      </w:r>
      <w:r>
        <w:rPr>
          <w:rFonts w:hint="eastAsia" w:ascii="宋体" w:hAnsi="宋体" w:eastAsia="仿宋" w:cs="Times New Roman"/>
          <w:b w:val="0"/>
          <w:bCs/>
          <w:sz w:val="30"/>
          <w:szCs w:val="30"/>
          <w:lang w:val="en-US" w:eastAsia="zh-CN"/>
        </w:rPr>
        <w:t>142</w:t>
      </w:r>
      <w:r>
        <w:rPr>
          <w:rFonts w:ascii="宋体" w:hAnsi="宋体" w:eastAsia="仿宋" w:cs="Times New Roman"/>
          <w:b w:val="0"/>
          <w:bCs/>
          <w:sz w:val="30"/>
          <w:szCs w:val="30"/>
        </w:rPr>
        <w:t>个（与部门开展项目自评个数相同），</w:t>
      </w:r>
      <w:r>
        <w:rPr>
          <w:rFonts w:hint="eastAsia" w:ascii="宋体" w:hAnsi="宋体" w:eastAsia="仿宋" w:cs="Times New Roman"/>
          <w:b w:val="0"/>
          <w:bCs/>
          <w:sz w:val="30"/>
          <w:szCs w:val="30"/>
          <w:lang w:eastAsia="zh-CN"/>
        </w:rPr>
        <w:t>预算</w:t>
      </w:r>
      <w:r>
        <w:rPr>
          <w:rFonts w:ascii="宋体" w:hAnsi="宋体" w:eastAsia="仿宋" w:cs="Times New Roman"/>
          <w:b w:val="0"/>
          <w:bCs/>
          <w:sz w:val="30"/>
          <w:szCs w:val="30"/>
        </w:rPr>
        <w:t>金额合计</w:t>
      </w:r>
      <w:r>
        <w:rPr>
          <w:rFonts w:hint="eastAsia" w:ascii="宋体" w:hAnsi="宋体" w:eastAsia="仿宋" w:cs="Times New Roman"/>
          <w:b w:val="0"/>
          <w:bCs/>
          <w:sz w:val="30"/>
          <w:szCs w:val="30"/>
          <w:lang w:val="en-US" w:eastAsia="zh-CN"/>
        </w:rPr>
        <w:t>114338.91</w:t>
      </w:r>
      <w:r>
        <w:rPr>
          <w:rFonts w:ascii="宋体" w:hAnsi="宋体" w:eastAsia="仿宋" w:cs="Times New Roman"/>
          <w:b w:val="0"/>
          <w:bCs/>
          <w:sz w:val="30"/>
          <w:szCs w:val="30"/>
        </w:rPr>
        <w:t>万元（与部门开展项目自评金额合计相同），实际</w:t>
      </w:r>
      <w:r>
        <w:rPr>
          <w:rFonts w:hint="eastAsia" w:ascii="宋体" w:hAnsi="宋体" w:eastAsia="仿宋" w:cs="Times New Roman"/>
          <w:b w:val="0"/>
          <w:bCs/>
          <w:sz w:val="30"/>
          <w:szCs w:val="30"/>
        </w:rPr>
        <w:t>支出</w:t>
      </w:r>
      <w:r>
        <w:rPr>
          <w:rFonts w:hint="eastAsia" w:ascii="宋体" w:hAnsi="宋体" w:eastAsia="仿宋" w:cs="Times New Roman"/>
          <w:b w:val="0"/>
          <w:bCs/>
          <w:sz w:val="30"/>
          <w:szCs w:val="30"/>
          <w:lang w:val="en-US" w:eastAsia="zh-CN"/>
        </w:rPr>
        <w:t>67715.63</w:t>
      </w:r>
      <w:r>
        <w:rPr>
          <w:rFonts w:ascii="宋体" w:hAnsi="宋体" w:eastAsia="仿宋" w:cs="Times New Roman"/>
          <w:b w:val="0"/>
          <w:bCs/>
          <w:sz w:val="30"/>
          <w:szCs w:val="30"/>
        </w:rPr>
        <w:t>万元，执行率为</w:t>
      </w:r>
      <w:r>
        <w:rPr>
          <w:rFonts w:hint="eastAsia" w:ascii="宋体" w:hAnsi="宋体" w:eastAsia="仿宋" w:cs="Times New Roman"/>
          <w:b w:val="0"/>
          <w:bCs/>
          <w:sz w:val="30"/>
          <w:szCs w:val="30"/>
          <w:lang w:val="en-US" w:eastAsia="zh-CN"/>
        </w:rPr>
        <w:t>59.22</w:t>
      </w:r>
      <w:r>
        <w:rPr>
          <w:rFonts w:ascii="宋体" w:hAnsi="宋体" w:eastAsia="仿宋" w:cs="Times New Roman"/>
          <w:b w:val="0"/>
          <w:bCs/>
          <w:sz w:val="30"/>
          <w:szCs w:val="30"/>
        </w:rPr>
        <w:t>%。</w:t>
      </w:r>
    </w:p>
    <w:p w14:paraId="5C284509">
      <w:pPr>
        <w:numPr>
          <w:ilvl w:val="0"/>
          <w:numId w:val="1"/>
        </w:numPr>
        <w:ind w:left="0" w:leftChars="0" w:firstLine="602" w:firstLineChars="200"/>
        <w:rPr>
          <w:rFonts w:ascii="宋体" w:hAnsi="宋体" w:eastAsia="黑体" w:cs="Times New Roman"/>
          <w:b/>
          <w:sz w:val="30"/>
          <w:szCs w:val="30"/>
        </w:rPr>
      </w:pPr>
      <w:r>
        <w:rPr>
          <w:rFonts w:ascii="宋体" w:hAnsi="宋体" w:eastAsia="黑体" w:cs="Times New Roman"/>
          <w:b/>
          <w:sz w:val="30"/>
          <w:szCs w:val="30"/>
        </w:rPr>
        <w:t>绩效评价组织情况</w:t>
      </w:r>
    </w:p>
    <w:p w14:paraId="6371574A">
      <w:pPr>
        <w:ind w:firstLine="560"/>
        <w:jc w:val="center"/>
        <w:rPr>
          <w:rFonts w:hint="eastAsia" w:ascii="仿宋" w:hAnsi="仿宋" w:eastAsia="仿宋" w:cs="仿宋"/>
          <w:sz w:val="28"/>
          <w:szCs w:val="28"/>
          <w:lang w:val="en-US" w:eastAsia="zh-CN"/>
        </w:rPr>
      </w:pPr>
      <w:r>
        <w:rPr>
          <w:rFonts w:hint="eastAsia" w:ascii="仿宋" w:hAnsi="仿宋" w:eastAsia="仿宋" w:cs="仿宋"/>
          <w:sz w:val="28"/>
          <w:szCs w:val="28"/>
          <w:lang w:eastAsia="zh-CN"/>
        </w:rPr>
        <w:t>为有序推进我区全面实施部门整体支出绩效管理工作，切实增强资金主管部门和使用单位支出责任和绩效意识，提高财政资金使用效益，根据</w:t>
      </w:r>
      <w:r>
        <w:rPr>
          <w:rFonts w:hint="eastAsia" w:ascii="仿宋" w:hAnsi="仿宋" w:eastAsia="仿宋" w:cs="仿宋"/>
          <w:b w:val="0"/>
          <w:bCs/>
          <w:color w:val="000000" w:themeColor="text1"/>
          <w:sz w:val="28"/>
          <w:szCs w:val="28"/>
          <w:lang w:val="en-US" w:eastAsia="zh-CN"/>
          <w14:textFill>
            <w14:solidFill>
              <w14:schemeClr w14:val="tx1"/>
            </w14:solidFill>
          </w14:textFill>
        </w:rPr>
        <w:t>丰财监【2025】1号文件《</w:t>
      </w:r>
      <w:r>
        <w:rPr>
          <w:rFonts w:hint="eastAsia" w:ascii="仿宋" w:hAnsi="仿宋" w:eastAsia="仿宋" w:cs="仿宋"/>
          <w:b w:val="0"/>
          <w:bCs/>
          <w:color w:val="000000" w:themeColor="text1"/>
          <w:sz w:val="28"/>
          <w:szCs w:val="28"/>
          <w14:textFill>
            <w14:solidFill>
              <w14:schemeClr w14:val="tx1"/>
            </w14:solidFill>
          </w14:textFill>
        </w:rPr>
        <w:t>唐山市丰南区财政局关于做好2024年度预算部门绩效自评工作的通知</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sz w:val="28"/>
          <w:szCs w:val="28"/>
          <w:lang w:val="en-US" w:eastAsia="zh-CN"/>
        </w:rPr>
        <w:t>精神，我部门组织对下属各单位开展2024年整体支出绩效评价，通过对年度支出预算执行情况、资金使用情况、组织管理情况、绩效目标完成情况的梳理，评价资金使用是否达到预期目标、资金管理是否规范、资金使用是否有效，检验资金支出实际效率和效果，分析存在问题及原因，及时总结经验、完</w:t>
      </w:r>
    </w:p>
    <w:p w14:paraId="1CA07783">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善资金和项目管理，切实提高财政资金使用效益。</w:t>
      </w:r>
    </w:p>
    <w:p w14:paraId="425B8AF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（一)组织情况</w:t>
      </w:r>
    </w:p>
    <w:p w14:paraId="0F41100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为了做好此次绩效评价工作，我部门专门成立了部门整体支出绩效评价工作小组，</w:t>
      </w:r>
      <w:r>
        <w:rPr>
          <w:rFonts w:hint="eastAsia" w:ascii="仿宋" w:hAnsi="仿宋" w:eastAsia="仿宋" w:cs="仿宋"/>
          <w:sz w:val="28"/>
          <w:szCs w:val="28"/>
          <w:lang w:val="en-US" w:eastAsia="zh-CN"/>
        </w:rPr>
        <w:t>召开专门会议布署此项工作，分配评价工作任务，由财务科牵头负责，统筹协调。</w:t>
      </w:r>
    </w:p>
    <w:p w14:paraId="2E8BAC2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(二）实施过程</w:t>
      </w:r>
    </w:p>
    <w:p w14:paraId="3FEC2C5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在实施过程中，以绩效考核的各项文件精神为指导，以整体绩效</w:t>
      </w:r>
    </w:p>
    <w:p w14:paraId="007C4AA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出为内容，对在职员工控制率、“三公经费”变动率、预算完成率、预算控制率、公用经费控制率、“三公经费”控制率、政府采购执行率、资金使用合规性等指标内容进行一一的评价考核打分。主要从以下几个方面开展工作：</w:t>
      </w:r>
    </w:p>
    <w:p w14:paraId="67CFEDC7">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8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搜集相关的数据和资料，包括绩效目标、指标数据、资金使</w:t>
      </w:r>
    </w:p>
    <w:p w14:paraId="462589A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用情况等资料。</w:t>
      </w:r>
    </w:p>
    <w:p w14:paraId="5E39C89F">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8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对所取得的数据和资料进行核实、整理。</w:t>
      </w:r>
    </w:p>
    <w:p w14:paraId="7D271610">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8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根据基础数据计算出反映各项绩效指标完成情况的实际完成</w:t>
      </w:r>
    </w:p>
    <w:p w14:paraId="25E2833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值。</w:t>
      </w:r>
    </w:p>
    <w:p w14:paraId="1AC6BA2E">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8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按照项目设定的各项绩效指标完成情况确定相应的完成等</w:t>
      </w:r>
    </w:p>
    <w:p w14:paraId="4A57ACA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级，分优（100-90）、良（89-80）、中（79-70）、差（70以下）四个等级。</w:t>
      </w:r>
    </w:p>
    <w:p w14:paraId="6CF7A775">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8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讨论确定指标权重，计算单项指标折算得分，并计算自评得</w:t>
      </w:r>
    </w:p>
    <w:p w14:paraId="0DF5751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分及评价等级。</w:t>
      </w:r>
    </w:p>
    <w:p w14:paraId="6AC8756C">
      <w:pPr>
        <w:numPr>
          <w:ilvl w:val="0"/>
          <w:numId w:val="1"/>
        </w:numPr>
        <w:ind w:left="0" w:leftChars="0" w:firstLine="602" w:firstLineChars="200"/>
        <w:rPr>
          <w:rFonts w:hint="eastAsia" w:ascii="宋体" w:hAnsi="宋体" w:eastAsia="黑体" w:cs="Times New Roman"/>
          <w:b/>
          <w:sz w:val="30"/>
          <w:szCs w:val="30"/>
        </w:rPr>
      </w:pPr>
      <w:r>
        <w:rPr>
          <w:rFonts w:hint="eastAsia" w:ascii="宋体" w:hAnsi="宋体" w:eastAsia="黑体" w:cs="Times New Roman"/>
          <w:b/>
          <w:sz w:val="30"/>
          <w:szCs w:val="30"/>
        </w:rPr>
        <w:t>部门绩效管理开展的整体绩效实现情况</w:t>
      </w:r>
    </w:p>
    <w:p w14:paraId="4DFE995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color w:val="000000" w:themeColor="text1"/>
          <w:sz w:val="28"/>
          <w:szCs w:val="28"/>
          <w:lang w:val="en-US" w:eastAsia="zh-CN"/>
          <w14:textFill>
            <w14:solidFill>
              <w14:schemeClr w14:val="tx1"/>
            </w14:solidFill>
          </w14:textFill>
        </w:rPr>
        <w:t>我局自2025年1月13日至2月26日组织住建局本级、市政工程服务站、园林绿化站、房产服务站、排水服务站、农村环境卫生服务站6家单位开展了整体支出绩效评价工作，要求各下属单位及机关</w:t>
      </w:r>
      <w:r>
        <w:rPr>
          <w:rFonts w:hint="eastAsia" w:ascii="仿宋" w:hAnsi="仿宋" w:eastAsia="仿宋" w:cs="仿宋"/>
          <w:b w:val="0"/>
          <w:bCs/>
          <w:color w:val="000000" w:themeColor="text1"/>
          <w:sz w:val="28"/>
          <w:szCs w:val="28"/>
          <w14:textFill>
            <w14:solidFill>
              <w14:schemeClr w14:val="tx1"/>
            </w14:solidFill>
          </w14:textFill>
        </w:rPr>
        <w:t>通过财务系统、项目台账等渠道汇总数据，</w:t>
      </w:r>
      <w:r>
        <w:rPr>
          <w:rFonts w:hint="eastAsia" w:ascii="仿宋" w:hAnsi="仿宋" w:eastAsia="仿宋" w:cs="仿宋"/>
          <w:b w:val="0"/>
          <w:bCs/>
          <w:color w:val="000000" w:themeColor="text1"/>
          <w:sz w:val="28"/>
          <w:szCs w:val="28"/>
          <w:lang w:val="en-US" w:eastAsia="zh-CN"/>
          <w14:textFill>
            <w14:solidFill>
              <w14:schemeClr w14:val="tx1"/>
            </w14:solidFill>
          </w14:textFill>
        </w:rPr>
        <w:t>对</w:t>
      </w:r>
      <w:r>
        <w:rPr>
          <w:rFonts w:hint="eastAsia" w:ascii="仿宋" w:hAnsi="仿宋" w:eastAsia="仿宋" w:cs="仿宋"/>
          <w:sz w:val="28"/>
          <w:szCs w:val="28"/>
          <w:lang w:val="en-US" w:eastAsia="zh-CN"/>
        </w:rPr>
        <w:t>2024年所有使用财政资金的项目（包括使用上年结余资金项目、年初预算项目和年中调整追加项目）支出和基本支出开展整体绩效自评并撰写整体绩效自评报告，重点分析项目实施管理过程中存在的问题，未完成项目的原因及改进措施，最后部门进行汇总，填制部门整体支出绩效评价指标体系评分表，撰写部门整体支出绩效评价报告并上报区财政局，保证数据真实完整。</w:t>
      </w:r>
    </w:p>
    <w:p w14:paraId="2A961AF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各项指标绩效完成情况：</w:t>
      </w:r>
    </w:p>
    <w:p w14:paraId="152D083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1、在职人员控制率：总分值4分，以100%为标准。按照评价标准在职人员控制率≦100%，计4分；每超过一个百分点扣0.5分，扣完为止。我部门未有在职人员超编情况，得分4分。</w:t>
      </w:r>
    </w:p>
    <w:p w14:paraId="14762A6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sz w:val="28"/>
          <w:szCs w:val="28"/>
          <w:lang w:val="en-US" w:eastAsia="zh-CN"/>
        </w:rPr>
        <w:t>2、“三公经费”变动率：总分值4分，变动率=（本年三公经费预算数-上年度三公经费预算数）/上年度三公经费预算数*100%；“三公经费”变动率≦0,计4分；“三公经费”＞0，每超过一个百分点扣0.4分，扣完为止。本年得分4分。</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3、</w:t>
      </w:r>
      <w:r>
        <w:rPr>
          <w:rFonts w:hint="eastAsia" w:ascii="仿宋" w:hAnsi="仿宋" w:eastAsia="仿宋" w:cs="仿宋"/>
          <w:b w:val="0"/>
          <w:bCs w:val="0"/>
          <w:color w:val="000000"/>
          <w:kern w:val="0"/>
          <w:sz w:val="28"/>
          <w:szCs w:val="28"/>
          <w:lang w:val="en-US" w:eastAsia="zh-CN" w:bidi="ar"/>
        </w:rPr>
        <w:t>预算完成率：总分值7分，按照评价标准（上年结转+本年实际预算收入-年末结余）/(上年结转+年初预算+本年追加预算)；100%计满分，每低于5%扣2分，扣完为止。住建局部门2024整体支出预算完成率得分0分。</w:t>
      </w:r>
    </w:p>
    <w:p w14:paraId="7B4302E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4、预算控制率：总分值7分，预算控制率（本年追加预算/年初预算数）=0，计7分；0-10%（含），计6分；10-20%（含），计5分；20-30%（含），计3分；大于30%不得分。预算控制率得分0分。</w:t>
      </w:r>
    </w:p>
    <w:p w14:paraId="0C0366F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5、公用经费控制率：总分值6分，公用经费控制率=实际支出公用经费/预算安排公用经费*100%；100%以下（含）计满分，每超出1%扣1分，扣完为止。我部门得分6分。</w:t>
      </w:r>
    </w:p>
    <w:p w14:paraId="7AE95E9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6、“三公经费”控制率：总分值6分，总体控制较好，较本年预算和上年决算支出数有较大幅度下降，三公经费控制率=三公经费实际支出数/三公经费预算安排数*100%；100%以下（含）计满分，每超出1%扣1分，扣完为止。我部门得分6分。</w:t>
      </w:r>
    </w:p>
    <w:p w14:paraId="04CE8A1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7、政府采购执行率：总分值5分，政府采购执行率=实际政府采购金额/政府采购预算数*100%；100%计满分，每超过（降低）5%扣2分。扣完为止。得分5分。</w:t>
      </w:r>
    </w:p>
    <w:p w14:paraId="3171E84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8、资金使用合规定性：总分值5分，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1分，扣完为止。我部门在资金使用过程中，完成按照规定支付，不存在违规行为，得分5分。</w:t>
      </w:r>
    </w:p>
    <w:p w14:paraId="330DE69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9、预决算信息公开性：总分值6分，①按规定内容公开预决算信息，1.5分；②按规定时限公开预决算信息，1.5分；③基础数据信息和会计信息资料真实，1分；④基础数据信息和会计信息资料完整，1分；⑤基础数据信息和汇集信息资料准确，1分。 我部门按规定及时完成预决算信息公开工作，得分6分。</w:t>
      </w:r>
    </w:p>
    <w:p w14:paraId="6DBDD4B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10、管理制度健全性：总分8分，①内部财务管理制度、内部控制制度、会计核算制度等管理制度，2分；②有本部门厉行节约制度,2分；③相关管理制度合法、合规、完整，2分；④相关管理制度得到有效执行，有考核制度2分。我单位各项内控及管理制度健全并有效执行，得分7分。</w:t>
      </w:r>
    </w:p>
    <w:p w14:paraId="2E81F3F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11、绩效目标设定情况：总分值8分，绩效目标符合规定格式要求，计2分；内容完整，充分体现“干什么”、“干到什么程度（预期效果）计3分；目标量化、具体，计3分。我部门绩效目标较全面，合理，目标量化，具体，得分6分。</w:t>
      </w:r>
    </w:p>
    <w:p w14:paraId="686BC77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12、项目绩效自评覆盖率：总分值8分，覆盖率=项目支出绩效自评金额/全年项目支出金额*100%；100%计满分，每降低1%扣1分，扣完为止。我部门项目支出自评率已达100%，得8分。</w:t>
      </w:r>
    </w:p>
    <w:p w14:paraId="33C7F92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13、重点工作办结率：总分值8分，部门年度重点工作实际完成数与交办或下达数的比率，用以反映部门对重点工作的办理落实程度。重点工作办结率＝（重点工作实际完成数/交办或下达数）×100%  重点工作是指党委、政府、人大、相关部门交办或下达的工作任务。我部门重点工作全部完成，得分8分。</w:t>
      </w:r>
    </w:p>
    <w:p w14:paraId="18EEA90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14、经济效益、社会效益：总分值6分，对照绩效目标评价社会效益（按优6分、良4分、中2分、差0分进行评分），得分6分。</w:t>
      </w:r>
    </w:p>
    <w:p w14:paraId="20DDF68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15、机关工作整体满意度：总分值6分，根据区委年度考核结果计分，优秀得6分，良好得4分，合格得2分，不合格0分。我部门得分4分。</w:t>
      </w:r>
    </w:p>
    <w:p w14:paraId="4BC3513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16、社会公众或服务对象满意度：总分值6分，90%（含）以上计6分；80%（含）-90%，计5分；70%（含）-80%，计3分；低于70%计2分。我部门社会公众或服务对象满意度93%，得分6分。</w:t>
      </w:r>
    </w:p>
    <w:p w14:paraId="64B90D6C">
      <w:pPr>
        <w:keepNext w:val="0"/>
        <w:keepLines w:val="0"/>
        <w:pageBreakBefore w:val="0"/>
        <w:widowControl/>
        <w:suppressLineNumbers w:val="0"/>
        <w:kinsoku/>
        <w:wordWrap/>
        <w:overflowPunct/>
        <w:topLinePunct w:val="0"/>
        <w:autoSpaceDE/>
        <w:autoSpaceDN/>
        <w:bidi w:val="0"/>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    综合评价等级为良，得分81分，各项指标中，预算完成率和预算控制率执行的不好，本年追加预算较高。 </w:t>
      </w:r>
    </w:p>
    <w:p w14:paraId="03C47722">
      <w:pPr>
        <w:numPr>
          <w:ilvl w:val="0"/>
          <w:numId w:val="1"/>
        </w:numPr>
        <w:ind w:left="0" w:leftChars="0" w:firstLine="602" w:firstLineChars="200"/>
        <w:rPr>
          <w:rFonts w:ascii="宋体" w:hAnsi="宋体" w:eastAsia="黑体" w:cs="Times New Roman"/>
          <w:b/>
          <w:sz w:val="30"/>
          <w:szCs w:val="30"/>
        </w:rPr>
      </w:pPr>
      <w:r>
        <w:rPr>
          <w:rFonts w:ascii="宋体" w:hAnsi="宋体" w:eastAsia="黑体" w:cs="Times New Roman"/>
          <w:b/>
          <w:sz w:val="30"/>
          <w:szCs w:val="30"/>
        </w:rPr>
        <w:t>存在的问题和建议</w:t>
      </w:r>
    </w:p>
    <w:p w14:paraId="2173D7C1">
      <w:pPr>
        <w:keepNext w:val="0"/>
        <w:keepLines w:val="0"/>
        <w:pageBreakBefore w:val="0"/>
        <w:widowControl w:val="0"/>
        <w:kinsoku/>
        <w:wordWrap/>
        <w:overflowPunct/>
        <w:topLinePunct w:val="0"/>
        <w:autoSpaceDE/>
        <w:autoSpaceDN/>
        <w:bidi w:val="0"/>
        <w:adjustRightInd/>
        <w:spacing w:line="360" w:lineRule="auto"/>
        <w:ind w:firstLine="636"/>
        <w:textAlignment w:val="auto"/>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1</w:t>
      </w:r>
      <w:r>
        <w:rPr>
          <w:rFonts w:hint="eastAsia" w:ascii="仿宋" w:hAnsi="仿宋" w:eastAsia="仿宋" w:cs="仿宋"/>
          <w:b w:val="0"/>
          <w:bCs/>
          <w:color w:val="000000" w:themeColor="text1"/>
          <w:sz w:val="28"/>
          <w:szCs w:val="28"/>
          <w14:textFill>
            <w14:solidFill>
              <w14:schemeClr w14:val="tx1"/>
            </w14:solidFill>
          </w14:textFill>
        </w:rPr>
        <w:t>、对绩效评价工作的认识不够。通过绩效评价工作的逐步推进，我</w:t>
      </w:r>
      <w:r>
        <w:rPr>
          <w:rFonts w:hint="eastAsia" w:ascii="仿宋" w:hAnsi="仿宋" w:eastAsia="仿宋" w:cs="仿宋"/>
          <w:b w:val="0"/>
          <w:bCs/>
          <w:color w:val="000000" w:themeColor="text1"/>
          <w:sz w:val="28"/>
          <w:szCs w:val="28"/>
          <w:lang w:eastAsia="zh-CN"/>
          <w14:textFill>
            <w14:solidFill>
              <w14:schemeClr w14:val="tx1"/>
            </w14:solidFill>
          </w14:textFill>
        </w:rPr>
        <w:t>部门</w:t>
      </w:r>
      <w:r>
        <w:rPr>
          <w:rFonts w:hint="eastAsia" w:ascii="仿宋" w:hAnsi="仿宋" w:eastAsia="仿宋" w:cs="仿宋"/>
          <w:b w:val="0"/>
          <w:bCs/>
          <w:color w:val="000000" w:themeColor="text1"/>
          <w:sz w:val="28"/>
          <w:szCs w:val="28"/>
          <w14:textFill>
            <w14:solidFill>
              <w14:schemeClr w14:val="tx1"/>
            </w14:solidFill>
          </w14:textFill>
        </w:rPr>
        <w:t>逐步树立了绩效理念，对预算绩效评价工作的态度由“被动接受”变为“主动实施”，但了解还不够深入，认为绩效评价只是财务部门的事情，相关项目职责部门配合不够，往往只能提供有限的财</w:t>
      </w:r>
      <w:r>
        <w:rPr>
          <w:rFonts w:hint="eastAsia" w:ascii="仿宋" w:hAnsi="仿宋" w:eastAsia="仿宋" w:cs="仿宋"/>
          <w:b w:val="0"/>
          <w:bCs/>
          <w:color w:val="000000" w:themeColor="text1"/>
          <w:sz w:val="28"/>
          <w:szCs w:val="28"/>
          <w:lang w:val="en-US" w:eastAsia="zh-CN"/>
          <w14:textFill>
            <w14:solidFill>
              <w14:schemeClr w14:val="tx1"/>
            </w14:solidFill>
          </w14:textFill>
        </w:rPr>
        <w:t>务</w:t>
      </w:r>
      <w:r>
        <w:rPr>
          <w:rFonts w:hint="eastAsia" w:ascii="仿宋" w:hAnsi="仿宋" w:eastAsia="仿宋" w:cs="仿宋"/>
          <w:b w:val="0"/>
          <w:bCs/>
          <w:color w:val="000000" w:themeColor="text1"/>
          <w:sz w:val="28"/>
          <w:szCs w:val="28"/>
          <w14:textFill>
            <w14:solidFill>
              <w14:schemeClr w14:val="tx1"/>
            </w14:solidFill>
          </w14:textFill>
        </w:rPr>
        <w:t>资料或简单的工作计划、工作总结，绩效评价工作资料非常有限，内容粗浅。</w:t>
      </w:r>
      <w:r>
        <w:rPr>
          <w:rFonts w:hint="eastAsia" w:ascii="仿宋" w:hAnsi="仿宋" w:eastAsia="仿宋" w:cs="仿宋"/>
          <w:b w:val="0"/>
          <w:bCs/>
          <w:color w:val="000000" w:themeColor="text1"/>
          <w:sz w:val="28"/>
          <w:szCs w:val="28"/>
          <w:lang w:val="en-US" w:eastAsia="zh-CN"/>
          <w14:textFill>
            <w14:solidFill>
              <w14:schemeClr w14:val="tx1"/>
            </w14:solidFill>
          </w14:textFill>
        </w:rPr>
        <w:t>粗细化管理水平有待提高。</w:t>
      </w:r>
    </w:p>
    <w:p w14:paraId="47BE217F">
      <w:pPr>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2、</w:t>
      </w:r>
      <w:r>
        <w:rPr>
          <w:rFonts w:hint="eastAsia" w:ascii="仿宋" w:hAnsi="仿宋" w:eastAsia="仿宋" w:cs="仿宋"/>
          <w:b w:val="0"/>
          <w:bCs/>
          <w:color w:val="000000" w:themeColor="text1"/>
          <w:sz w:val="28"/>
          <w:szCs w:val="28"/>
          <w14:textFill>
            <w14:solidFill>
              <w14:schemeClr w14:val="tx1"/>
            </w14:solidFill>
          </w14:textFill>
        </w:rPr>
        <w:t>预算编制涉及众多的职能部门，现阶段预算编制中，由于预算编制意识不强和人员有限，往往将预算编制工作简单划归到财务部门，由于编制时间有限，无法全面系统的反应单位财务活动整体状况</w:t>
      </w:r>
      <w:bookmarkStart w:id="0" w:name="OLE_LINK3"/>
      <w:r>
        <w:rPr>
          <w:rFonts w:hint="eastAsia" w:ascii="仿宋" w:hAnsi="仿宋" w:eastAsia="仿宋" w:cs="仿宋"/>
          <w:b w:val="0"/>
          <w:bCs/>
          <w:color w:val="000000" w:themeColor="text1"/>
          <w:sz w:val="28"/>
          <w:szCs w:val="28"/>
          <w:lang w:eastAsia="zh-CN"/>
          <w14:textFill>
            <w14:solidFill>
              <w14:schemeClr w14:val="tx1"/>
            </w14:solidFill>
          </w14:textFill>
        </w:rPr>
        <w:t>。</w:t>
      </w:r>
    </w:p>
    <w:p w14:paraId="77904A8C">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 w:val="0"/>
          <w:bCs/>
          <w:color w:val="000000" w:themeColor="text1"/>
          <w:sz w:val="28"/>
          <w:szCs w:val="28"/>
          <w:lang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3、预算执行率未达到100%，资金利用率低。</w:t>
      </w:r>
      <w:r>
        <w:rPr>
          <w:rFonts w:hint="eastAsia" w:ascii="仿宋" w:hAnsi="仿宋" w:eastAsia="仿宋" w:cs="仿宋"/>
          <w:b w:val="0"/>
          <w:bCs/>
          <w:color w:val="000000" w:themeColor="text1"/>
          <w:sz w:val="28"/>
          <w:szCs w:val="28"/>
          <w14:textFill>
            <w14:solidFill>
              <w14:schemeClr w14:val="tx1"/>
            </w14:solidFill>
          </w14:textFill>
        </w:rPr>
        <w:t>但绩效目标完成较好，绩效评价结果基本未受影响</w:t>
      </w:r>
      <w:r>
        <w:rPr>
          <w:rFonts w:hint="eastAsia" w:ascii="仿宋" w:hAnsi="仿宋" w:eastAsia="仿宋" w:cs="仿宋"/>
          <w:b w:val="0"/>
          <w:bCs/>
          <w:color w:val="000000" w:themeColor="text1"/>
          <w:sz w:val="28"/>
          <w:szCs w:val="28"/>
          <w:lang w:eastAsia="zh-CN"/>
          <w14:textFill>
            <w14:solidFill>
              <w14:schemeClr w14:val="tx1"/>
            </w14:solidFill>
          </w14:textFill>
        </w:rPr>
        <w:t>。在后续的预算数据编制中，需进一步加强测算，参照历史数据，提升测算准确率，从而提升预算执行率。</w:t>
      </w:r>
    </w:p>
    <w:p w14:paraId="776678D0">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4、预算执行进度慢，存在部分项目资金申报不及时，项目实施进度偏慢，资金未能及时到位的现象。</w:t>
      </w:r>
    </w:p>
    <w:p w14:paraId="2A0283C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5、上级专项资金由于提前下达或工程项目资金支付手续不完善等原因，未能及时支付，支出率偏低。</w:t>
      </w:r>
    </w:p>
    <w:bookmarkEnd w:id="0"/>
    <w:p w14:paraId="7527A6CC">
      <w:pPr>
        <w:keepNext w:val="0"/>
        <w:keepLines w:val="0"/>
        <w:pageBreakBefore w:val="0"/>
        <w:widowControl w:val="0"/>
        <w:kinsoku/>
        <w:wordWrap/>
        <w:overflowPunct/>
        <w:topLinePunct w:val="0"/>
        <w:autoSpaceDE/>
        <w:autoSpaceDN/>
        <w:bidi w:val="0"/>
        <w:adjustRightInd/>
        <w:spacing w:line="360" w:lineRule="auto"/>
        <w:ind w:firstLine="64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（二）整改措施及结果运用</w:t>
      </w:r>
    </w:p>
    <w:p w14:paraId="7D41AA2A">
      <w:pPr>
        <w:keepNext w:val="0"/>
        <w:keepLines w:val="0"/>
        <w:pageBreakBefore w:val="0"/>
        <w:widowControl w:val="0"/>
        <w:kinsoku/>
        <w:wordWrap/>
        <w:overflowPunct/>
        <w:topLinePunct w:val="0"/>
        <w:autoSpaceDE/>
        <w:autoSpaceDN/>
        <w:bidi w:val="0"/>
        <w:adjustRightInd/>
        <w:spacing w:line="360" w:lineRule="auto"/>
        <w:ind w:firstLine="624" w:firstLineChars="200"/>
        <w:textAlignment w:val="auto"/>
        <w:rPr>
          <w:rFonts w:ascii="仿宋" w:hAnsi="仿宋" w:eastAsia="仿宋" w:cs="Times New Roman"/>
          <w:b w:val="0"/>
          <w:color w:val="000000" w:themeColor="text1"/>
          <w:spacing w:val="6"/>
          <w:sz w:val="30"/>
          <w:szCs w:val="30"/>
          <w14:textFill>
            <w14:solidFill>
              <w14:schemeClr w14:val="tx1"/>
            </w14:solidFill>
          </w14:textFill>
        </w:rPr>
      </w:pPr>
      <w:r>
        <w:rPr>
          <w:rFonts w:hint="eastAsia" w:ascii="仿宋" w:hAnsi="仿宋" w:eastAsia="仿宋" w:cs="Times New Roman"/>
          <w:b w:val="0"/>
          <w:color w:val="000000" w:themeColor="text1"/>
          <w:spacing w:val="6"/>
          <w:sz w:val="30"/>
          <w:szCs w:val="30"/>
          <w:lang w:val="en-US" w:eastAsia="zh-CN"/>
          <w14:textFill>
            <w14:solidFill>
              <w14:schemeClr w14:val="tx1"/>
            </w14:solidFill>
          </w14:textFill>
        </w:rPr>
        <w:t>在下一步工作中，我部门将</w:t>
      </w:r>
      <w:r>
        <w:rPr>
          <w:rFonts w:hint="eastAsia" w:ascii="仿宋" w:hAnsi="仿宋" w:eastAsia="仿宋" w:cs="Times New Roman"/>
          <w:b w:val="0"/>
          <w:color w:val="000000" w:themeColor="text1"/>
          <w:spacing w:val="6"/>
          <w:sz w:val="30"/>
          <w:szCs w:val="30"/>
          <w14:textFill>
            <w14:solidFill>
              <w14:schemeClr w14:val="tx1"/>
            </w14:solidFill>
          </w14:textFill>
        </w:rPr>
        <w:t>组织相关人员对绩效评价中发现的问题进行系统分类，制定整改思路，以提升绩效为核心，针对绩效目标设定不合理问题，组织专业培训。建立绩效管理制度，完善内部监督制度，根据绩效评价结果，对相关政策进行评估和调整。根据绩效评价结果，并结合单位发展需求，合理规划新项目，确保项目与单位目标和资源相匹配。提高绩效目标设置质量方面加强培训与学习，强化沟通与协作。将绩效评价结果与预算安排紧密挂钩，对绩效好的项目给予优先保障和适当增加，对绩效差的项目减少预算或取消项目。</w:t>
      </w:r>
    </w:p>
    <w:p w14:paraId="01BECFB5">
      <w:pPr>
        <w:ind w:firstLine="602" w:firstLineChars="200"/>
        <w:rPr>
          <w:rFonts w:ascii="宋体" w:hAnsi="宋体" w:eastAsia="黑体" w:cs="Times New Roman"/>
          <w:b/>
          <w:bCs/>
          <w:sz w:val="30"/>
          <w:szCs w:val="30"/>
        </w:rPr>
      </w:pPr>
      <w:r>
        <w:rPr>
          <w:rFonts w:ascii="宋体" w:hAnsi="宋体" w:eastAsia="黑体" w:cs="Times New Roman"/>
          <w:b/>
          <w:bCs/>
          <w:sz w:val="30"/>
          <w:szCs w:val="30"/>
        </w:rPr>
        <w:t>五、</w:t>
      </w:r>
      <w:r>
        <w:rPr>
          <w:rFonts w:hint="eastAsia" w:ascii="宋体" w:hAnsi="宋体" w:eastAsia="黑体" w:cs="Times New Roman"/>
          <w:b/>
          <w:bCs/>
          <w:sz w:val="30"/>
          <w:szCs w:val="30"/>
        </w:rPr>
        <w:t>其他需要说明的问题</w:t>
      </w:r>
    </w:p>
    <w:p w14:paraId="2625D98D">
      <w:p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无</w:t>
      </w:r>
    </w:p>
    <w:p w14:paraId="0D97767F"/>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1">
    <w:nsid w:val="E8D55BCE"/>
    <w:multiLevelType w:val="singleLevel"/>
    <w:tmpl w:val="E8D55BCE"/>
    <w:lvl w:ilvl="0" w:tentative="0">
      <w:start w:val="1"/>
      <w:numFmt w:val="decimal"/>
      <w:suff w:val="nothing"/>
      <w:lvlText w:val="%1、"/>
      <w:lvlJc w:val="left"/>
      <w:pPr>
        <w:ind w:left="480" w:firstLine="0"/>
      </w:pPr>
    </w:lvl>
  </w:abstractNum>
  <w:abstractNum w:abstractNumId="2">
    <w:nsid w:val="001D51D9"/>
    <w:multiLevelType w:val="singleLevel"/>
    <w:tmpl w:val="001D51D9"/>
    <w:lvl w:ilvl="0" w:tentative="0">
      <w:start w:val="1"/>
      <w:numFmt w:val="chineseCounting"/>
      <w:suff w:val="nothing"/>
      <w:lvlText w:val="（%1）"/>
      <w:lvlJc w:val="left"/>
      <w:rPr>
        <w:rFonts w:hint="eastAsia"/>
      </w:rPr>
    </w:lvl>
  </w:abstractNum>
  <w:abstractNum w:abstractNumId="3">
    <w:nsid w:val="7DA23C51"/>
    <w:multiLevelType w:val="singleLevel"/>
    <w:tmpl w:val="7DA23C51"/>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22A6766"/>
    <w:rsid w:val="04EA55AD"/>
    <w:rsid w:val="095A0316"/>
    <w:rsid w:val="0E03494F"/>
    <w:rsid w:val="1DC348E4"/>
    <w:rsid w:val="21A04DF0"/>
    <w:rsid w:val="21E67DCD"/>
    <w:rsid w:val="657443B3"/>
    <w:rsid w:val="7F420A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4D3D20B-E9BE-4117-B12D-8A91ED60DEB0}">
  <ds:schemaRefs/>
</ds:datastoreItem>
</file>

<file path=docProps/app.xml><?xml version="1.0" encoding="utf-8"?>
<Properties xmlns="http://schemas.openxmlformats.org/officeDocument/2006/extended-properties" xmlns:vt="http://schemas.openxmlformats.org/officeDocument/2006/docPropsVTypes">
  <Template>Normal.eit</Template>
  <Pages>12</Pages>
  <Words>5500</Words>
  <Characters>5801</Characters>
  <Lines>0</Lines>
  <Paragraphs>38</Paragraphs>
  <TotalTime>8</TotalTime>
  <ScaleCrop>false</ScaleCrop>
  <LinksUpToDate>false</LinksUpToDate>
  <CharactersWithSpaces>5830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2023-03-06T07:30:00Z</dcterms:created>
  <dc:creator>Administrator</dc:creator>
  <cp:lastModifiedBy>春暖花开</cp:lastModifiedBy>
  <dcterms:modified xsi:type="dcterms:W3CDTF">2025-03-25T02:20:05Z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eyJoZGlkIjoiM2FiNDkzMzgzYWY2YWM0NjVlZDMxNDcxODZlNTNkODQiLCJ1c2VySWQiOiI0NDE5NTQ2NDgifQ==</vt:lpwstr>
  </property>
  <property fmtid="{D5CDD505-2E9C-101B-9397-08002B2CF9AE}" pid="3" name="KSOProductBuildVer">
    <vt:lpwstr>2052-12.1.0.20305</vt:lpwstr>
  </property>
  <property fmtid="{D5CDD505-2E9C-101B-9397-08002B2CF9AE}" pid="4" name="ICV">
    <vt:lpwstr>98EF1431F31E4EE5B916C329971C8FA5_12</vt:lpwstr>
  </property>
</Properties>
</file>