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956D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hint="eastAsia" w:ascii="宋体" w:cs="Times New Roman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 w14:paraId="453C9DB7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14:paraId="0B179F4A"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2024</w:t>
      </w:r>
      <w:r>
        <w:rPr>
          <w:rFonts w:ascii="宋体" w:hAnsi="宋体" w:eastAsia="仿宋" w:cs="Times New Roman"/>
          <w:b/>
          <w:sz w:val="30"/>
          <w:szCs w:val="30"/>
        </w:rPr>
        <w:t>年度）</w:t>
      </w:r>
    </w:p>
    <w:p w14:paraId="0859F519">
      <w:pPr>
        <w:rPr>
          <w:rFonts w:ascii="宋体" w:hAnsi="宋体" w:eastAsia="仿宋" w:cs="Times New Roman"/>
          <w:b/>
        </w:rPr>
      </w:pPr>
    </w:p>
    <w:p w14:paraId="1B85BFD4">
      <w:pPr>
        <w:rPr>
          <w:rFonts w:ascii="宋体" w:hAnsi="宋体" w:eastAsia="仿宋" w:cs="Times New Roman"/>
          <w:b/>
        </w:rPr>
      </w:pPr>
    </w:p>
    <w:p w14:paraId="71EC8FAB"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hint="eastAsia" w:ascii="宋体" w:hAnsi="宋体" w:eastAsia="仿宋" w:cs="Times New Roman"/>
          <w:b/>
          <w:sz w:val="44"/>
          <w:szCs w:val="44"/>
          <w:lang w:eastAsia="zh-CN"/>
        </w:rPr>
        <w:t>☑</w:t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hint="eastAsia" w:ascii="宋体" w:hAnsi="宋体" w:eastAsia="仿宋" w:cs="Times New Roman"/>
          <w:b/>
          <w:sz w:val="44"/>
          <w:szCs w:val="44"/>
          <w:lang w:eastAsia="zh-CN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 w14:paraId="158CE6DE">
      <w:pPr>
        <w:rPr>
          <w:rFonts w:ascii="宋体" w:hAnsi="宋体" w:eastAsia="仿宋" w:cs="Times New Roman"/>
          <w:b/>
        </w:rPr>
      </w:pPr>
    </w:p>
    <w:p w14:paraId="5F0C38C6">
      <w:pPr>
        <w:rPr>
          <w:rFonts w:ascii="宋体" w:hAnsi="宋体" w:eastAsia="仿宋" w:cs="Times New Roman"/>
          <w:b/>
        </w:rPr>
      </w:pPr>
    </w:p>
    <w:p w14:paraId="6D2C3CB3">
      <w:pPr>
        <w:rPr>
          <w:rFonts w:ascii="宋体" w:hAnsi="宋体" w:eastAsia="仿宋" w:cs="Times New Roman"/>
          <w:b/>
        </w:rPr>
      </w:pPr>
    </w:p>
    <w:p w14:paraId="54BE1C6A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5F65638F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6D4146B2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61E4B6F3">
      <w:pPr>
        <w:ind w:firstLine="643" w:firstLineChars="200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 xml:space="preserve">  唐山市丰南区黄各庄镇人民政府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           </w:t>
      </w:r>
    </w:p>
    <w:p w14:paraId="03BD5765">
      <w:pPr>
        <w:ind w:firstLine="643" w:firstLineChars="200"/>
        <w:jc w:val="both"/>
        <w:rPr>
          <w:rFonts w:hint="default" w:ascii="宋体" w:hAnsi="宋体" w:eastAsia="仿宋" w:cs="Times New Roman"/>
          <w:b/>
          <w:sz w:val="32"/>
          <w:szCs w:val="32"/>
          <w:u w:val="single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 xml:space="preserve">  8525368                            </w:t>
      </w:r>
    </w:p>
    <w:p w14:paraId="69E0C814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1E3744F7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71B5068D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3FF13FC9"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</w:t>
      </w:r>
      <w:r>
        <w:rPr>
          <w:rFonts w:ascii="宋体" w:hAnsi="宋体" w:eastAsia="仿宋" w:cs="Times New Roman"/>
          <w:b/>
          <w:sz w:val="32"/>
          <w:szCs w:val="32"/>
        </w:rPr>
        <w:t xml:space="preserve"> 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2025</w:t>
      </w:r>
      <w:r>
        <w:rPr>
          <w:rFonts w:ascii="宋体" w:hAnsi="宋体" w:eastAsia="仿宋" w:cs="Times New Roman"/>
          <w:b/>
          <w:sz w:val="32"/>
          <w:szCs w:val="32"/>
        </w:rPr>
        <w:t>年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 xml:space="preserve">月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ascii="宋体" w:hAnsi="宋体" w:eastAsia="仿宋" w:cs="Times New Roman"/>
          <w:b/>
          <w:sz w:val="32"/>
          <w:szCs w:val="32"/>
        </w:rPr>
        <w:t xml:space="preserve"> 日</w:t>
      </w:r>
    </w:p>
    <w:p w14:paraId="1B65C5BE">
      <w:pPr>
        <w:jc w:val="center"/>
        <w:rPr>
          <w:rFonts w:ascii="宋体" w:cs="Times New Roman"/>
          <w:b/>
          <w:sz w:val="44"/>
          <w:szCs w:val="44"/>
        </w:rPr>
      </w:pPr>
    </w:p>
    <w:p w14:paraId="6DF4444E">
      <w:pPr>
        <w:jc w:val="center"/>
        <w:rPr>
          <w:rFonts w:ascii="宋体" w:cs="Times New Roman"/>
          <w:b/>
          <w:sz w:val="44"/>
          <w:szCs w:val="44"/>
        </w:rPr>
      </w:pPr>
    </w:p>
    <w:p w14:paraId="697B2E82">
      <w:pPr>
        <w:jc w:val="center"/>
        <w:rPr>
          <w:rFonts w:ascii="宋体" w:cs="Times New Roman"/>
          <w:b/>
          <w:sz w:val="44"/>
          <w:szCs w:val="44"/>
        </w:rPr>
      </w:pPr>
    </w:p>
    <w:p w14:paraId="5E8FA530">
      <w:pPr>
        <w:jc w:val="center"/>
        <w:rPr>
          <w:rFonts w:ascii="宋体" w:cs="Times New Roman"/>
          <w:b/>
          <w:sz w:val="44"/>
          <w:szCs w:val="44"/>
        </w:rPr>
      </w:pPr>
    </w:p>
    <w:p w14:paraId="452A66D8">
      <w:pPr>
        <w:jc w:val="center"/>
        <w:rPr>
          <w:rFonts w:ascii="宋体" w:cs="Times New Roman"/>
          <w:b/>
          <w:sz w:val="44"/>
          <w:szCs w:val="44"/>
        </w:rPr>
      </w:pPr>
    </w:p>
    <w:p w14:paraId="4B51C149">
      <w:pPr>
        <w:jc w:val="center"/>
        <w:rPr>
          <w:rFonts w:ascii="宋体" w:cs="Times New Roman"/>
          <w:b/>
          <w:sz w:val="44"/>
          <w:szCs w:val="44"/>
        </w:rPr>
      </w:pPr>
    </w:p>
    <w:p w14:paraId="76DB782F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14:paraId="76F938F9"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 w14:paraId="1F3E9507">
      <w:pPr>
        <w:numPr>
          <w:ilvl w:val="0"/>
          <w:numId w:val="2"/>
        </w:num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部门主要职责职能及人员情况</w:t>
      </w:r>
    </w:p>
    <w:p w14:paraId="5D01C78F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1、党政综合办公室。负责机关文电运转、综合协调、政务值班、会务组织、信息反馈、档案管理、保密机要后勤保障等日常工作;负责监督检查和指导所属单位和行政村的档案工作;负责政务公开、村务公开工作。</w:t>
      </w:r>
    </w:p>
    <w:p w14:paraId="54DAAFBA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2、党建工作办公室(人大主席团办公室)。负责辖区党的建设;负责非公有制企业和社会组织党建工作;负责党员队伍建设;负责人才工作;负责意识形态、统一战线、民族宗教、人民武装有关工作;承担人大、政协有关工作等。</w:t>
      </w:r>
    </w:p>
    <w:p w14:paraId="17DEF67D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3、应急管理办公室(发展改革办公室)。负责加强本辖区生产经营单位安全生产状况的监督检查,协助上级有关部门依法履行安全生产监督管理职责;负责辖区消防、防汛抗旱、防灾减灾、林木防火工作;依法做好本辖区的突发事件应对工作、制定本级突发事件应急预案、组织开展应急演练;负责建立健全自然灾害救助款物和捐赠款物的监督检查制度,并及时受理投诉和举报;负责本辖区乡道、村道建设、养护和管理工作,负责乡村道路交通安全监督管理工作;领导辖区内传染病防治工作;组织开展群众性卫生活动,进行预防传染病的健康教育等。</w:t>
      </w:r>
    </w:p>
    <w:p w14:paraId="63C741D2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4、自然资源和生态环境办公室。负责动员和组织社会力量参与土地调查工作;负责本区域范围内的镇村规划建设管理工作;按照职责分工依法履行土壤污染防治和安全利用职责;按照职责分工负责本辖区河湖的水资源保护、水域岸线管理、水污染防治,水环境治理等工作。</w:t>
      </w:r>
    </w:p>
    <w:p w14:paraId="1FD42803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5、综合行政执法队(综合指挥和信息化网络中心、社会治理办公室)。根据法律法规和省政府授权承担综合行政执法工作;严格落实执法相关制度,健全完善执法程序,规范执法行为;负责辖区内的食品安全隐患排查、信息报告,协助执法和宣传教育等工作。</w:t>
      </w:r>
    </w:p>
    <w:p w14:paraId="663F3338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6、行政综合服务中心(综合文化服务站)。根据法律法规和省政府授权,承担行政审批和综合服务工作;优化审批服务流程,健全完善各类制度,推动业务流程标准化,业务受理全科化,办理结果便民化,做好“互联网+政务服务”有关工作;负责相关民生保障工作;负责信用体系建设有关工作等。</w:t>
      </w:r>
    </w:p>
    <w:p w14:paraId="330A5A9F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7、农业综合服务中心。负责辖区基本农田保护管理工作;按职责分工负责农产品质量安全监管工作、加强农产品质量安全知识的宣传,及时处理并上报有关单位和个人报告的农产品质量安全事故;依法组织群众协助做好本辖区的动物疫病预防与控制工作,组织饲养动物的单位和个人做好强制免疫工作;负责本辖区农村扶贫的具体实施工作;引导和扶持农业机械化有关工作等。</w:t>
      </w:r>
    </w:p>
    <w:p w14:paraId="4FFC58F0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8、退役军人服务站。负责辖区拥军优属退役军人服务等工作;负责宣传和落实退役士兵相关政策,培树就业创业先进典型;收集退役士兵基本情况,组织开展职业教育培训,提供就业创业指导、咨询和服务;建立精准帮扶责任制,开展常态化走访慰问、帮扶解困、化解矛盾和思想政治工作;配合有关部门做好军队退役人员来信、来访工作。</w:t>
      </w:r>
    </w:p>
    <w:p w14:paraId="03D177E2">
      <w:pPr>
        <w:numPr>
          <w:ilvl w:val="0"/>
          <w:numId w:val="0"/>
        </w:numPr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我部门实有编制数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107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个，其中行政编制数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46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个，事业编制数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61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个。实有在编人员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115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人，其中行政编制人员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35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人、事业编制人员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80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人。人事代理2人，聘用制5人，离退休人员38人。</w:t>
      </w:r>
    </w:p>
    <w:p w14:paraId="157ABCBB">
      <w:pPr>
        <w:ind w:firstLine="600" w:firstLineChars="200"/>
        <w:rPr>
          <w:rFonts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（二）部门预算执行情况等</w:t>
      </w:r>
    </w:p>
    <w:p w14:paraId="196EE156">
      <w:pPr>
        <w:spacing w:line="540" w:lineRule="exact"/>
        <w:ind w:firstLine="600" w:firstLineChars="200"/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</w:pP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本部门202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4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年度申请预算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资金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4365.24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万元，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其中：共同财政事权转移支付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万元），专项转移支付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25.09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25.09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万元），债券资金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万元；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实际支出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4365.24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万元，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其中：共同财政事权转移支付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万元），专项转移支付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25.09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25.09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万元），债券资金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万元；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预算执行率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100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%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。其中：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项目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39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个（与部门开展项目自评个数相同），金额合计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1989.6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万元（与部门开展项目自评金额合计相同），实际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支出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1989.6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万元，执行率为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100</w:t>
      </w:r>
      <w:r>
        <w:rPr>
          <w:rFonts w:ascii="宋体" w:hAnsi="宋体" w:eastAsia="仿宋" w:cs="Times New Roman"/>
          <w:b w:val="0"/>
          <w:bCs/>
          <w:sz w:val="30"/>
          <w:szCs w:val="30"/>
          <w:highlight w:val="none"/>
        </w:rPr>
        <w:t>%。</w:t>
      </w:r>
    </w:p>
    <w:p w14:paraId="7598000C"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  <w:highlight w:val="none"/>
        </w:rPr>
      </w:pPr>
      <w:r>
        <w:rPr>
          <w:rFonts w:ascii="宋体" w:hAnsi="宋体" w:eastAsia="黑体" w:cs="Times New Roman"/>
          <w:b/>
          <w:sz w:val="30"/>
          <w:szCs w:val="30"/>
          <w:highlight w:val="none"/>
        </w:rPr>
        <w:t>二、绩效评价组织情况</w:t>
      </w:r>
    </w:p>
    <w:p w14:paraId="0F599643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部门总体绩效目标：坚决落实中央和省市区委决策部署，紧紧围绕经济繁荣、生态良好、人民幸福、社会和谐四大目标，统筹推进经济建设、政治建设、文化建设、社会建设、生态文明建设和党的建设，着力做好招商引资、乡村振兴、生态建设、民生改善和基层组织建设五项重点工作，努力推动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eastAsia="zh-CN"/>
        </w:rPr>
        <w:t>黄各庄镇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各项工作走在全区前列。</w:t>
      </w:r>
    </w:p>
    <w:p w14:paraId="70B394EA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绩效指标设定情况如下：</w:t>
      </w:r>
    </w:p>
    <w:p w14:paraId="6459AB4B">
      <w:pPr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（一）、产出指标</w:t>
      </w:r>
    </w:p>
    <w:p w14:paraId="231826F5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1、重点工作完成率。反映重点工作任务完成情况。重点工作完成率=（重点工作实际完成数量/重点工作数量）*100%</w:t>
      </w:r>
    </w:p>
    <w:p w14:paraId="09F6F48B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2、全年工作任务达标率。反映全部工作任务达到预期质量目标情况。全年工作任务达标率=(完成预期质量目标的工作任务数/全年部门工作任务数)*100%</w:t>
      </w:r>
    </w:p>
    <w:p w14:paraId="69FDB12F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3、完成及时率。反映全部工作任务完成的及时程度和效率情况。完成及时率=（按时完成的工作任务数/全部工作任务数）*100%</w:t>
      </w:r>
    </w:p>
    <w:p w14:paraId="74F0ABB1">
      <w:pPr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（二）、效果指标</w:t>
      </w:r>
    </w:p>
    <w:p w14:paraId="57940B22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1、促进产业发展。通过基础设施等改善，促进城乡产业发展，群众可通过形成或加入合作社等形式受益，致富能力持续增强。</w:t>
      </w:r>
    </w:p>
    <w:p w14:paraId="2AD5CC12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2、安全保障和社会和谐。通过项目的实施，提高干部自觉履职的积极性，确保为群众办实事、做好事、解难事等需要的支出，保障社会和谐稳定，确保资金使用效率，保障各项工作进展顺利。</w:t>
      </w:r>
    </w:p>
    <w:p w14:paraId="4279463B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3、生态文明。通过项目的实施，将卫生环境保护贯穿到全乡、丰富文化生活，加强乡风文明建设着力建设生态环保、节能高效的社会环境。</w:t>
      </w:r>
    </w:p>
    <w:p w14:paraId="2F147419">
      <w:pPr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（三）、满意度指标</w:t>
      </w:r>
    </w:p>
    <w:p w14:paraId="3D9A855C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服务对象满意度。社会公众或服务对象对本部门主要职能工作开展情况的满意程度，一般采用通过调查问卷、访谈等方式。</w:t>
      </w:r>
    </w:p>
    <w:p w14:paraId="6CB27662"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 w14:paraId="4D18499E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eastAsia="zh-CN"/>
        </w:rPr>
        <w:t>202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年，我镇严格按照年初预算批复认真组织实施,严格执行财经纪律相关管理规定，做到资金管理规范，项目管理到位，政策执行有力，有效发挥了财政资金的使用效率。在人员经费、公用经费等方面支出严格执行各项制度；在项目支出方面本着专款专用的原则，严格执行项目资金批准的使用计划和项目批复内容，不擅自调项、扩项、缩项，不拆借、挪用、挤占。对每笔专项资金的支付时，严格执行财务制度，落实专项资金审核程序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eastAsia="zh-CN"/>
        </w:rPr>
        <w:t>202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年我镇绩效评价项目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39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个，占部门项目总数的100%，涉及金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额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1989.6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</w:rPr>
        <w:t>万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3ED8527F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eastAsia="zh-CN"/>
        </w:rPr>
        <w:t>202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年我镇保障了单位正常运行和项目的顺利完成，圆满的完成了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eastAsia="zh-CN"/>
        </w:rPr>
        <w:t>202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年目标任务。通过基础设施建设等方面，促进城乡产业发展，促进群众致富能力持续增强；通过项目的实施，提高干部自觉履职的积极性；通过为群众办实事、做好事、解难事等方面的工作，保障社会和谐稳定，确保资金使用效率，保障各项工作进展顺利。通过调查问题或电话回访，群众对本部门主要职能工作开展情况的满意程度达到了95%以上。</w:t>
      </w:r>
    </w:p>
    <w:p w14:paraId="74A3DC7A">
      <w:pPr>
        <w:numPr>
          <w:ilvl w:val="0"/>
          <w:numId w:val="3"/>
        </w:num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 w14:paraId="48803DEE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2024年，我单位积极履职，强化管理，较好的完成了年度工作目标。通过加强预算收支管理，不断建立健全内部管理制度，梳理内部管理流程，部门整体支出管理水平得到提升。通过自评发现以下问题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highlight w:val="none"/>
          <w:lang w:val="en-US" w:eastAsia="zh-CN"/>
        </w:rPr>
        <w:t>：一是年初预算只是对基本运转部分做了保障预算，对于一些突发性、临时性和重点工作的预算缺少预见性。二是财政人员业务参差不齐，对某些专业性较强的资金进行绩效评价明显力不从心。</w:t>
      </w:r>
    </w:p>
    <w:p w14:paraId="108F5531"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部门整体支出绩效评价指标体系评分满分100分，我单位自评92.5分，评价等级优。其中：投入-预算配置-在职人员控制率满分4分，自评得0.5分（我单位编制数107，实有人数115，超过7个百分点，每超过一个百分点扣0.5分）；过程-预算执行-预算控制率满分7分，自评得5分（我单位2024年年初预算数3539.08万元，决算数4365.24万元，追加预算数826.16万元，追加预算数/年初预算数*100%=23.34%，20%-30%计3分）。</w:t>
      </w:r>
    </w:p>
    <w:p w14:paraId="3A78E7EE">
      <w:pPr>
        <w:ind w:firstLine="600" w:firstLineChars="200"/>
        <w:rPr>
          <w:rFonts w:hint="eastAsia" w:ascii="宋体" w:hAnsi="宋体" w:eastAsia="方正仿宋简体" w:cs="方正仿宋简体"/>
          <w:b/>
          <w:bCs/>
          <w:spacing w:val="6"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在今后的工作中,我镇将严格按照《预算法》的要求，加强预算编制的科学性、合理性,让预算编制更贴合实际，使项目预算与工作结合更加紧密，及时、准确支付项目资金。加强预算绩效管理，增强预算约束力，做好预算项目支出绩效目标及各项绩效指标的细化、量化工作,用好用活各类财政资金，提高财政资金的使用效益。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p w14:paraId="4F0F1C00">
      <w:pPr>
        <w:ind w:firstLine="602" w:firstLineChars="200"/>
        <w:rPr>
          <w:rFonts w:hint="eastAsia" w:ascii="宋体" w:hAnsi="宋体" w:eastAsia="黑体" w:cs="Times New Roman"/>
          <w:b/>
          <w:sz w:val="30"/>
          <w:szCs w:val="30"/>
        </w:rPr>
      </w:pPr>
    </w:p>
    <w:p w14:paraId="7F2F74B2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E8BC80EA"/>
    <w:multiLevelType w:val="singleLevel"/>
    <w:tmpl w:val="E8BC80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CE99AD"/>
    <w:multiLevelType w:val="singleLevel"/>
    <w:tmpl w:val="58CE99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05D2600"/>
    <w:rsid w:val="17224A46"/>
    <w:rsid w:val="39465E5F"/>
    <w:rsid w:val="623E0D13"/>
    <w:rsid w:val="68FB05EE"/>
    <w:rsid w:val="6F82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0</Words>
  <Characters>452</Characters>
  <Lines>0</Lines>
  <Paragraphs>38</Paragraphs>
  <TotalTime>11</TotalTime>
  <ScaleCrop>false</ScaleCrop>
  <LinksUpToDate>false</LinksUpToDate>
  <CharactersWithSpaces>603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Administrator</cp:lastModifiedBy>
  <dcterms:modified xsi:type="dcterms:W3CDTF">2025-02-24T01:56:55Z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97C5DA59953C4C948446A8EAD863A29F_12</vt:lpwstr>
  </property>
</Properties>
</file>