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rPr>
          <w:rFonts w:ascii="宋体" w:cs="Times New Roman"/>
          <w:b/>
          <w:sz w:val="30"/>
          <w:szCs w:val="30"/>
        </w:rPr>
      </w:pPr>
      <w:r>
        <w:rPr>
          <w:rFonts w:ascii="宋体" w:cs="Times New Roman" w:hint="eastAsia"/>
          <w:b/>
          <w:sz w:val="30"/>
          <w:szCs w:val="30"/>
        </w:rPr>
        <w:t>附件1</w:t>
      </w:r>
    </w:p>
    <w:p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丰南经济开发区</w:t>
      </w:r>
    </w:p>
    <w:p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部门</w:t>
      </w:r>
      <w:r>
        <w:rPr>
          <w:rFonts w:ascii="宋体" w:cs="Times New Roman" w:hint="eastAsia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绩效自评报告</w:t>
      </w:r>
    </w:p>
    <w:p>
      <w:pPr>
        <w:jc w:val="center"/>
        <w:rPr>
          <w:rFonts w:ascii="宋体" w:eastAsia="仿宋" w:cs="Times New Roman" w:hAnsi="宋体"/>
          <w:b/>
          <w:sz w:val="30"/>
          <w:szCs w:val="30"/>
        </w:rPr>
      </w:pPr>
      <w:r>
        <w:rPr>
          <w:rFonts w:ascii="宋体" w:eastAsia="仿宋" w:cs="Times New Roman" w:hAnsi="宋体"/>
          <w:b/>
          <w:sz w:val="30"/>
          <w:szCs w:val="30"/>
        </w:rPr>
        <w:t>（2024年度）</w:t>
      </w:r>
    </w:p>
    <w:p>
      <w:pPr>
        <w:rPr>
          <w:rFonts w:ascii="宋体" w:eastAsia="仿宋" w:cs="Times New Roman" w:hAnsi="宋体"/>
          <w:b/>
        </w:rPr>
      </w:pPr>
    </w:p>
    <w:p>
      <w:pPr>
        <w:rPr>
          <w:rFonts w:ascii="宋体" w:eastAsia="仿宋" w:cs="Times New Roman" w:hAnsi="宋体"/>
          <w:b/>
        </w:rPr>
      </w:pPr>
    </w:p>
    <w:p>
      <w:pPr>
        <w:ind w:firstLineChars="100" w:firstLine="320"/>
        <w:rPr>
          <w:rFonts w:ascii="宋体" w:eastAsia="仿宋" w:cs="Times New Roman" w:hAnsi="宋体"/>
          <w:b/>
          <w:sz w:val="32"/>
          <w:szCs w:val="32"/>
        </w:rPr>
      </w:pPr>
      <w:r>
        <w:rPr>
          <w:rFonts w:ascii="宋体" w:eastAsia="仿宋" w:cs="Times New Roman" w:hAnsi="宋体"/>
          <w:b/>
          <w:sz w:val="32"/>
          <w:szCs w:val="32"/>
        </w:rPr>
        <w:t>评价方式：</w:t>
      </w:r>
      <w:r>
        <w:rPr>
          <w:rFonts w:ascii="宋体" w:eastAsia="仿宋" w:cs="Times New Roman" w:hAnsi="宋体"/>
          <w:b/>
          <w:sz w:val="44"/>
          <w:szCs w:val="44"/>
        </w:rPr>
        <w:t>□</w:t>
      </w:r>
      <w:r>
        <w:rPr>
          <w:rFonts w:ascii="宋体" w:eastAsia="仿宋" w:cs="Times New Roman" w:hAnsi="宋体"/>
          <w:b/>
          <w:sz w:val="32"/>
          <w:szCs w:val="32"/>
        </w:rPr>
        <w:t xml:space="preserve">直接组织评价        </w:t>
      </w:r>
      <w:r>
        <w:rPr>
          <w:rFonts w:ascii="宋体" w:eastAsia="仿宋" w:cs="Times New Roman" w:hAnsi="宋体"/>
          <w:b/>
          <w:sz w:val="44"/>
          <w:szCs w:val="44"/>
        </w:rPr>
        <w:t>□</w:t>
      </w:r>
      <w:r>
        <w:rPr>
          <w:rFonts w:ascii="宋体" w:eastAsia="仿宋" w:cs="Times New Roman" w:hAnsi="宋体"/>
          <w:b/>
          <w:sz w:val="32"/>
          <w:szCs w:val="32"/>
        </w:rPr>
        <w:t>委托评价</w:t>
      </w:r>
    </w:p>
    <w:p>
      <w:pPr>
        <w:rPr>
          <w:rFonts w:ascii="宋体" w:eastAsia="仿宋" w:cs="Times New Roman" w:hAnsi="宋体"/>
          <w:b/>
        </w:rPr>
      </w:pPr>
    </w:p>
    <w:p>
      <w:pPr>
        <w:rPr>
          <w:rFonts w:ascii="宋体" w:eastAsia="仿宋" w:cs="Times New Roman" w:hAnsi="宋体"/>
          <w:b/>
        </w:rPr>
      </w:pPr>
    </w:p>
    <w:p>
      <w:pPr>
        <w:rPr>
          <w:rFonts w:ascii="宋体" w:eastAsia="仿宋" w:cs="Times New Roman" w:hAnsi="宋体"/>
          <w:b/>
        </w:rPr>
      </w:pPr>
    </w:p>
    <w:p>
      <w:pPr>
        <w:ind w:left="0"/>
        <w:rPr>
          <w:rFonts w:ascii="宋体" w:eastAsia="仿宋" w:cs="Times New Roman" w:hAnsi="宋体"/>
          <w:b/>
          <w:sz w:val="32"/>
          <w:szCs w:val="32"/>
        </w:rPr>
      </w:pPr>
    </w:p>
    <w:p>
      <w:pPr>
        <w:ind w:firstLineChars="600" w:firstLine="1920"/>
        <w:rPr>
          <w:rFonts w:ascii="宋体" w:eastAsia="仿宋" w:cs="Times New Roman" w:hAnsi="宋体"/>
          <w:b/>
          <w:sz w:val="32"/>
          <w:szCs w:val="32"/>
        </w:rPr>
      </w:pPr>
    </w:p>
    <w:p>
      <w:pPr>
        <w:ind w:firstLineChars="200" w:firstLine="640"/>
        <w:rPr>
          <w:rFonts w:ascii="宋体" w:eastAsia="仿宋" w:cs="Times New Roman" w:hAnsi="宋体"/>
          <w:b/>
          <w:sz w:val="32"/>
          <w:szCs w:val="32"/>
          <w:u w:val="single"/>
        </w:rPr>
      </w:pPr>
      <w:r>
        <w:rPr>
          <w:rFonts w:ascii="宋体" w:eastAsia="仿宋" w:cs="Times New Roman" w:hAnsi="宋体"/>
          <w:b/>
          <w:sz w:val="32"/>
          <w:szCs w:val="32"/>
        </w:rPr>
        <w:t>部门名称：</w:t>
      </w:r>
      <w:r>
        <w:rPr>
          <w:rFonts w:ascii="宋体" w:eastAsia="仿宋" w:cs="Times New Roman" w:hAnsi="宋体"/>
          <w:b/>
          <w:sz w:val="32"/>
          <w:szCs w:val="32"/>
          <w:u w:val="single"/>
        </w:rPr>
        <w:t>河北丰南经济开发区管理委员会</w:t>
      </w:r>
      <w:r>
        <w:rPr>
          <w:rFonts w:ascii="宋体" w:eastAsia="仿宋" w:cs="Times New Roman" w:hAnsi="宋体" w:hint="eastAsia"/>
          <w:b/>
          <w:sz w:val="32"/>
          <w:szCs w:val="32"/>
          <w:u w:val="single"/>
        </w:rPr>
        <w:t xml:space="preserve">                （加盖公章）</w:t>
      </w:r>
    </w:p>
    <w:p>
      <w:pPr>
        <w:ind w:firstLineChars="200" w:firstLine="640"/>
        <w:rPr>
          <w:rFonts w:ascii="宋体" w:eastAsia="仿宋" w:cs="Times New Roman" w:hAnsi="宋体"/>
          <w:b/>
          <w:sz w:val="32"/>
          <w:szCs w:val="32"/>
        </w:rPr>
      </w:pPr>
      <w:r>
        <w:rPr>
          <w:rFonts w:ascii="宋体" w:eastAsia="仿宋" w:cs="Times New Roman" w:hAnsi="宋体"/>
          <w:b/>
          <w:sz w:val="32"/>
          <w:szCs w:val="32"/>
        </w:rPr>
        <w:t>联系电话：</w:t>
      </w:r>
    </w:p>
    <w:p>
      <w:pPr>
        <w:ind w:firstLineChars="450" w:firstLine="1440"/>
        <w:rPr>
          <w:rFonts w:ascii="宋体" w:eastAsia="仿宋" w:cs="Times New Roman" w:hAnsi="宋体"/>
          <w:b/>
          <w:sz w:val="32"/>
          <w:szCs w:val="32"/>
        </w:rPr>
      </w:pPr>
    </w:p>
    <w:p>
      <w:pPr>
        <w:ind w:firstLineChars="450" w:firstLine="1440"/>
        <w:rPr>
          <w:rFonts w:ascii="宋体" w:eastAsia="仿宋" w:cs="Times New Roman" w:hAnsi="宋体"/>
          <w:b/>
          <w:sz w:val="32"/>
          <w:szCs w:val="32"/>
        </w:rPr>
      </w:pPr>
    </w:p>
    <w:p>
      <w:pPr>
        <w:ind w:firstLineChars="450" w:firstLine="1440"/>
        <w:rPr>
          <w:rFonts w:ascii="宋体" w:eastAsia="仿宋" w:cs="Times New Roman" w:hAnsi="宋体"/>
          <w:b/>
          <w:sz w:val="32"/>
          <w:szCs w:val="32"/>
        </w:rPr>
      </w:pPr>
    </w:p>
    <w:p>
      <w:pPr>
        <w:jc w:val="center"/>
        <w:rPr>
          <w:rFonts w:ascii="宋体" w:eastAsia="仿宋" w:cs="Times New Roman" w:hAnsi="宋体"/>
          <w:b/>
          <w:sz w:val="32"/>
          <w:szCs w:val="32"/>
        </w:rPr>
      </w:pPr>
      <w:r>
        <w:rPr>
          <w:rFonts w:ascii="宋体" w:eastAsia="仿宋" w:cs="Times New Roman" w:hAnsi="宋体"/>
          <w:b/>
          <w:sz w:val="32"/>
          <w:szCs w:val="32"/>
        </w:rPr>
        <w:t>填报日期</w:t>
      </w:r>
      <w:r>
        <w:rPr>
          <w:rFonts w:ascii="宋体" w:eastAsia="仿宋" w:cs="Times New Roman" w:hAnsi="宋体" w:hint="eastAsia"/>
          <w:b/>
          <w:sz w:val="32"/>
          <w:szCs w:val="32"/>
        </w:rPr>
        <w:t>：202</w:t>
      </w:r>
      <w:r>
        <w:rPr>
          <w:rFonts w:ascii="宋体" w:eastAsia="仿宋" w:cs="Times New Roman" w:hAnsi="宋体"/>
          <w:b/>
          <w:sz w:val="32"/>
          <w:szCs w:val="32"/>
        </w:rPr>
        <w:t>5年2月20日</w:t>
      </w: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部门</w:t>
      </w:r>
      <w:r>
        <w:rPr>
          <w:rFonts w:ascii="宋体" w:cs="Times New Roman" w:hint="eastAsia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绩效自评情况</w:t>
      </w:r>
    </w:p>
    <w:p>
      <w:pPr>
        <w:numPr>
          <w:ilvl w:val="0"/>
          <w:numId w:val="1"/>
        </w:numPr>
        <w:ind w:left="0" w:firstLineChars="200" w:firstLine="600"/>
        <w:rPr>
          <w:rFonts w:ascii="宋体" w:eastAsia="黑体" w:cs="Times New Roman" w:hAnsi="宋体"/>
          <w:b/>
          <w:sz w:val="30"/>
          <w:szCs w:val="30"/>
        </w:rPr>
      </w:pPr>
      <w:r>
        <w:rPr>
          <w:rFonts w:ascii="宋体" w:eastAsia="黑体" w:cs="Times New Roman" w:hAnsi="宋体"/>
          <w:b/>
          <w:sz w:val="30"/>
          <w:szCs w:val="30"/>
        </w:rPr>
        <w:t>部门</w:t>
      </w:r>
      <w:r>
        <w:rPr>
          <w:rFonts w:ascii="宋体" w:eastAsia="黑体" w:cs="Times New Roman" w:hAnsi="宋体" w:hint="eastAsia"/>
          <w:b/>
          <w:sz w:val="30"/>
          <w:szCs w:val="30"/>
        </w:rPr>
        <w:t>整体</w:t>
      </w:r>
      <w:r>
        <w:rPr>
          <w:rFonts w:ascii="宋体" w:eastAsia="黑体" w:cs="Times New Roman" w:hAnsi="宋体"/>
          <w:b/>
          <w:sz w:val="30"/>
          <w:szCs w:val="30"/>
        </w:rPr>
        <w:t>概况</w:t>
      </w:r>
    </w:p>
    <w:p>
      <w:pPr>
        <w:numPr>
          <w:ilvl w:val="0"/>
          <w:numId w:val="2"/>
        </w:numPr>
        <w:rPr>
          <w:rFonts w:ascii="宋体" w:eastAsia="仿宋" w:cs="Times New Roman" w:hAnsi="宋体"/>
          <w:b/>
          <w:sz w:val="30"/>
          <w:szCs w:val="30"/>
        </w:rPr>
      </w:pPr>
      <w:r>
        <w:rPr>
          <w:rFonts w:ascii="宋体" w:eastAsia="仿宋" w:cs="Times New Roman" w:hAnsi="宋体" w:hint="eastAsia"/>
          <w:b/>
          <w:sz w:val="30"/>
          <w:szCs w:val="30"/>
        </w:rPr>
        <w:t>部门主要职责职能及人员情况</w:t>
      </w:r>
    </w:p>
    <w:p>
      <w:pPr>
        <w:ind w:firstLineChars="200" w:firstLine="640"/>
        <w:jc w:val="both"/>
        <w:rPr>
          <w:rFonts w:ascii="Times New Roman" w:eastAsia="仿宋" w:cs="Times New Roman" w:hAnsi="Times New Roman" w:hint="eastAsia"/>
          <w:sz w:val="32"/>
          <w:szCs w:val="32"/>
          <w:lang w:val="en-US" w:eastAsia="zh-CN" w:bidi="ar-SA"/>
        </w:rPr>
      </w:pPr>
      <w:r>
        <w:rPr>
          <w:rFonts w:ascii="Times New Roman" w:eastAsia="仿宋" w:cs="Times New Roman" w:hAnsi="Times New Roman" w:hint="eastAsia"/>
          <w:sz w:val="32"/>
          <w:szCs w:val="32"/>
          <w:lang w:val="en-US" w:eastAsia="zh-CN" w:bidi="ar-SA"/>
        </w:rPr>
        <w:t>1、部门职责：负责编制辖区内总体规划和经济社会发展规划，经批准后组织实施；负债编制辖区区域性城市发展规划、国土利用规划，经批准后组织实施；审核或审批辖区内固定资产投资项目；负责辖区基础设施和公用设施的建设和管理；负责辖区财政管理，实施区内财政预算、决算、国有资产管理和财政监督工作；负责招商引资、进出口贸易和国内外经济技术合作工作；负责辖区环境保护 和安全生产监督管理工作；负责协调区内上级有关部门派驻机构的工作；完成丰南区人民政府交办的其他任务。</w:t>
      </w:r>
    </w:p>
    <w:p>
      <w:pPr>
        <w:ind w:firstLineChars="200" w:firstLine="640"/>
        <w:rPr>
          <w:rFonts w:ascii="Times New Roman" w:eastAsia="仿宋" w:cs="Times New Roman" w:hAnsi="Times New Roman"/>
          <w:sz w:val="32"/>
          <w:szCs w:val="32"/>
        </w:rPr>
      </w:pPr>
      <w:r>
        <w:rPr>
          <w:rFonts w:ascii="Times New Roman" w:eastAsia="仿宋" w:cs="Times New Roman" w:hAnsi="Times New Roman" w:hint="eastAsia"/>
          <w:sz w:val="32"/>
          <w:szCs w:val="32"/>
          <w:lang w:val="en-US" w:eastAsia="zh-CN" w:bidi="ar-SA"/>
        </w:rPr>
        <w:t>2、人员情况：</w:t>
      </w:r>
      <w:r>
        <w:rPr>
          <w:rFonts w:ascii="Times New Roman" w:eastAsia="仿宋" w:cs="Times New Roman" w:hAnsi="Times New Roman"/>
          <w:sz w:val="32"/>
          <w:szCs w:val="32"/>
          <w:lang w:val="en-US" w:eastAsia="zh-CN" w:bidi="ar-SA"/>
        </w:rPr>
        <w:t>行政编制23人，事业编制27人，人事代理4人，非在编合同制1人，聘用制16人， 自收自支1人，在职合计72人。</w:t>
      </w:r>
    </w:p>
    <w:p>
      <w:pPr>
        <w:ind w:firstLineChars="200" w:firstLine="600"/>
        <w:rPr>
          <w:rFonts w:ascii="宋体" w:eastAsia="仿宋" w:cs="Times New Roman" w:hAnsi="宋体"/>
          <w:b/>
          <w:sz w:val="30"/>
          <w:szCs w:val="30"/>
        </w:rPr>
      </w:pPr>
      <w:r>
        <w:rPr>
          <w:rFonts w:ascii="宋体" w:eastAsia="仿宋" w:cs="Times New Roman" w:hAnsi="宋体" w:hint="eastAsia"/>
          <w:b/>
          <w:sz w:val="30"/>
          <w:szCs w:val="30"/>
        </w:rPr>
        <w:t>（二）部门预算执行情况等</w:t>
      </w:r>
    </w:p>
    <w:p>
      <w:pPr>
        <w:spacing w:line="540" w:lineRule="exact"/>
        <w:ind w:firstLineChars="200" w:firstLine="640"/>
        <w:rPr>
          <w:rFonts w:ascii="Times New Roman" w:eastAsia="仿宋" w:cs="Times New Roman" w:hAnsi="Times New Roman" w:hint="eastAsia"/>
          <w:sz w:val="32"/>
          <w:szCs w:val="32"/>
        </w:rPr>
      </w:pPr>
      <w:r>
        <w:rPr>
          <w:rFonts w:ascii="Times New Roman" w:eastAsia="仿宋" w:cs="Times New Roman" w:hAnsi="Times New Roman" w:hint="eastAsia"/>
          <w:sz w:val="32"/>
          <w:szCs w:val="32"/>
        </w:rPr>
        <w:t>本部门202</w:t>
      </w:r>
      <w:r>
        <w:rPr>
          <w:rFonts w:ascii="Times New Roman" w:eastAsia="仿宋" w:cs="Times New Roman" w:hAnsi="Times New Roman"/>
          <w:sz w:val="32"/>
          <w:szCs w:val="32"/>
        </w:rPr>
        <w:t>4</w:t>
      </w:r>
      <w:r>
        <w:rPr>
          <w:rFonts w:ascii="Times New Roman" w:eastAsia="仿宋" w:cs="Times New Roman" w:hAnsi="Times New Roman" w:hint="eastAsia"/>
          <w:sz w:val="32"/>
          <w:szCs w:val="32"/>
        </w:rPr>
        <w:t>年度申请预算资金</w:t>
      </w:r>
      <w:r>
        <w:rPr>
          <w:rFonts w:ascii="Times New Roman" w:eastAsia="仿宋" w:cs="Times New Roman" w:hAnsi="Times New Roman"/>
          <w:sz w:val="32"/>
          <w:szCs w:val="32"/>
        </w:rPr>
        <w:t>30763.48</w:t>
      </w:r>
      <w:r>
        <w:rPr>
          <w:rFonts w:ascii="Times New Roman" w:eastAsia="仿宋" w:cs="Times New Roman" w:hAnsi="Times New Roman" w:hint="eastAsia"/>
          <w:sz w:val="32"/>
          <w:szCs w:val="32"/>
        </w:rPr>
        <w:t>万元，其中：专项转移支付</w:t>
      </w:r>
      <w:r>
        <w:rPr>
          <w:rFonts w:ascii="Times New Roman" w:eastAsia="仿宋" w:cs="Times New Roman" w:hAnsi="Times New Roman"/>
          <w:sz w:val="32"/>
          <w:szCs w:val="32"/>
        </w:rPr>
        <w:t>1300</w:t>
      </w:r>
      <w:r>
        <w:rPr>
          <w:rFonts w:ascii="Times New Roman" w:eastAsia="仿宋" w:cs="Times New Roman" w:hAnsi="Times New Roman" w:hint="eastAsia"/>
          <w:sz w:val="32"/>
          <w:szCs w:val="32"/>
        </w:rPr>
        <w:t>万元（包含</w:t>
      </w:r>
      <w:r>
        <w:rPr>
          <w:rFonts w:ascii="Times New Roman" w:eastAsia="仿宋" w:cs="Times New Roman" w:hAnsi="Times New Roman"/>
          <w:sz w:val="32"/>
          <w:szCs w:val="32"/>
        </w:rPr>
        <w:t>中央1300</w:t>
      </w:r>
      <w:r>
        <w:rPr>
          <w:rFonts w:ascii="Times New Roman" w:eastAsia="仿宋" w:cs="Times New Roman" w:hAnsi="Times New Roman" w:hint="eastAsia"/>
          <w:sz w:val="32"/>
          <w:szCs w:val="32"/>
        </w:rPr>
        <w:t>万元），债券资金</w:t>
      </w:r>
      <w:r>
        <w:rPr>
          <w:rFonts w:ascii="Times New Roman" w:eastAsia="仿宋" w:cs="Times New Roman" w:hAnsi="Times New Roman"/>
          <w:sz w:val="32"/>
          <w:szCs w:val="32"/>
        </w:rPr>
        <w:t>18330</w:t>
      </w:r>
      <w:r>
        <w:rPr>
          <w:rFonts w:ascii="Times New Roman" w:eastAsia="仿宋" w:cs="Times New Roman" w:hAnsi="Times New Roman" w:hint="eastAsia"/>
          <w:sz w:val="32"/>
          <w:szCs w:val="32"/>
        </w:rPr>
        <w:t>万元；实际支出</w:t>
      </w:r>
      <w:r>
        <w:rPr>
          <w:rFonts w:ascii="Times New Roman" w:eastAsia="仿宋" w:cs="Times New Roman" w:hAnsi="Times New Roman"/>
          <w:sz w:val="32"/>
          <w:szCs w:val="32"/>
        </w:rPr>
        <w:t>29751.72</w:t>
      </w:r>
      <w:r>
        <w:rPr>
          <w:rFonts w:ascii="Times New Roman" w:eastAsia="仿宋" w:cs="Times New Roman" w:hAnsi="Times New Roman" w:hint="eastAsia"/>
          <w:sz w:val="32"/>
          <w:szCs w:val="32"/>
        </w:rPr>
        <w:t>万元，其中：专项转移支付</w:t>
      </w:r>
      <w:r>
        <w:rPr>
          <w:rFonts w:ascii="Times New Roman" w:eastAsia="仿宋" w:cs="Times New Roman" w:hAnsi="Times New Roman"/>
          <w:sz w:val="32"/>
          <w:szCs w:val="32"/>
        </w:rPr>
        <w:t>288.24</w:t>
      </w:r>
      <w:r>
        <w:rPr>
          <w:rFonts w:ascii="Times New Roman" w:eastAsia="仿宋" w:cs="Times New Roman" w:hAnsi="Times New Roman" w:hint="eastAsia"/>
          <w:sz w:val="32"/>
          <w:szCs w:val="32"/>
        </w:rPr>
        <w:t>万元（包</w:t>
      </w:r>
      <w:r>
        <w:rPr>
          <w:rFonts w:ascii="Times New Roman" w:eastAsia="仿宋" w:cs="Times New Roman" w:hAnsi="Times New Roman"/>
          <w:sz w:val="32"/>
          <w:szCs w:val="32"/>
        </w:rPr>
        <w:t>含中央288.24</w:t>
      </w:r>
      <w:r>
        <w:rPr>
          <w:rFonts w:ascii="Times New Roman" w:eastAsia="仿宋" w:cs="Times New Roman" w:hAnsi="Times New Roman" w:hint="eastAsia"/>
          <w:sz w:val="32"/>
          <w:szCs w:val="32"/>
        </w:rPr>
        <w:t>万元），债券资金</w:t>
      </w:r>
      <w:r>
        <w:rPr>
          <w:rFonts w:ascii="Times New Roman" w:eastAsia="仿宋" w:cs="Times New Roman" w:hAnsi="Times New Roman"/>
          <w:sz w:val="32"/>
          <w:szCs w:val="32"/>
        </w:rPr>
        <w:t>18330</w:t>
      </w:r>
      <w:r>
        <w:rPr>
          <w:rFonts w:ascii="Times New Roman" w:eastAsia="仿宋" w:cs="Times New Roman" w:hAnsi="Times New Roman" w:hint="eastAsia"/>
          <w:sz w:val="32"/>
          <w:szCs w:val="32"/>
        </w:rPr>
        <w:t>万元；预算执行率</w:t>
      </w:r>
      <w:r>
        <w:rPr>
          <w:rFonts w:ascii="Times New Roman" w:eastAsia="仿宋" w:cs="Times New Roman" w:hAnsi="Times New Roman"/>
          <w:sz w:val="32"/>
          <w:szCs w:val="32"/>
        </w:rPr>
        <w:t>97</w:t>
      </w:r>
      <w:r>
        <w:rPr>
          <w:rFonts w:ascii="Times New Roman" w:eastAsia="仿宋" w:cs="Times New Roman" w:hAnsi="Times New Roman" w:hint="eastAsia"/>
          <w:sz w:val="32"/>
          <w:szCs w:val="32"/>
        </w:rPr>
        <w:t>%。其中：项目</w:t>
      </w:r>
      <w:r>
        <w:rPr>
          <w:rFonts w:ascii="Times New Roman" w:eastAsia="仿宋" w:cs="Times New Roman" w:hAnsi="Times New Roman"/>
          <w:sz w:val="32"/>
          <w:szCs w:val="32"/>
        </w:rPr>
        <w:t>38</w:t>
      </w:r>
      <w:r>
        <w:rPr>
          <w:rFonts w:ascii="Times New Roman" w:eastAsia="仿宋" w:cs="Times New Roman" w:hAnsi="Times New Roman" w:hint="eastAsia"/>
          <w:sz w:val="32"/>
          <w:szCs w:val="32"/>
        </w:rPr>
        <w:t>个</w:t>
      </w:r>
      <w:r>
        <w:rPr>
          <w:rFonts w:ascii="Times New Roman" w:eastAsia="仿宋" w:cs="Times New Roman" w:hAnsi="Times New Roman"/>
          <w:sz w:val="32"/>
          <w:szCs w:val="32"/>
        </w:rPr>
        <w:t>（与部门开展项目自评个数相同）</w:t>
      </w:r>
      <w:r>
        <w:rPr>
          <w:rFonts w:ascii="Times New Roman" w:eastAsia="仿宋" w:cs="Times New Roman" w:hAnsi="Times New Roman" w:hint="eastAsia"/>
          <w:sz w:val="32"/>
          <w:szCs w:val="32"/>
        </w:rPr>
        <w:t>，金额合计</w:t>
      </w:r>
      <w:r>
        <w:rPr>
          <w:rFonts w:ascii="Times New Roman" w:eastAsia="仿宋" w:cs="Times New Roman" w:hAnsi="Times New Roman"/>
          <w:sz w:val="32"/>
          <w:szCs w:val="32"/>
        </w:rPr>
        <w:t>29363.2</w:t>
      </w:r>
      <w:r>
        <w:rPr>
          <w:rFonts w:ascii="Times New Roman" w:eastAsia="仿宋" w:cs="Times New Roman" w:hAnsi="Times New Roman" w:hint="eastAsia"/>
          <w:sz w:val="32"/>
          <w:szCs w:val="32"/>
        </w:rPr>
        <w:t>万元</w:t>
      </w:r>
      <w:r>
        <w:rPr>
          <w:rFonts w:ascii="Times New Roman" w:eastAsia="仿宋" w:cs="Times New Roman" w:hAnsi="Times New Roman"/>
          <w:sz w:val="32"/>
          <w:szCs w:val="32"/>
        </w:rPr>
        <w:t>（与部门开展项目自评金额合计相同）</w:t>
      </w:r>
      <w:r>
        <w:rPr>
          <w:rFonts w:ascii="Times New Roman" w:eastAsia="仿宋" w:cs="Times New Roman" w:hAnsi="Times New Roman" w:hint="eastAsia"/>
          <w:sz w:val="32"/>
          <w:szCs w:val="32"/>
        </w:rPr>
        <w:t>，实际支出28351.44万元，执行率为</w:t>
      </w:r>
      <w:r>
        <w:rPr>
          <w:rFonts w:ascii="Times New Roman" w:eastAsia="仿宋" w:cs="Times New Roman" w:hAnsi="Times New Roman"/>
          <w:sz w:val="32"/>
          <w:szCs w:val="32"/>
        </w:rPr>
        <w:t>97</w:t>
      </w:r>
      <w:r>
        <w:rPr>
          <w:rFonts w:ascii="Times New Roman" w:eastAsia="仿宋" w:cs="Times New Roman" w:hAnsi="Times New Roman" w:hint="eastAsia"/>
          <w:sz w:val="32"/>
          <w:szCs w:val="32"/>
        </w:rPr>
        <w:t>%。</w:t>
      </w:r>
    </w:p>
    <w:p>
      <w:pPr>
        <w:spacing w:line="540" w:lineRule="exact"/>
        <w:ind w:firstLineChars="200" w:firstLine="600"/>
        <w:rPr>
          <w:rFonts w:ascii="宋体" w:eastAsia="黑体" w:cs="Times New Roman" w:hAnsi="宋体"/>
          <w:b/>
          <w:sz w:val="30"/>
          <w:szCs w:val="30"/>
        </w:rPr>
      </w:pPr>
      <w:r>
        <w:rPr>
          <w:rFonts w:ascii="宋体" w:eastAsia="黑体" w:cs="Times New Roman" w:hAnsi="宋体"/>
          <w:b/>
          <w:sz w:val="30"/>
          <w:szCs w:val="30"/>
        </w:rPr>
        <w:t>二、绩效评价组织情况</w:t>
      </w:r>
    </w:p>
    <w:p>
      <w:pPr>
        <w:ind w:firstLineChars="200" w:firstLine="640"/>
        <w:rPr>
          <w:rFonts w:ascii="Times New Roman" w:eastAsia="仿宋" w:cs="Times New Roman" w:hAnsi="Times New Roman" w:hint="eastAsia"/>
          <w:sz w:val="32"/>
          <w:szCs w:val="32"/>
        </w:rPr>
      </w:pPr>
      <w:r>
        <w:rPr>
          <w:rFonts w:ascii="Times New Roman" w:eastAsia="仿宋" w:cs="Times New Roman" w:hAnsi="Times New Roman" w:hint="eastAsia"/>
          <w:sz w:val="32"/>
          <w:szCs w:val="32"/>
        </w:rPr>
        <w:t>本次绩效评价项目</w:t>
      </w:r>
      <w:r>
        <w:rPr>
          <w:rFonts w:ascii="Times New Roman" w:eastAsia="仿宋" w:cs="Times New Roman" w:hAnsi="Times New Roman"/>
          <w:sz w:val="32"/>
          <w:szCs w:val="32"/>
        </w:rPr>
        <w:t>38</w:t>
      </w:r>
      <w:r>
        <w:rPr>
          <w:rFonts w:ascii="Times New Roman" w:eastAsia="仿宋" w:cs="Times New Roman" w:hAnsi="Times New Roman" w:hint="eastAsia"/>
          <w:sz w:val="32"/>
          <w:szCs w:val="32"/>
        </w:rPr>
        <w:t>个，占部门项目总数的100%，涉及金额29363.2万元。采取成立本部门绩效自评工作组的形式，本着客观、公正、公开的原则开展自评工作，所有项目的绩效自评均设计了合理、明晰、可考核的、关键性产出指标和效果指标。自评结果真实可靠。</w:t>
      </w:r>
    </w:p>
    <w:p>
      <w:pPr>
        <w:ind w:firstLineChars="200" w:firstLine="600"/>
        <w:rPr>
          <w:rFonts w:ascii="宋体" w:eastAsia="黑体" w:cs="Times New Roman" w:hAnsi="宋体"/>
          <w:b/>
          <w:sz w:val="30"/>
          <w:szCs w:val="30"/>
        </w:rPr>
      </w:pPr>
      <w:r>
        <w:rPr>
          <w:rFonts w:ascii="宋体" w:eastAsia="黑体" w:cs="Times New Roman" w:hAnsi="宋体"/>
          <w:b/>
          <w:sz w:val="30"/>
          <w:szCs w:val="30"/>
        </w:rPr>
        <w:t>三、</w:t>
      </w:r>
      <w:r>
        <w:rPr>
          <w:rFonts w:ascii="宋体" w:eastAsia="黑体" w:cs="Times New Roman" w:hAnsi="宋体" w:hint="eastAsia"/>
          <w:b/>
          <w:sz w:val="30"/>
          <w:szCs w:val="30"/>
        </w:rPr>
        <w:t>部门绩效管理开展的整体绩效实现情况</w:t>
      </w:r>
    </w:p>
    <w:p>
      <w:pPr>
        <w:ind w:firstLineChars="200" w:firstLine="640"/>
        <w:rPr>
          <w:rFonts w:ascii="Times New Roman" w:eastAsia="仿宋" w:cs="Times New Roman" w:hAnsi="Times New Roman" w:hint="eastAsia"/>
          <w:sz w:val="32"/>
          <w:szCs w:val="32"/>
        </w:rPr>
      </w:pPr>
      <w:r>
        <w:rPr>
          <w:rFonts w:ascii="Times New Roman" w:eastAsia="仿宋" w:cs="Times New Roman" w:hAnsi="Times New Roman" w:hint="eastAsia"/>
          <w:sz w:val="32"/>
          <w:szCs w:val="32"/>
        </w:rPr>
        <w:t>通过对部门整体支出情况的概述和实际支出情况的分析，202</w:t>
      </w:r>
      <w:r>
        <w:rPr>
          <w:rFonts w:ascii="Times New Roman" w:eastAsia="仿宋" w:cs="Times New Roman" w:hAnsi="Times New Roman"/>
          <w:sz w:val="32"/>
          <w:szCs w:val="32"/>
        </w:rPr>
        <w:t>4</w:t>
      </w:r>
      <w:r>
        <w:rPr>
          <w:rFonts w:ascii="Times New Roman" w:eastAsia="仿宋" w:cs="Times New Roman" w:hAnsi="Times New Roman" w:hint="eastAsia"/>
          <w:sz w:val="32"/>
          <w:szCs w:val="32"/>
        </w:rPr>
        <w:t>年我单位部门整体支出绩效自评</w:t>
      </w:r>
      <w:r>
        <w:rPr>
          <w:rFonts w:ascii="Times New Roman" w:eastAsia="仿宋" w:cs="Times New Roman" w:hAnsi="Times New Roman"/>
          <w:sz w:val="32"/>
          <w:szCs w:val="32"/>
        </w:rPr>
        <w:t>88</w:t>
      </w:r>
      <w:r>
        <w:rPr>
          <w:rFonts w:ascii="Times New Roman" w:eastAsia="仿宋" w:cs="Times New Roman" w:hAnsi="Times New Roman" w:hint="eastAsia"/>
          <w:sz w:val="32"/>
          <w:szCs w:val="32"/>
        </w:rPr>
        <w:t>分</w:t>
      </w:r>
      <w:r>
        <w:rPr>
          <w:rFonts w:ascii="Times New Roman" w:eastAsia="仿宋" w:cs="Times New Roman" w:hAnsi="Times New Roman"/>
          <w:sz w:val="32"/>
          <w:szCs w:val="32"/>
        </w:rPr>
        <w:t>,失分原因主要在两方面，一是预算控制率低，追加预算资金远远大于年初预算；二是政府采购执行率低，因年初预算项目安排资金低于实际项目资金，年初政府采购预算小于实际采购金额，该项指标未能得分</w:t>
      </w:r>
      <w:r>
        <w:rPr>
          <w:rFonts w:ascii="Times New Roman" w:eastAsia="仿宋" w:cs="Times New Roman" w:hAnsi="Times New Roman" w:hint="eastAsia"/>
          <w:sz w:val="32"/>
          <w:szCs w:val="32"/>
        </w:rPr>
        <w:t>。通过开展整体部门支出绩效自评，有利于我单位掌握资金使用情况与预期目标、资金管理规范程度，资金使用成效，有利于我单位分析存在的问题及原因，及时总结经验，改进管理措施，有利于我单位有效提高资金管理水平和使用效益。</w:t>
      </w:r>
    </w:p>
    <w:p>
      <w:pPr>
        <w:ind w:firstLineChars="200" w:firstLine="600"/>
        <w:rPr>
          <w:rFonts w:ascii="宋体" w:eastAsia="黑体" w:cs="Times New Roman" w:hAnsi="宋体"/>
          <w:b/>
          <w:sz w:val="30"/>
          <w:szCs w:val="30"/>
        </w:rPr>
      </w:pPr>
      <w:r>
        <w:rPr>
          <w:rFonts w:ascii="宋体" w:eastAsia="黑体" w:cs="Times New Roman" w:hAnsi="宋体"/>
          <w:b/>
          <w:sz w:val="30"/>
          <w:szCs w:val="30"/>
        </w:rPr>
        <w:t>四、存在的问题和建议</w:t>
      </w:r>
    </w:p>
    <w:p>
      <w:pPr>
        <w:ind w:firstLineChars="200" w:firstLine="640"/>
        <w:rPr>
          <w:rFonts w:ascii="Times New Roman" w:eastAsia="仿宋" w:cs="Times New Roman" w:hAnsi="Times New Roman" w:hint="eastAsia"/>
          <w:sz w:val="32"/>
          <w:szCs w:val="32"/>
        </w:rPr>
      </w:pPr>
      <w:r>
        <w:rPr>
          <w:rFonts w:ascii="Times New Roman" w:eastAsia="仿宋" w:cs="Times New Roman" w:hAnsi="Times New Roman"/>
          <w:sz w:val="32"/>
          <w:szCs w:val="32"/>
        </w:rPr>
        <w:t>通过部门整体绩效评价工作的开展，主要发现以下问题，一是预算调整率过高。建议编制年初预算时，严格按照区财政局预算编制要求，充分了解单位情况，全面考虑各项因素，合理预测部门经济发展趋势、提高资金效益。二是政府采购执行率过低，建议编制预算时，充分征求各科室及领导意见，提高政府采购预算的可执行性。三是绩效目标设定还需细化。建议编制完善年度绩效目标，根据年度重点工作编制项目年度绩效目标，设置完整、准确、量化、可考核的绩效指标，实现与项目年度实施内容预期产出及效果相对应，全面完整反映项目的预期产出和效</w:t>
      </w:r>
      <w:bookmarkStart w:id="0" w:name="_GoBack"/>
      <w:bookmarkEnd w:id="0"/>
      <w:r>
        <w:rPr>
          <w:rFonts w:ascii="Times New Roman" w:eastAsia="仿宋" w:cs="Times New Roman" w:hAnsi="Times New Roman"/>
          <w:sz w:val="32"/>
          <w:szCs w:val="32"/>
        </w:rPr>
        <w:t>果。2025年预算编制时规范设置绩效目标和指标，</w:t>
      </w:r>
      <w:r>
        <w:rPr>
          <w:rFonts w:ascii="Times New Roman" w:eastAsia="仿宋" w:cs="Times New Roman" w:hAnsi="Times New Roman" w:hint="eastAsia"/>
          <w:sz w:val="32"/>
          <w:szCs w:val="32"/>
        </w:rPr>
        <w:t>有针对性的加强项目资金的执行和监管，并进行绩效评价考核，按规定期限完成目标任务，促进</w:t>
      </w:r>
      <w:r>
        <w:rPr>
          <w:rFonts w:ascii="Times New Roman" w:eastAsia="仿宋" w:cs="Times New Roman" w:hAnsi="Times New Roman"/>
          <w:sz w:val="32"/>
          <w:szCs w:val="32"/>
        </w:rPr>
        <w:t>项</w:t>
      </w:r>
      <w:r>
        <w:rPr>
          <w:rFonts w:ascii="Times New Roman" w:eastAsia="仿宋" w:cs="Times New Roman" w:hAnsi="Times New Roman" w:hint="eastAsia"/>
          <w:sz w:val="32"/>
          <w:szCs w:val="32"/>
        </w:rPr>
        <w:t>目出成果、出效益、提高财政资金使用效益和效率。继续加强资金管理，使有限的资金发挥更大的效益。对相关人员加强培训，特别是针对项目绩效指标的编制设定、实施、验收结果系列指标值的制定。</w:t>
      </w:r>
    </w:p>
    <w:p>
      <w:pPr>
        <w:ind w:firstLineChars="200" w:firstLine="600"/>
        <w:rPr>
          <w:rFonts w:ascii="宋体" w:eastAsia="黑体" w:cs="Times New Roman" w:hAnsi="宋体"/>
          <w:b/>
          <w:bCs/>
          <w:sz w:val="30"/>
          <w:szCs w:val="30"/>
        </w:rPr>
      </w:pPr>
      <w:r>
        <w:rPr>
          <w:rFonts w:ascii="宋体" w:eastAsia="黑体" w:cs="Times New Roman" w:hAnsi="宋体"/>
          <w:b/>
          <w:bCs/>
          <w:sz w:val="30"/>
          <w:szCs w:val="30"/>
        </w:rPr>
        <w:t>五、</w:t>
      </w:r>
      <w:r>
        <w:rPr>
          <w:rFonts w:ascii="宋体" w:eastAsia="黑体" w:cs="Times New Roman" w:hAnsi="宋体" w:hint="eastAsia"/>
          <w:b/>
          <w:bCs/>
          <w:sz w:val="30"/>
          <w:szCs w:val="30"/>
        </w:rPr>
        <w:t>其他需要说明的问题</w:t>
      </w:r>
    </w:p>
    <w:p>
      <w:pPr>
        <w:ind w:firstLineChars="200" w:firstLine="640"/>
        <w:rPr>
          <w:rFonts w:ascii="Times New Roman" w:eastAsia="仿宋" w:cs="Times New Roman" w:hAnsi="Times New Roman" w:hint="eastAsia"/>
          <w:bCs/>
          <w:sz w:val="32"/>
          <w:szCs w:val="32"/>
        </w:rPr>
      </w:pPr>
      <w:r>
        <w:rPr>
          <w:rFonts w:ascii="Times New Roman" w:eastAsia="仿宋" w:cs="Times New Roman" w:hAnsi="Times New Roman" w:hint="eastAsia"/>
          <w:bCs/>
          <w:sz w:val="32"/>
          <w:szCs w:val="32"/>
        </w:rPr>
        <w:t>无。</w:t>
      </w:r>
    </w:p>
    <w:p>
      <w:pPr>
        <w:ind w:firstLineChars="200" w:firstLine="600"/>
        <w:rPr>
          <w:rFonts w:ascii="宋体" w:eastAsia="黑体" w:cs="Times New Roman" w:hAnsi="宋体" w:hint="eastAsia"/>
          <w:b/>
          <w:sz w:val="30"/>
          <w:szCs w:val="30"/>
        </w:rPr>
      </w:pP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黑体">
    <w:altName w:val="微软雅黑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B8C79785"/>
    <w:multiLevelType w:val="singleLevel"/>
    <w:tmpl w:val="B8C79785"/>
    <w:lvl w:ilvl="0">
      <w:start w:val="1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  <w:rPr>
        <w:rFonts w:hint="eastAsia"/>
      </w:rPr>
    </w:lvl>
  </w:abstractNum>
  <w:abstractNum w:abstractNumId="1">
    <w:nsid w:val="FF56616C"/>
    <w:multiLevelType w:val="hybridMultilevel"/>
    <w:tmpl w:val="00000000"/>
    <w:lvl w:ilvl="0">
      <w:start w:val="1"/>
      <w:numFmt w:val="chineseCountingThousand"/>
      <w:lvlRestart w:val="0"/>
      <w:lvlText w:val="（%1）"/>
      <w:lvlJc w:val="left"/>
      <w:pPr>
        <w:ind w:left="1485" w:hanging="885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4E9115F-846D-42AC-AF66-3DBF82DAA9D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372</TotalTime>
  <Application>Yozo_Office27021597764231179</Application>
  <Pages>4</Pages>
  <Words>0</Words>
  <Characters>1136</Characters>
  <Lines>0</Lines>
  <Paragraphs>41</Paragraphs>
  <CharactersWithSpaces>1515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cp:lastPrinted>2024-07-03T06:44:05Z</cp:lastPrinted>
  <dcterms:created xsi:type="dcterms:W3CDTF">2023-03-06T07:30:23Z</dcterms:created>
  <dcterms:modified xsi:type="dcterms:W3CDTF">2025-03-25T02:56:49Z</dcterms:modified>
</cp:coreProperties>
</file>