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cs="Times New Roman"/>
          <w:b/>
          <w:sz w:val="30"/>
          <w:szCs w:val="30"/>
        </w:rPr>
      </w:pPr>
    </w:p>
    <w:p>
      <w:pPr>
        <w:jc w:val="center"/>
        <w:rPr>
          <w:rFonts w:hint="eastAsia" w:ascii="宋体" w:cs="Times New Roman"/>
          <w:b/>
          <w:sz w:val="44"/>
          <w:szCs w:val="44"/>
          <w:lang w:val="en-US" w:eastAsia="zh-CN"/>
        </w:rPr>
      </w:pPr>
      <w:r>
        <w:rPr>
          <w:rFonts w:hint="eastAsia" w:ascii="宋体" w:cs="Times New Roman"/>
          <w:b/>
          <w:sz w:val="44"/>
          <w:szCs w:val="44"/>
          <w:lang w:val="en-US" w:eastAsia="zh-CN"/>
        </w:rPr>
        <w:t>唐山市丰南区大新庄镇人民政府</w:t>
      </w:r>
    </w:p>
    <w:p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hint="eastAsia" w:ascii="宋体" w:cs="Times New Roman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绩效自评报告</w:t>
      </w:r>
    </w:p>
    <w:p>
      <w:pPr>
        <w:jc w:val="center"/>
        <w:rPr>
          <w:rFonts w:ascii="宋体" w:hAnsi="宋体" w:eastAsia="仿宋" w:cs="Times New Roman"/>
          <w:b/>
          <w:sz w:val="30"/>
          <w:szCs w:val="30"/>
        </w:rPr>
      </w:pPr>
      <w:r>
        <w:rPr>
          <w:rFonts w:ascii="宋体" w:hAnsi="宋体" w:eastAsia="仿宋" w:cs="Times New Roman"/>
          <w:b/>
          <w:sz w:val="30"/>
          <w:szCs w:val="30"/>
        </w:rPr>
        <w:t>（</w:t>
      </w:r>
      <w:r>
        <w:rPr>
          <w:rFonts w:hint="eastAsia" w:ascii="宋体" w:hAnsi="宋体" w:eastAsia="仿宋" w:cs="Times New Roman"/>
          <w:b/>
          <w:sz w:val="30"/>
          <w:szCs w:val="30"/>
          <w:lang w:val="en-US" w:eastAsia="zh-CN"/>
        </w:rPr>
        <w:t>2024</w:t>
      </w:r>
      <w:r>
        <w:rPr>
          <w:rFonts w:ascii="宋体" w:hAnsi="宋体" w:eastAsia="仿宋" w:cs="Times New Roman"/>
          <w:b/>
          <w:sz w:val="30"/>
          <w:szCs w:val="30"/>
        </w:rPr>
        <w:t>年度）</w:t>
      </w:r>
    </w:p>
    <w:p>
      <w:pPr>
        <w:rPr>
          <w:rFonts w:ascii="宋体" w:hAnsi="宋体" w:eastAsia="仿宋" w:cs="Times New Roman"/>
          <w:b/>
        </w:rPr>
      </w:pPr>
    </w:p>
    <w:p>
      <w:pPr>
        <w:rPr>
          <w:rFonts w:ascii="宋体" w:hAnsi="宋体" w:eastAsia="仿宋" w:cs="Times New Roman"/>
          <w:b/>
        </w:rPr>
      </w:pPr>
    </w:p>
    <w:p>
      <w:pPr>
        <w:ind w:firstLine="321" w:firstLineChars="100"/>
        <w:rPr>
          <w:rFonts w:ascii="宋体" w:hAnsi="宋体" w:eastAsia="仿宋" w:cs="Times New Roman"/>
          <w:b/>
          <w:sz w:val="32"/>
          <w:szCs w:val="32"/>
        </w:rPr>
      </w:pPr>
      <w:r>
        <w:rPr>
          <w:rFonts w:ascii="宋体" w:hAnsi="宋体" w:eastAsia="仿宋" w:cs="Times New Roman"/>
          <w:b/>
          <w:sz w:val="32"/>
          <w:szCs w:val="32"/>
        </w:rPr>
        <w:t>评价方式：</w:t>
      </w:r>
      <w:r>
        <w:rPr>
          <w:rFonts w:ascii="宋体" w:hAnsi="宋体" w:eastAsia="仿宋" w:cs="Times New Roman"/>
          <w:b/>
          <w:sz w:val="44"/>
          <w:szCs w:val="44"/>
        </w:rPr>
        <w:sym w:font="Wingdings 2" w:char="0052"/>
      </w:r>
      <w:r>
        <w:rPr>
          <w:rFonts w:ascii="宋体" w:hAnsi="宋体" w:eastAsia="仿宋" w:cs="Times New Roman"/>
          <w:b/>
          <w:sz w:val="32"/>
          <w:szCs w:val="32"/>
        </w:rPr>
        <w:t xml:space="preserve">直接组织评价        </w:t>
      </w:r>
      <w:r>
        <w:rPr>
          <w:rFonts w:ascii="宋体" w:hAnsi="宋体" w:eastAsia="仿宋" w:cs="Times New Roman"/>
          <w:b/>
          <w:sz w:val="44"/>
          <w:szCs w:val="44"/>
        </w:rPr>
        <w:t>□</w:t>
      </w:r>
      <w:r>
        <w:rPr>
          <w:rFonts w:ascii="宋体" w:hAnsi="宋体" w:eastAsia="仿宋" w:cs="Times New Roman"/>
          <w:b/>
          <w:sz w:val="32"/>
          <w:szCs w:val="32"/>
        </w:rPr>
        <w:t>委托评价</w:t>
      </w:r>
    </w:p>
    <w:p>
      <w:pPr>
        <w:rPr>
          <w:rFonts w:ascii="宋体" w:hAnsi="宋体" w:eastAsia="仿宋" w:cs="Times New Roman"/>
          <w:b/>
        </w:rPr>
      </w:pPr>
    </w:p>
    <w:p>
      <w:pPr>
        <w:rPr>
          <w:rFonts w:ascii="宋体" w:hAnsi="宋体" w:eastAsia="仿宋" w:cs="Times New Roman"/>
          <w:b/>
        </w:rPr>
      </w:pPr>
    </w:p>
    <w:p>
      <w:pPr>
        <w:rPr>
          <w:rFonts w:ascii="宋体" w:hAnsi="宋体" w:eastAsia="仿宋" w:cs="Times New Roman"/>
          <w:b/>
        </w:rPr>
      </w:pPr>
    </w:p>
    <w:p>
      <w:pPr>
        <w:ind w:firstLine="1928" w:firstLineChars="600"/>
        <w:rPr>
          <w:rFonts w:ascii="宋体" w:hAnsi="宋体" w:eastAsia="仿宋" w:cs="Times New Roman"/>
          <w:b/>
          <w:sz w:val="32"/>
          <w:szCs w:val="32"/>
        </w:rPr>
      </w:pPr>
    </w:p>
    <w:p>
      <w:pPr>
        <w:ind w:firstLine="1928" w:firstLineChars="600"/>
        <w:rPr>
          <w:rFonts w:ascii="宋体" w:hAnsi="宋体" w:eastAsia="仿宋" w:cs="Times New Roman"/>
          <w:b/>
          <w:sz w:val="32"/>
          <w:szCs w:val="32"/>
        </w:rPr>
      </w:pPr>
    </w:p>
    <w:p>
      <w:pPr>
        <w:ind w:firstLine="1928" w:firstLineChars="600"/>
        <w:rPr>
          <w:rFonts w:ascii="宋体" w:hAnsi="宋体" w:eastAsia="仿宋" w:cs="Times New Roman"/>
          <w:b/>
          <w:sz w:val="32"/>
          <w:szCs w:val="32"/>
        </w:rPr>
      </w:pPr>
    </w:p>
    <w:p>
      <w:pPr>
        <w:rPr>
          <w:rFonts w:ascii="宋体" w:hAnsi="宋体" w:eastAsia="仿宋" w:cs="Times New Roman"/>
          <w:b/>
          <w:sz w:val="32"/>
          <w:szCs w:val="32"/>
          <w:u w:val="single"/>
        </w:rPr>
      </w:pPr>
      <w:r>
        <w:rPr>
          <w:rFonts w:ascii="宋体" w:hAnsi="宋体" w:eastAsia="仿宋" w:cs="Times New Roman"/>
          <w:b/>
          <w:sz w:val="32"/>
          <w:szCs w:val="32"/>
        </w:rPr>
        <w:t>部门名称：</w:t>
      </w:r>
      <w:r>
        <w:rPr>
          <w:rFonts w:hint="eastAsia" w:ascii="宋体" w:hAnsi="宋体" w:eastAsia="仿宋" w:cs="Times New Roman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" w:cs="Times New Roman"/>
          <w:b/>
          <w:sz w:val="32"/>
          <w:szCs w:val="32"/>
          <w:u w:val="single"/>
          <w:lang w:val="en-US" w:eastAsia="zh-CN"/>
        </w:rPr>
        <w:t>唐山市丰南区大新庄镇人民政府</w:t>
      </w:r>
      <w:r>
        <w:rPr>
          <w:rFonts w:hint="eastAsia" w:ascii="宋体" w:hAnsi="宋体" w:eastAsia="仿宋" w:cs="Times New Roman"/>
          <w:b/>
          <w:sz w:val="32"/>
          <w:szCs w:val="32"/>
          <w:u w:val="single"/>
        </w:rPr>
        <w:t>（加盖公章）</w:t>
      </w:r>
    </w:p>
    <w:p>
      <w:pPr>
        <w:rPr>
          <w:rFonts w:hint="default" w:ascii="宋体" w:hAnsi="宋体" w:eastAsia="仿宋" w:cs="Times New Roman"/>
          <w:b/>
          <w:sz w:val="32"/>
          <w:szCs w:val="32"/>
          <w:lang w:val="en-US" w:eastAsia="zh-CN"/>
        </w:rPr>
      </w:pPr>
      <w:r>
        <w:rPr>
          <w:rFonts w:ascii="宋体" w:hAnsi="宋体" w:eastAsia="仿宋" w:cs="Times New Roman"/>
          <w:b/>
          <w:sz w:val="32"/>
          <w:szCs w:val="32"/>
        </w:rPr>
        <w:t>联系电话：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0315-8589108</w:t>
      </w:r>
    </w:p>
    <w:p>
      <w:pPr>
        <w:ind w:firstLine="1446" w:firstLineChars="450"/>
        <w:rPr>
          <w:rFonts w:ascii="宋体" w:hAnsi="宋体" w:eastAsia="仿宋" w:cs="Times New Roman"/>
          <w:b/>
          <w:sz w:val="32"/>
          <w:szCs w:val="32"/>
        </w:rPr>
      </w:pPr>
    </w:p>
    <w:p>
      <w:pPr>
        <w:ind w:firstLine="1446" w:firstLineChars="450"/>
        <w:rPr>
          <w:rFonts w:ascii="宋体" w:hAnsi="宋体" w:eastAsia="仿宋" w:cs="Times New Roman"/>
          <w:b/>
          <w:sz w:val="32"/>
          <w:szCs w:val="32"/>
        </w:rPr>
      </w:pPr>
    </w:p>
    <w:p>
      <w:pPr>
        <w:ind w:firstLine="1446" w:firstLineChars="450"/>
        <w:rPr>
          <w:rFonts w:ascii="宋体" w:hAnsi="宋体" w:eastAsia="仿宋" w:cs="Times New Roman"/>
          <w:b/>
          <w:sz w:val="32"/>
          <w:szCs w:val="32"/>
        </w:rPr>
      </w:pPr>
    </w:p>
    <w:p>
      <w:pPr>
        <w:jc w:val="center"/>
        <w:rPr>
          <w:rFonts w:ascii="宋体" w:hAnsi="宋体" w:eastAsia="仿宋" w:cs="Times New Roman"/>
          <w:b/>
          <w:sz w:val="32"/>
          <w:szCs w:val="32"/>
        </w:rPr>
      </w:pPr>
      <w:r>
        <w:rPr>
          <w:rFonts w:ascii="宋体" w:hAnsi="宋体" w:eastAsia="仿宋" w:cs="Times New Roman"/>
          <w:b/>
          <w:sz w:val="32"/>
          <w:szCs w:val="32"/>
        </w:rPr>
        <w:t>填报日期</w:t>
      </w:r>
      <w:r>
        <w:rPr>
          <w:rFonts w:hint="eastAsia" w:ascii="宋体" w:hAnsi="宋体" w:eastAsia="仿宋" w:cs="Times New Roman"/>
          <w:b/>
          <w:sz w:val="32"/>
          <w:szCs w:val="32"/>
        </w:rPr>
        <w:t>：</w:t>
      </w:r>
      <w:r>
        <w:rPr>
          <w:rFonts w:ascii="宋体" w:hAnsi="宋体" w:eastAsia="仿宋" w:cs="Times New Roman"/>
          <w:b/>
          <w:sz w:val="32"/>
          <w:szCs w:val="32"/>
        </w:rPr>
        <w:t xml:space="preserve">  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2025</w:t>
      </w:r>
      <w:r>
        <w:rPr>
          <w:rFonts w:ascii="宋体" w:hAnsi="宋体" w:eastAsia="仿宋" w:cs="Times New Roman"/>
          <w:b/>
          <w:sz w:val="32"/>
          <w:szCs w:val="32"/>
        </w:rPr>
        <w:t xml:space="preserve">年 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2</w:t>
      </w:r>
      <w:r>
        <w:rPr>
          <w:rFonts w:ascii="宋体" w:hAnsi="宋体" w:eastAsia="仿宋" w:cs="Times New Roman"/>
          <w:b/>
          <w:sz w:val="32"/>
          <w:szCs w:val="32"/>
        </w:rPr>
        <w:t xml:space="preserve"> 月 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11</w:t>
      </w:r>
      <w:r>
        <w:rPr>
          <w:rFonts w:ascii="宋体" w:hAnsi="宋体" w:eastAsia="仿宋" w:cs="Times New Roman"/>
          <w:b/>
          <w:sz w:val="32"/>
          <w:szCs w:val="32"/>
        </w:rPr>
        <w:t xml:space="preserve"> 日</w:t>
      </w: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hint="eastAsia" w:ascii="宋体" w:cs="Times New Roman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绩效自评情况</w:t>
      </w:r>
    </w:p>
    <w:p>
      <w:pPr>
        <w:numPr>
          <w:ilvl w:val="0"/>
          <w:numId w:val="1"/>
        </w:numPr>
        <w:ind w:left="0"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部门</w:t>
      </w:r>
      <w:r>
        <w:rPr>
          <w:rFonts w:hint="eastAsia" w:ascii="宋体" w:hAnsi="宋体" w:eastAsia="黑体" w:cs="Times New Roman"/>
          <w:b/>
          <w:sz w:val="30"/>
          <w:szCs w:val="30"/>
        </w:rPr>
        <w:t>整体</w:t>
      </w:r>
      <w:r>
        <w:rPr>
          <w:rFonts w:ascii="宋体" w:hAnsi="宋体" w:eastAsia="黑体" w:cs="Times New Roman"/>
          <w:b/>
          <w:sz w:val="30"/>
          <w:szCs w:val="30"/>
        </w:rPr>
        <w:t>概况</w:t>
      </w:r>
    </w:p>
    <w:p>
      <w:pPr>
        <w:numPr>
          <w:ilvl w:val="0"/>
          <w:numId w:val="2"/>
        </w:numPr>
        <w:ind w:firstLine="602" w:firstLineChars="200"/>
        <w:rPr>
          <w:rFonts w:hint="eastAsia" w:ascii="宋体" w:hAnsi="宋体" w:eastAsia="仿宋" w:cs="Times New Roman"/>
          <w:b/>
          <w:sz w:val="30"/>
          <w:szCs w:val="30"/>
        </w:rPr>
      </w:pPr>
      <w:r>
        <w:rPr>
          <w:rFonts w:hint="eastAsia" w:ascii="宋体" w:hAnsi="宋体" w:eastAsia="仿宋" w:cs="Times New Roman"/>
          <w:b/>
          <w:sz w:val="30"/>
          <w:szCs w:val="30"/>
        </w:rPr>
        <w:t>部门主要职责职能及人员情况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1、党政综合办公室。负责机关文电运转、综合协调、会晤组织、后勤保障等日常工作。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2、党建工作办公室。负责辖区党的建设，承担人大、政协有关工作。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3、经济发展办公室。负责财政、经济运行、招商引资和项目管理。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4、安全发展办公室。负责安全生产，做好应急突发事件。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5、综合行政执法队。负责行政执法、市场监督和食品药品安全，保障市场秩序和食品安全。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6、退役军人服务站。负责拥军优属、退役军人等工作。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7、行政综合服务中心。负责行政审批和综合服务工作。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8、农业综合服务中心。负责农业生产、农村经济发展和农业技术推广，提高农民收入水平。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9、社会治理和信息化网络中心。负责社会治安、综合治理和信访稳定，整合各类网格和端口资源。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仿宋" w:cs="Times New Roman"/>
          <w:b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我部门财政供养实有在职113人，其中，行政编制43人，事业编制67人，人事代理1人，聘任制2人。离退休人员44人。</w:t>
      </w:r>
    </w:p>
    <w:p>
      <w:pPr>
        <w:ind w:firstLine="602" w:firstLineChars="200"/>
        <w:rPr>
          <w:rFonts w:ascii="宋体" w:hAnsi="宋体" w:eastAsia="仿宋" w:cs="Times New Roman"/>
          <w:b/>
          <w:sz w:val="30"/>
          <w:szCs w:val="30"/>
        </w:rPr>
      </w:pPr>
      <w:r>
        <w:rPr>
          <w:rFonts w:hint="eastAsia" w:ascii="宋体" w:hAnsi="宋体" w:eastAsia="仿宋" w:cs="Times New Roman"/>
          <w:b/>
          <w:sz w:val="30"/>
          <w:szCs w:val="30"/>
        </w:rPr>
        <w:t>（二）部门预算执行情况等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Arial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Arial"/>
          <w:color w:val="auto"/>
          <w:sz w:val="32"/>
          <w:szCs w:val="32"/>
          <w:highlight w:val="none"/>
          <w:lang w:val="en-US" w:eastAsia="zh-CN"/>
        </w:rPr>
        <w:t>本部门2024年度申请预算资金5283.69万元，其中：共同财政事权转移支付0万元（包含中央0万元、省0万元、市0万元），专项转移支付0万元（包含中央0万元、省0万元、市0万元），债券资金0万元；实际支出5283.69万元，其中：共同财政事权转移支付0万元（包含中央0万元、省0万元、市0万元），专项转移支付0万元（包含中央0万元、省0万元、市0万元），债券资金0万元；预算执行率100%。其中：项目36个（与部门开展项目自评个数相同），金额合计2924.22万元（与部门开展项目自评金额合计相同），实际支出2924.22万元，执行率为100%。</w:t>
      </w:r>
    </w:p>
    <w:p>
      <w:pPr>
        <w:ind w:left="0"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二、绩效评价组织情况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  <w:t>绩效目标：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2"/>
          <w:szCs w:val="32"/>
        </w:rPr>
        <w:t>年，我镇将在区委、区政府的坚强领导下，努力践行新时期中国特色社会主义理论，以党的十九大精神指导工作全局，深入和落实科学发展观，提高自主创新能力，全面加强党的建设，紧紧围绕实施“强农稳镇、兴工富镇、城建旺镇、环境立镇、和谐合镇”的战略。把加快中心镇发展作为促进工业化、城镇化、农业化产业，系统解决“三农”问题的重大举措来抓。坚持“以德立镇、产业兴镇、依法治镇”总基调，以发展产业为核心，精心谋划、发挥优势、埋头苦干、砥砺奋进，推进“富裕、美丽、和谐乡村”建设再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  <w:t>绩效指标：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一、负责机关文电运转、综合协调、政务值班、会务组织、信息反馈、档案管理、保密机要、后勤保障等日常工作；负责镇行政事业单位财务管理。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绩效目标：确保镇内各项工作顺利开展，大力发展民营经济，提升乡镇经济综合实力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绩效指标：资金使用率、群体满意度达到90%以上，资金于7日内发放。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二、承担人大、政协、纪检监察、工会、共青团、妇联、老干部等工作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绩效目标：加强党的建设，提高党员素质，完成上级和党委交办的各项工作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绩效指标：资金使用率、群体满意度达到90%以上，资金于7日内发放。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三、负责本辖区内应急管理日常工作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绩效目标：全面掌握突发事件基本情况，及时上级和有关部门领导汇报，确定应急对策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绩效指标：资金发放及时率、群体满意度达到90%以上，规定如期内办结。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四、负责生态环境建设、保护监管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绩效目标：负责辖区自然资源保护和监管工作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绩效指标：资金7日内发放，验收通过率、群众知晓率达到90%以上。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五、负责镇综合行政执法工作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绩效目标：保障辖区内日常工作的稳定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绩效指标：案件完成率、限时结案率达到90%以上，目标群体满意度达到非常满意。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六、行政审批和综合服务工作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绩效目标：有效推进辖区内民生工作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绩效指标：资金7日内发放，目标群体满意度达到非常满意，开展文体活动的村3个。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七、负责辖区基本农田保护管理工作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绩效目标：农业事业协调发展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绩效指标：提升改造提升重点村3个，资金7日内发放，目标群体满意度达到90%。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八、负责辖区拥军优属、退役军人服务等工作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绩效目标：提供就业创业指导，化解矛盾和思想政治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绩效指标：优抚对象医疗补助到位率、优抚对象抚恤和生活补助足额兑现率、目标群体满意度达到90%以上。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九、负责信息化网络建设与管理工作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绩效目标：确保案件按时了结；积极调解民事纠纷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绩效指标：重大安保任务完成率、矛盾纠纷调处率、限时结案率达到90%以上。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</w:rPr>
        <w:t>评价标准和评价方法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本次绩效评价项目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36</w:t>
      </w:r>
      <w:r>
        <w:rPr>
          <w:rFonts w:ascii="Times New Roman" w:hAnsi="Times New Roman" w:eastAsia="仿宋_GB2312"/>
          <w:color w:val="auto"/>
          <w:sz w:val="32"/>
          <w:szCs w:val="32"/>
        </w:rPr>
        <w:t>个，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占</w:t>
      </w:r>
      <w:r>
        <w:rPr>
          <w:rFonts w:ascii="Times New Roman" w:hAnsi="Times New Roman" w:eastAsia="仿宋_GB2312"/>
          <w:color w:val="auto"/>
          <w:sz w:val="32"/>
          <w:szCs w:val="32"/>
        </w:rPr>
        <w:t>部门项目总数的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/>
          <w:color w:val="auto"/>
          <w:sz w:val="32"/>
          <w:szCs w:val="32"/>
        </w:rPr>
        <w:t>%，涉及金额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2924.22</w:t>
      </w:r>
      <w:r>
        <w:rPr>
          <w:rFonts w:ascii="Times New Roman" w:hAnsi="Times New Roman" w:eastAsia="仿宋_GB2312"/>
          <w:color w:val="auto"/>
          <w:sz w:val="32"/>
          <w:szCs w:val="32"/>
        </w:rPr>
        <w:t>万元。采取成立本部门绩效自评工作组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的</w:t>
      </w:r>
      <w:r>
        <w:rPr>
          <w:rFonts w:ascii="Times New Roman" w:hAnsi="Times New Roman" w:eastAsia="仿宋_GB2312"/>
          <w:color w:val="auto"/>
          <w:sz w:val="32"/>
          <w:szCs w:val="32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>
      <w:pPr>
        <w:ind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三、</w:t>
      </w:r>
      <w:r>
        <w:rPr>
          <w:rFonts w:hint="eastAsia" w:ascii="宋体" w:hAnsi="宋体" w:eastAsia="黑体" w:cs="Times New Roman"/>
          <w:b/>
          <w:sz w:val="30"/>
          <w:szCs w:val="30"/>
        </w:rPr>
        <w:t>部门绩效管理开展的整体绩效实现情况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按照区财政预算绩效管理要求，唐山市丰南区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大新庄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镇人民政府对20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年确定的部门一般公共预算支出全面开展了绩效自评。年初安排预算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3344.9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万元，调整预算数是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5283.69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到位资金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5283.69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万元，绩效自评覆盖率达到100%，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预算执行率为100%，较好得完成了预算执行任务，综合得分91分，绩效评价等级为优，其中预算配置8分，预算执行7分，预算管理36分，预算绩效开展16分，职责履行8分，履职效益16分。失分原因为：预算控制率0分，追加、临时性预算项目较多，具体为追加预算1938.79万元/年初预算3344.9万元=58%，评分表大于30%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从经济性情况分析来看，预算资金覆盖各个需求方面，“三公”经费预算没有超过上年预算安排需要，分配方法科学，考虑的因素必要合理，分配的结果合理，能基本保证人员经费支出和机构全年工作运转。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从效率性情况分析看，在各项工作费用支付中，尤其是五险一金等人员经费支出能及时按进度保质保量完成。项目资金，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共涉及项目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36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个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36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个项目支出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达到时间进度，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预算执行率较高。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从有效性情况分析，夯实基层力量，提高基层干部工作积极性，全面整合职能和资源，提升干部办事效率，优化服务质量；群众收入增加，幸福感提高。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从可持续性分析看，我镇人口多，地域面积较大，镇工作综合性强，需加大人力、资金投入。改善农村环境，提高我镇人民生活质量，促进国民经济发展。</w:t>
      </w:r>
    </w:p>
    <w:p>
      <w:pPr>
        <w:numPr>
          <w:ilvl w:val="0"/>
          <w:numId w:val="3"/>
        </w:numPr>
        <w:ind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存在的问题和建议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通过上述分析，目前在整体支出的预算执行和管理过程中，依然存在一些问题和不足：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  <w:t>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预算控制率有待降低，除政策性因素外，由于部分临时、紧急或突发的工作任务导致追加预算。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区委考核结果为良好，我单位各项工作虽完成较好，但也需进一步提高。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细化预算编制工作，认真做好预算的编制。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加强预算编制的前瞻性，结合上年度预算执行情况和本年度收支变化因素，科学、合理编制预算。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与部门勤沟通，除了紧急、突发的事项，减少不必要的追加项目。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新的一年，在各方面争取再上一个台阶，取得优秀的成绩。</w:t>
      </w:r>
    </w:p>
    <w:p>
      <w:pPr>
        <w:ind w:firstLine="602" w:firstLineChars="200"/>
        <w:rPr>
          <w:rFonts w:ascii="宋体" w:hAnsi="宋体" w:eastAsia="黑体" w:cs="Times New Roman"/>
          <w:b/>
          <w:bCs/>
          <w:sz w:val="30"/>
          <w:szCs w:val="30"/>
        </w:rPr>
      </w:pPr>
      <w:r>
        <w:rPr>
          <w:rFonts w:ascii="宋体" w:hAnsi="宋体" w:eastAsia="黑体" w:cs="Times New Roman"/>
          <w:b/>
          <w:bCs/>
          <w:sz w:val="30"/>
          <w:szCs w:val="30"/>
        </w:rPr>
        <w:t>五、</w:t>
      </w:r>
      <w:r>
        <w:rPr>
          <w:rFonts w:hint="eastAsia" w:ascii="宋体" w:hAnsi="宋体" w:eastAsia="黑体" w:cs="Times New Roman"/>
          <w:b/>
          <w:bCs/>
          <w:sz w:val="30"/>
          <w:szCs w:val="30"/>
        </w:rPr>
        <w:t>其他需要说明的问题</w:t>
      </w:r>
    </w:p>
    <w:p>
      <w:pPr>
        <w:numPr>
          <w:ilvl w:val="0"/>
          <w:numId w:val="0"/>
        </w:numPr>
        <w:snapToGrid w:val="0"/>
        <w:spacing w:line="580" w:lineRule="exact"/>
        <w:ind w:firstLine="640"/>
        <w:rPr>
          <w:rFonts w:hint="eastAsia" w:ascii="宋体" w:hAnsi="宋体" w:eastAsia="黑体" w:cs="Times New Roman"/>
          <w:b/>
          <w:sz w:val="30"/>
          <w:szCs w:val="30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此项无内容</w:t>
      </w: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C79785"/>
    <w:multiLevelType w:val="singleLevel"/>
    <w:tmpl w:val="B8C79785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FA0BDF69"/>
    <w:multiLevelType w:val="singleLevel"/>
    <w:tmpl w:val="FA0BDF6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E4BA423"/>
    <w:multiLevelType w:val="singleLevel"/>
    <w:tmpl w:val="FE4BA42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045F5944"/>
    <w:rsid w:val="0DB303EC"/>
    <w:rsid w:val="12A52063"/>
    <w:rsid w:val="149D1A86"/>
    <w:rsid w:val="15151C7C"/>
    <w:rsid w:val="15A73244"/>
    <w:rsid w:val="1BC51547"/>
    <w:rsid w:val="222A0420"/>
    <w:rsid w:val="24AD091D"/>
    <w:rsid w:val="2AD41D57"/>
    <w:rsid w:val="2FB04F72"/>
    <w:rsid w:val="36702A74"/>
    <w:rsid w:val="38E12368"/>
    <w:rsid w:val="3EB518EE"/>
    <w:rsid w:val="400D0B2C"/>
    <w:rsid w:val="406576F0"/>
    <w:rsid w:val="41A9268F"/>
    <w:rsid w:val="44884671"/>
    <w:rsid w:val="47C4514D"/>
    <w:rsid w:val="4A0531B2"/>
    <w:rsid w:val="53473A56"/>
    <w:rsid w:val="56F70F82"/>
    <w:rsid w:val="5ADE01F6"/>
    <w:rsid w:val="5BE6356B"/>
    <w:rsid w:val="5C7C1A11"/>
    <w:rsid w:val="5FB160DC"/>
    <w:rsid w:val="689D13D0"/>
    <w:rsid w:val="6E1F05E5"/>
    <w:rsid w:val="701930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D3D20B-E9BE-4117-B12D-8A91ED60DE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0</Words>
  <Characters>452</Characters>
  <Lines>0</Lines>
  <Paragraphs>38</Paragraphs>
  <TotalTime>1251</TotalTime>
  <ScaleCrop>false</ScaleCrop>
  <LinksUpToDate>false</LinksUpToDate>
  <CharactersWithSpaces>603</CharactersWithSpaces>
  <Application>WPS Office_11.1.0.9584_F1E327BC-269C-435d-A152-05C5408002CA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2023-03-06T07:30:00Z</dcterms:created>
  <dc:creator>Administrator</dc:creator>
  <cp:lastModifiedBy>Administrator</cp:lastModifiedBy>
  <dcterms:modified xsi:type="dcterms:W3CDTF">2025-03-12T02:39:32Z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