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ascii="仿宋" w:eastAsia="仿宋" w:cs="仿宋"/>
          <w:sz w:val="32"/>
          <w:szCs w:val="32"/>
          <w:u w:val="single"/>
          <w:lang w:val="en-US" w:eastAsia="zh-CN" w:bidi="ar-SA"/>
        </w:rPr>
        <w:t xml:space="preserve">城市社区工作经费 </w:t>
      </w:r>
    </w:p>
    <w:p>
      <w:pPr>
        <w:spacing w:line="580" w:lineRule="exact"/>
        <w:ind w:left="0" w:firstLine="610" w:firstLineChars="200"/>
        <w:jc w:val="left"/>
        <w:rPr>
          <w:rFonts w:eastAsia="方正仿宋简体"/>
          <w:sz w:val="30"/>
          <w:szCs w:val="30"/>
          <w:u w:val="single"/>
        </w:rPr>
      </w:pPr>
    </w:p>
    <w:p>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ascii="仿宋" w:eastAsia="仿宋" w:cs="仿宋"/>
          <w:sz w:val="32"/>
          <w:szCs w:val="32"/>
          <w:u w:val="single"/>
          <w:lang w:val="en-US" w:eastAsia="zh-CN" w:bidi="ar-SA"/>
        </w:rPr>
        <w:t>丰南区委组织部</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eastAsia="方正仿宋简体"/>
          <w:sz w:val="30"/>
          <w:szCs w:val="30"/>
          <w:u w:val="single"/>
        </w:rPr>
        <w:t>丰南区委</w:t>
      </w:r>
      <w:r>
        <w:rPr>
          <w:rFonts w:hint="eastAsia" w:eastAsia="方正仿宋简体"/>
          <w:sz w:val="30"/>
          <w:szCs w:val="30"/>
          <w:u w:val="single"/>
          <w:lang w:val="en-US" w:eastAsia="zh-CN"/>
        </w:rPr>
        <w:t xml:space="preserve">组织部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hint="eastAsia" w:eastAsia="方正仿宋简体"/>
          <w:sz w:val="30"/>
          <w:szCs w:val="30"/>
          <w:lang w:val="en-US" w:eastAsia="zh-CN"/>
        </w:rPr>
      </w:pPr>
      <w:r>
        <w:rPr>
          <w:rFonts w:eastAsia="方正仿宋简体"/>
          <w:sz w:val="30"/>
          <w:szCs w:val="30"/>
        </w:rPr>
        <w:t>部门（单位）负责人签字：</w:t>
      </w:r>
      <w:r>
        <w:rPr>
          <w:rFonts w:eastAsia="方正仿宋简体"/>
          <w:sz w:val="30"/>
          <w:szCs w:val="30"/>
          <w:u w:val="single"/>
        </w:rPr>
        <w:t xml:space="preserve">               </w:t>
      </w:r>
      <w:r>
        <w:rPr>
          <w:rFonts w:hint="eastAsia" w:eastAsia="方正仿宋简体"/>
          <w:sz w:val="30"/>
          <w:szCs w:val="30"/>
          <w:u w:val="single"/>
          <w:lang w:val="en-US" w:eastAsia="zh-CN"/>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17</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after="0" w:line="560" w:lineRule="exact"/>
        <w:ind w:firstLine="648"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为确实做好202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年度财政支出绩效</w:t>
      </w:r>
      <w:r>
        <w:rPr>
          <w:rFonts w:hint="eastAsia" w:ascii="仿宋_GB2312" w:hAnsi="仿宋_GB2312" w:eastAsia="仿宋_GB2312" w:cs="仿宋_GB2312"/>
          <w:b w:val="0"/>
          <w:bCs/>
          <w:sz w:val="32"/>
          <w:szCs w:val="32"/>
          <w:lang w:val="en-US" w:eastAsia="zh-CN"/>
        </w:rPr>
        <w:t>重点</w:t>
      </w:r>
      <w:r>
        <w:rPr>
          <w:rFonts w:hint="eastAsia" w:ascii="仿宋_GB2312" w:hAnsi="仿宋_GB2312" w:eastAsia="仿宋_GB2312" w:cs="仿宋_GB2312"/>
          <w:b w:val="0"/>
          <w:bCs/>
          <w:sz w:val="32"/>
          <w:szCs w:val="32"/>
        </w:rPr>
        <w:t>评价工作，我</w:t>
      </w:r>
      <w:r>
        <w:rPr>
          <w:rFonts w:hint="eastAsia" w:ascii="仿宋_GB2312" w:hAnsi="仿宋_GB2312" w:eastAsia="仿宋_GB2312" w:cs="仿宋_GB2312"/>
          <w:b w:val="0"/>
          <w:bCs/>
          <w:sz w:val="32"/>
          <w:szCs w:val="32"/>
          <w:lang w:eastAsia="zh-CN"/>
        </w:rPr>
        <w:t>部</w:t>
      </w:r>
      <w:r>
        <w:rPr>
          <w:rFonts w:hint="eastAsia" w:ascii="仿宋_GB2312" w:hAnsi="仿宋_GB2312" w:eastAsia="仿宋_GB2312" w:cs="仿宋_GB2312"/>
          <w:b w:val="0"/>
          <w:bCs/>
          <w:sz w:val="32"/>
          <w:szCs w:val="32"/>
        </w:rPr>
        <w:t>成立由</w:t>
      </w:r>
      <w:r>
        <w:rPr>
          <w:rFonts w:hint="eastAsia" w:ascii="仿宋_GB2312" w:hAnsi="仿宋_GB2312" w:eastAsia="仿宋_GB2312" w:cs="仿宋_GB2312"/>
          <w:b w:val="0"/>
          <w:bCs/>
          <w:sz w:val="32"/>
          <w:szCs w:val="32"/>
          <w:lang w:val="en-US" w:eastAsia="zh-CN"/>
        </w:rPr>
        <w:t>刘建军</w:t>
      </w:r>
      <w:r>
        <w:rPr>
          <w:rFonts w:hint="eastAsia" w:ascii="仿宋_GB2312" w:hAnsi="仿宋_GB2312" w:eastAsia="仿宋_GB2312" w:cs="仿宋_GB2312"/>
          <w:b w:val="0"/>
          <w:bCs/>
          <w:sz w:val="32"/>
          <w:szCs w:val="32"/>
        </w:rPr>
        <w:t>同志任组长，</w:t>
      </w:r>
      <w:r>
        <w:rPr>
          <w:rFonts w:hint="eastAsia" w:ascii="仿宋_GB2312" w:hAnsi="仿宋_GB2312" w:eastAsia="仿宋_GB2312" w:cs="仿宋_GB2312"/>
          <w:b w:val="0"/>
          <w:bCs/>
          <w:sz w:val="32"/>
          <w:szCs w:val="32"/>
          <w:lang w:val="en-US" w:eastAsia="zh-CN"/>
        </w:rPr>
        <w:t>王鸿海、李雪良、孟剑</w:t>
      </w:r>
      <w:r>
        <w:rPr>
          <w:rFonts w:hint="eastAsia" w:ascii="仿宋_GB2312" w:hAnsi="仿宋_GB2312" w:eastAsia="仿宋_GB2312" w:cs="仿宋_GB2312"/>
          <w:b w:val="0"/>
          <w:bCs/>
          <w:sz w:val="32"/>
          <w:szCs w:val="32"/>
          <w:lang w:eastAsia="zh-CN"/>
        </w:rPr>
        <w:t>同志</w:t>
      </w:r>
      <w:r>
        <w:rPr>
          <w:rFonts w:hint="eastAsia" w:ascii="仿宋_GB2312" w:hAnsi="仿宋_GB2312" w:eastAsia="仿宋_GB2312" w:cs="仿宋_GB2312"/>
          <w:b w:val="0"/>
          <w:bCs/>
          <w:sz w:val="32"/>
          <w:szCs w:val="32"/>
        </w:rPr>
        <w:t>任副组长，相关科室负责人为成员的绩效评价工作小组，明确了各成员在此次自评工作中的职责</w:t>
      </w:r>
      <w:r>
        <w:rPr>
          <w:rFonts w:hint="eastAsia" w:ascii="仿宋_GB2312" w:hAnsi="仿宋_GB2312" w:eastAsia="仿宋_GB2312" w:cs="仿宋_GB2312"/>
          <w:b w:val="0"/>
          <w:bCs/>
          <w:sz w:val="32"/>
          <w:szCs w:val="32"/>
          <w:lang w:eastAsia="zh-CN"/>
        </w:rPr>
        <w:t>。</w:t>
      </w:r>
    </w:p>
    <w:p>
      <w:pPr>
        <w:spacing w:after="0" w:line="560" w:lineRule="exact"/>
        <w:ind w:firstLine="648" w:firstLineChars="200"/>
        <w:rPr>
          <w:rFonts w:hint="default" w:ascii="仿宋" w:hAnsi="仿宋" w:eastAsia="仿宋"/>
          <w:b w:val="0"/>
          <w:bCs/>
          <w:lang w:val="en-US"/>
        </w:rPr>
      </w:pPr>
      <w:r>
        <w:rPr>
          <w:rFonts w:hint="eastAsia" w:ascii="仿宋_GB2312" w:hAnsi="仿宋_GB2312" w:eastAsia="仿宋_GB2312" w:cs="仿宋_GB2312"/>
          <w:b w:val="0"/>
          <w:bCs/>
          <w:sz w:val="32"/>
          <w:szCs w:val="32"/>
          <w:lang w:val="en-US" w:eastAsia="zh-CN"/>
        </w:rPr>
        <w:t>评价小组选取</w:t>
      </w:r>
      <w:r>
        <w:rPr>
          <w:rFonts w:hint="eastAsia" w:ascii="仿宋_GB2312" w:hAnsi="仿宋_GB2312" w:eastAsia="仿宋_GB2312" w:cs="仿宋_GB2312"/>
          <w:b w:val="0"/>
          <w:bCs/>
          <w:color w:val="000000"/>
          <w:kern w:val="0"/>
          <w:sz w:val="32"/>
          <w:szCs w:val="32"/>
          <w:lang w:val="en-US" w:eastAsia="zh-CN" w:bidi="ar"/>
        </w:rPr>
        <w:t>城市社区工作经费项目为本年度重点评价项目。从项目资金预算、项目的执行情况、项目绩效等方面进行全面核查，同时对该项目进行了现场抽查。通过听取项目单位对项目情况的汇报；检查、核对项目明细账及原始凭证；收集、整理、分析评价基础资料和数据等方法，评价小组对 2024年度城市社区工作经费项目进行了重点评价工作，最后评价结果为“优”。</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（一）项目背景</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为坚持和加强党对城市工作的全面领导，夯实党在城市的执政基础，有效提升应对突发事件能力，切实提高城市治理体系和治理能力现代化水平，根据中央和省委有关文件精神，就坚持党建引领，深入推进“六位一体”社区治理体系建设，实现党领导下的政府治理、社会调节、居民自治良性互动，更好服务“三创四建”“一港双城”建设，推动党领导基层治理能力全面提升、城市基层党建系统建设和整体效应全面凸显、人民群众获得感幸福感安全感全面增强，为建设繁荣舒适美丽的现代化沿海城市提供坚强保证。预算安排城市社区工作经费区级资金280万元。</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（二）项目绩效目标</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使用透明与规范：确保城市社区工作经费的使用过程公开透明，严格遵守相关法规和规定，防止任何形式的挪用、滥用或浪费。通过建立健全的经费管理制度和审批流程，确保每一笔经费都能合法、合规地用于社区工作。</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提升社区服务质量：利用经费支持社区基础设施的建设和维护，改善社区环境，提升居民的生活质量。同时，加强社区教育和文化活动，丰富居民的精神文化生活，提高居民的文化素养。</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强化社区治理能力：通过经费的投入，加强社区党组织和居民自治组织的建设，提升社区治理的水平和能力。推动社区治理创新，探索适应城市社区特点的管理模式，提高社区治理的效率和效果。</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实现可持续发展：在经费使用过程中，注重长期效益和可持续发展。通过科学合理的规划和布局，确保经费的投入能够产生持久的效果，为社区的未来发展奠定坚实的基础。</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1.项目执行情况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城市社区工作经费由街道党工委申请、组织部门审核、财政部门划拨、金融机构拨付的流程，统一发放，每季度安排经费70万元，季度初由街道提交书面申请。区委组织部收到申请后进行审核，报区财政局；区财政局核对无误后，再通过金融机构将资金划拨到青年路街道办事处所在的银行专项资金发放账户，由城市党建科及时通知街道相关负责人查收。该项目由区财政部门统一管理和拨付，实行专项管理，我单位统一组织实施，资金按规定用途使用，专款专用。该项目批复预算资金280万元，实际支出280万元。</w:t>
      </w:r>
    </w:p>
    <w:p>
      <w:pPr>
        <w:spacing w:after="0" w:line="560" w:lineRule="exact"/>
        <w:ind w:firstLine="648"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2、项目评价情况</w:t>
      </w:r>
    </w:p>
    <w:p>
      <w:pPr>
        <w:spacing w:after="0" w:line="560" w:lineRule="exact"/>
        <w:ind w:firstLine="648"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（1）绩效自评内容和目的</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经费使用情况：详细评估经费的分配、使用和管理情况，包括是否按照预算和计划进行支出，是否存在超支或挪用等情况。同时，对经费使用的合规性、透明度和效益性进行综合评价。</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项目执行情况：评估城市社区工作经费支持下的各类项目是否按照计划顺利进行，项目目标是否实现，以及项目实施过程中存在的问题和改进措施。</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社区服务质量与效果：分析经费投入对提升社区服务质量、改善居民生活、增强社区凝聚力等方面的实际效果，评估投入与产出的比例和效益。</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管理与监督机制：对社区工作经费的管理制度和监督机制进行评估，分析现有制度是否完善、有效，是否能够满足社区工作的需求，并提出改进建议。</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通过</w:t>
      </w:r>
      <w:r>
        <w:rPr>
          <w:rFonts w:hint="eastAsia" w:ascii="仿宋_GB2312" w:hAnsi="仿宋_GB2312" w:eastAsia="仿宋_GB2312" w:cs="仿宋_GB2312"/>
          <w:b w:val="0"/>
          <w:bCs/>
          <w:sz w:val="32"/>
          <w:szCs w:val="32"/>
          <w:lang w:val="en-US" w:eastAsia="zh-CN"/>
        </w:rPr>
        <w:t>绩效自评</w:t>
      </w:r>
      <w:r>
        <w:rPr>
          <w:rFonts w:hint="default"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发现城市社区工作经费在使用过程中存在的问题和不足，为今后的工作提供改进方向和依据。根据自评结果，调整和优化经费的使用结构和方式，确保经费能够更加精准、高效地支持社区工作。通过自评，加强对社区工作经费的管理和监督，提升管理水平，防止经费的浪费和滥用。通过自评，推动城市社区工作的持续改进和发展，为社区居民提供更加优质、高效的服务，提升居民的幸福感和满意度。</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（2）绩效指标分析情况</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项目管理绩效情况分析：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项目立项规范性绩效目标合理；性绩效指标明确；资金到位；管理制度健全；制度执行有效；管理制度健全；资金使用合规；财务监控有效。</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项目结果绩效情况分析：</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经济效益：通过有效的经费管理，社区工作能够实现投入产出的最大化，确保每一分钱都花在刀刃上，提高经济效益。</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社会效益：强化党在社区街道执政的保障基础，充分调动社区干部的工作热情。</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可持续影响：促进良性循环和可持续发展；发挥较强的示范作用，有利于推动城市社区干部队伍干事创业的热情。城市社区工作经费的使用有助于推动社区服务的长效机制建立，确保服务工作的可持续开展。</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3、项目综合评价等级和评价结论</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通过对项目的开展，社区群众干部都很满意。经评价小组对该项目各类指标进行了综合评价，评价结果100分，评定等次为优秀。</w:t>
      </w:r>
    </w:p>
    <w:p>
      <w:pPr>
        <w:spacing w:line="560" w:lineRule="exact"/>
        <w:ind w:firstLine="610" w:firstLineChars="200"/>
        <w:rPr>
          <w:rFonts w:ascii="PingFang-SC-Regular" w:hAnsi="PingFang-SC-Regular" w:eastAsia="PingFang-SC-Regular" w:cs="PingFang-SC-Regular"/>
          <w:sz w:val="22"/>
          <w:szCs w:val="22"/>
        </w:rPr>
      </w:pPr>
      <w:r>
        <w:rPr>
          <w:rFonts w:hint="eastAsia" w:ascii="方正黑体简体" w:eastAsia="方正黑体简体"/>
          <w:sz w:val="30"/>
          <w:szCs w:val="30"/>
        </w:rPr>
        <w:t>四、存在问题及改进建议</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存在问题：社区工作经费的预算安排和执行过程中可能存在不严格的现象。有时预算制定不够科学，未能充分考虑社区实际需求，导致经费使用与实际需求脱节。</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意见建议： 制定科学、合理的社区工作经费预算，充分考虑社区实际需求和发展规划。同时，加强预算执行情况的监督和检查，确保经费严格按照预算使用，防止超支、挪用或滞留经费的情况发生。明确专项资金的使用范围和管理程序，严格按照规定用途使用资金。同时，加强对专项资金使用情况的监督和检查，确保资金使用效益最大化。</w:t>
      </w:r>
    </w:p>
    <w:p>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spacing w:after="0" w:line="560" w:lineRule="exact"/>
        <w:ind w:firstLine="648" w:firstLineChars="200"/>
        <w:rPr>
          <w:rFonts w:hint="eastAsia" w:ascii="仿宋_GB2312" w:hAnsi="仿宋_GB2312" w:eastAsia="仿宋_GB2312" w:cs="仿宋_GB2312"/>
          <w:b w:val="0"/>
          <w:bCs/>
          <w:sz w:val="32"/>
          <w:szCs w:val="32"/>
          <w:lang w:val="en-US" w:eastAsia="zh-CN"/>
        </w:rPr>
      </w:pPr>
      <w:bookmarkStart w:id="0" w:name="_GoBack"/>
      <w:r>
        <w:rPr>
          <w:rFonts w:hint="eastAsia" w:ascii="仿宋_GB2312" w:hAnsi="仿宋_GB2312" w:eastAsia="仿宋_GB2312" w:cs="仿宋_GB2312"/>
          <w:b w:val="0"/>
          <w:bCs/>
          <w:sz w:val="32"/>
          <w:szCs w:val="32"/>
          <w:lang w:val="en-US" w:eastAsia="zh-CN"/>
        </w:rPr>
        <w:t>无建议</w:t>
      </w:r>
    </w:p>
    <w:bookmarkEnd w:id="0"/>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WE3ZjlhNjA0ZjBiNTMxYmMwZjY2NWVmMDk1ZDE3MTYifQ=="/>
    <w:docVar w:name="KSO_WPS_MARK_KEY" w:val="4f89e689-4106-4bf1-92e5-e45241650fcd"/>
  </w:docVars>
  <w:rsids>
    <w:rsidRoot w:val="00000000"/>
    <w:rsid w:val="02B337E9"/>
    <w:rsid w:val="04134A25"/>
    <w:rsid w:val="129F19D9"/>
    <w:rsid w:val="344354A7"/>
    <w:rsid w:val="573D7D7D"/>
    <w:rsid w:val="63F62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uiPriority w:val="0"/>
    <w:pPr>
      <w:keepNext/>
      <w:keepLines/>
      <w:spacing w:before="340" w:after="330" w:line="578" w:lineRule="auto"/>
      <w:outlineLvl w:val="0"/>
    </w:pPr>
    <w:rPr>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5</Pages>
  <Words>2306</Words>
  <Characters>2329</Characters>
  <Lines>0</Lines>
  <Paragraphs>37</Paragraphs>
  <TotalTime>6</TotalTime>
  <ScaleCrop>false</ScaleCrop>
  <LinksUpToDate>false</LinksUpToDate>
  <CharactersWithSpaces>2395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bangong</cp:lastModifiedBy>
  <dcterms:modified xsi:type="dcterms:W3CDTF">2025-03-03T01:08:29Z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888167903EB349569F9D1764C3B01D20_12</vt:lpwstr>
  </property>
</Properties>
</file>