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s="Times New Roman"/>
          <w:b/>
          <w:sz w:val="30"/>
          <w:szCs w:val="30"/>
        </w:rPr>
      </w:pPr>
      <w:r>
        <w:rPr>
          <w:rFonts w:hint="eastAsia" w:ascii="宋体" w:cs="Times New Roman"/>
          <w:b/>
          <w:sz w:val="30"/>
          <w:szCs w:val="30"/>
        </w:rPr>
        <w:t>附件</w:t>
      </w:r>
      <w:r>
        <w:rPr>
          <w:rFonts w:ascii="宋体" w:cs="Times New Roman"/>
          <w:b/>
          <w:sz w:val="30"/>
          <w:szCs w:val="30"/>
        </w:rPr>
        <w:t>5</w:t>
      </w:r>
    </w:p>
    <w:p>
      <w:pPr>
        <w:jc w:val="center"/>
        <w:rPr>
          <w:rFonts w:ascii="宋体" w:cs="Times New Roman"/>
          <w:b/>
          <w:sz w:val="44"/>
          <w:szCs w:val="44"/>
        </w:rPr>
      </w:pPr>
      <w:r>
        <w:rPr>
          <w:rFonts w:hint="eastAsia" w:ascii="宋体" w:cs="Times New Roman"/>
          <w:b/>
          <w:sz w:val="44"/>
          <w:szCs w:val="44"/>
          <w:lang w:val="en-US" w:eastAsia="zh-CN"/>
        </w:rPr>
        <w:t>丰南区委组织部</w:t>
      </w:r>
      <w:r>
        <w:rPr>
          <w:rFonts w:hint="eastAsia" w:ascii="宋体" w:cs="Times New Roman"/>
          <w:b/>
          <w:sz w:val="44"/>
          <w:szCs w:val="44"/>
        </w:rPr>
        <w:t>整体</w:t>
      </w:r>
      <w:r>
        <w:rPr>
          <w:rFonts w:ascii="宋体" w:cs="Times New Roman"/>
          <w:b/>
          <w:sz w:val="44"/>
          <w:szCs w:val="44"/>
        </w:rPr>
        <w:t>绩效自评报告</w:t>
      </w:r>
    </w:p>
    <w:p>
      <w:pPr>
        <w:jc w:val="center"/>
        <w:rPr>
          <w:rFonts w:ascii="宋体" w:hAnsi="宋体" w:eastAsia="仿宋" w:cs="Times New Roman"/>
          <w:b/>
          <w:sz w:val="30"/>
          <w:szCs w:val="30"/>
        </w:rPr>
      </w:pPr>
      <w:r>
        <w:rPr>
          <w:rFonts w:ascii="宋体" w:hAnsi="宋体" w:eastAsia="仿宋" w:cs="Times New Roman"/>
          <w:b/>
          <w:sz w:val="30"/>
          <w:szCs w:val="30"/>
        </w:rPr>
        <w:t>（</w:t>
      </w:r>
      <w:r>
        <w:rPr>
          <w:rFonts w:hint="eastAsia" w:ascii="宋体" w:hAnsi="宋体" w:eastAsia="仿宋" w:cs="Times New Roman"/>
          <w:b/>
          <w:sz w:val="30"/>
          <w:szCs w:val="30"/>
          <w:lang w:val="en-US" w:eastAsia="zh-CN"/>
        </w:rPr>
        <w:t>2024</w:t>
      </w:r>
      <w:r>
        <w:rPr>
          <w:rFonts w:ascii="宋体" w:hAnsi="宋体" w:eastAsia="仿宋" w:cs="Times New Roman"/>
          <w:b/>
          <w:sz w:val="30"/>
          <w:szCs w:val="30"/>
        </w:rPr>
        <w:t>年度）</w:t>
      </w:r>
    </w:p>
    <w:p>
      <w:pPr>
        <w:rPr>
          <w:rFonts w:ascii="宋体" w:hAnsi="宋体" w:eastAsia="仿宋" w:cs="Times New Roman"/>
          <w:b/>
        </w:rPr>
      </w:pPr>
    </w:p>
    <w:p>
      <w:pPr>
        <w:rPr>
          <w:rFonts w:ascii="宋体" w:hAnsi="宋体" w:eastAsia="仿宋" w:cs="Times New Roman"/>
          <w:b/>
        </w:rPr>
      </w:pPr>
    </w:p>
    <w:p>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ascii="宋体" w:hAnsi="宋体" w:eastAsia="仿宋" w:cs="Times New Roman"/>
          <w:b/>
          <w:sz w:val="44"/>
          <w:szCs w:val="44"/>
        </w:rPr>
        <w:sym w:font="Wingdings 2" w:char="0052"/>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pPr>
        <w:rPr>
          <w:rFonts w:ascii="宋体" w:hAnsi="宋体" w:eastAsia="仿宋" w:cs="Times New Roman"/>
          <w:b/>
        </w:rPr>
      </w:pPr>
    </w:p>
    <w:p>
      <w:pPr>
        <w:rPr>
          <w:rFonts w:ascii="宋体" w:hAnsi="宋体" w:eastAsia="仿宋" w:cs="Times New Roman"/>
          <w:b/>
        </w:rPr>
      </w:pPr>
    </w:p>
    <w:p>
      <w:pPr>
        <w:rPr>
          <w:rFonts w:ascii="宋体" w:hAnsi="宋体" w:eastAsia="仿宋" w:cs="Times New Roman"/>
          <w:b/>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eastAsia="zh-CN"/>
        </w:rPr>
        <w:t>唐山市丰南区委员会组织部</w:t>
      </w:r>
      <w:r>
        <w:rPr>
          <w:rFonts w:hint="eastAsia" w:ascii="宋体" w:hAnsi="宋体" w:eastAsia="仿宋" w:cs="Times New Roman"/>
          <w:b/>
          <w:sz w:val="32"/>
          <w:szCs w:val="32"/>
          <w:u w:val="single"/>
        </w:rPr>
        <w:t>（加盖公章）</w:t>
      </w:r>
    </w:p>
    <w:p>
      <w:pPr>
        <w:ind w:firstLine="643" w:firstLineChars="200"/>
        <w:rPr>
          <w:rFonts w:ascii="Times New Roman" w:hAnsi="Times New Roman" w:eastAsia="仿宋" w:cs="Times New Roman"/>
          <w:sz w:val="32"/>
          <w:szCs w:val="32"/>
        </w:rPr>
      </w:pPr>
      <w:r>
        <w:rPr>
          <w:rFonts w:ascii="宋体" w:hAnsi="宋体" w:eastAsia="仿宋" w:cs="Times New Roman"/>
          <w:b/>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8189819</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w:t>
      </w:r>
      <w:r>
        <w:rPr>
          <w:rFonts w:ascii="Times New Roman" w:hAnsi="Times New Roman" w:eastAsia="仿宋" w:cs="Times New Roman"/>
          <w:sz w:val="32"/>
          <w:szCs w:val="32"/>
          <w:u w:val="single"/>
        </w:rPr>
        <w:t xml:space="preserve">    </w:t>
      </w:r>
    </w:p>
    <w:p>
      <w:pPr>
        <w:ind w:firstLine="643" w:firstLineChars="20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w:t>
      </w:r>
      <w:r>
        <w:rPr>
          <w:rFonts w:hint="eastAsia" w:ascii="宋体" w:hAnsi="宋体" w:eastAsia="仿宋" w:cs="Times New Roman"/>
          <w:b/>
          <w:sz w:val="32"/>
          <w:szCs w:val="32"/>
          <w:lang w:val="en-US" w:eastAsia="zh-CN"/>
        </w:rPr>
        <w:t>2025</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2</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17</w:t>
      </w:r>
      <w:r>
        <w:rPr>
          <w:rFonts w:ascii="宋体" w:hAnsi="宋体" w:eastAsia="仿宋" w:cs="Times New Roman"/>
          <w:b/>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pPr>
        <w:numPr>
          <w:ilvl w:val="0"/>
          <w:numId w:val="2"/>
        </w:num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1．主要职责职能。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1、负责全区各级党组织的思想、组织和作风建设；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2、负责全区党组织设置、党员发展和党员教育管理工作，党代表工作年会等；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3、负责区委、基层党委的换届选举工作，全区先进基层党组织、优秀党员、优秀党务工作者的表彰工作；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4、负责全区党组织、党员统计；负责党费收缴和管理工作；负责党员教育经费管理工作和组织史征编工作；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5、负责全区科级领导班子和领导干部考察，办理有关人员的任免、工资福利、退休审批等手续，负责全区科级后备干部队伍建设；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6、负责全区干部的宏观管理和垂直管理部门领导班子和领导干部的协管工作；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7、负责全区干部档案工作的宏观管理、核查，直接管理乡科级领导干部及党群系统干部的人事档案；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8、负责全区干部教育培训工作，具体组织实施区管干部、乡科级后备干部、选调生、组工干部的教育培训，指导协调有关部门搞好其他层级干部教育培训工作；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9、负责党员电化远程教育、课件制作、党建网管理；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10、负责全区组织系统新闻发布；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11、负责全区人才工作宏观管理、政策制定，各类人才的引进、培养、检查指导和教育管理工作；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12、负责全区乡科级领导干部及党群系统干部“三龄”审查及乡科级领导班子和领导干部的监督管理；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13、负责全区区管领导班子、领导干部和党群系统干部的考评、奖惩等工作；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14、负责全区老干部工作的宏观管理和督促检查；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15、负责区委交办的其他工作。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2．人员情况</w:t>
      </w:r>
    </w:p>
    <w:p>
      <w:pPr>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 xml:space="preserve"> 我部门现有财政供养实有在职48人，其中行政编制及参照管理24人、事业编制20人、人事代理3人、聘用制1人。</w:t>
      </w:r>
    </w:p>
    <w:p>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本部门202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年度申请预算</w:t>
      </w:r>
      <w:r>
        <w:rPr>
          <w:rFonts w:hint="eastAsia" w:ascii="仿宋_GB2312" w:hAnsi="仿宋_GB2312" w:eastAsia="仿宋_GB2312" w:cs="仿宋_GB2312"/>
          <w:sz w:val="32"/>
          <w:szCs w:val="32"/>
          <w:lang w:val="en-US" w:eastAsia="zh-CN"/>
        </w:rPr>
        <w:t>资金7923.697751万元，</w:t>
      </w:r>
      <w:r>
        <w:rPr>
          <w:rFonts w:hint="default" w:ascii="仿宋_GB2312" w:hAnsi="仿宋_GB2312" w:eastAsia="仿宋_GB2312" w:cs="仿宋_GB2312"/>
          <w:sz w:val="32"/>
          <w:szCs w:val="32"/>
          <w:lang w:val="en-US" w:eastAsia="zh-CN"/>
        </w:rPr>
        <w:t>其中：共同财政事权转移支付</w:t>
      </w:r>
      <w:r>
        <w:rPr>
          <w:rFonts w:hint="eastAsia" w:ascii="仿宋_GB2312" w:hAnsi="仿宋_GB2312" w:eastAsia="仿宋_GB2312" w:cs="仿宋_GB2312"/>
          <w:sz w:val="32"/>
          <w:szCs w:val="32"/>
          <w:lang w:val="en-US" w:eastAsia="zh-CN"/>
        </w:rPr>
        <w:t>5703.9</w:t>
      </w:r>
      <w:r>
        <w:rPr>
          <w:rFonts w:hint="default" w:ascii="仿宋_GB2312" w:hAnsi="仿宋_GB2312" w:eastAsia="仿宋_GB2312" w:cs="仿宋_GB2312"/>
          <w:sz w:val="32"/>
          <w:szCs w:val="32"/>
          <w:lang w:val="en-US" w:eastAsia="zh-CN"/>
        </w:rPr>
        <w:t>万元（包含中央</w:t>
      </w:r>
      <w:r>
        <w:rPr>
          <w:rFonts w:hint="eastAsia" w:ascii="仿宋_GB2312" w:hAnsi="仿宋_GB2312" w:eastAsia="仿宋_GB2312" w:cs="仿宋_GB2312"/>
          <w:sz w:val="32"/>
          <w:szCs w:val="32"/>
          <w:lang w:val="en-US" w:eastAsia="zh-CN"/>
        </w:rPr>
        <w:t>23.9</w:t>
      </w:r>
      <w:r>
        <w:rPr>
          <w:rFonts w:hint="default" w:ascii="仿宋_GB2312" w:hAnsi="仿宋_GB2312" w:eastAsia="仿宋_GB2312" w:cs="仿宋_GB2312"/>
          <w:sz w:val="32"/>
          <w:szCs w:val="32"/>
          <w:lang w:val="en-US" w:eastAsia="zh-CN"/>
        </w:rPr>
        <w:t>万元、省</w:t>
      </w:r>
      <w:r>
        <w:rPr>
          <w:rFonts w:hint="eastAsia" w:ascii="仿宋_GB2312" w:hAnsi="仿宋_GB2312" w:eastAsia="仿宋_GB2312" w:cs="仿宋_GB2312"/>
          <w:sz w:val="32"/>
          <w:szCs w:val="32"/>
          <w:lang w:val="en-US" w:eastAsia="zh-CN"/>
        </w:rPr>
        <w:t>4408</w:t>
      </w:r>
      <w:r>
        <w:rPr>
          <w:rFonts w:hint="default" w:ascii="仿宋_GB2312" w:hAnsi="仿宋_GB2312" w:eastAsia="仿宋_GB2312" w:cs="仿宋_GB2312"/>
          <w:sz w:val="32"/>
          <w:szCs w:val="32"/>
          <w:lang w:val="en-US" w:eastAsia="zh-CN"/>
        </w:rPr>
        <w:t>万元、市</w:t>
      </w:r>
      <w:r>
        <w:rPr>
          <w:rFonts w:hint="eastAsia" w:ascii="仿宋_GB2312" w:hAnsi="仿宋_GB2312" w:eastAsia="仿宋_GB2312" w:cs="仿宋_GB2312"/>
          <w:sz w:val="32"/>
          <w:szCs w:val="32"/>
          <w:lang w:val="en-US" w:eastAsia="zh-CN"/>
        </w:rPr>
        <w:t>1272</w:t>
      </w:r>
      <w:r>
        <w:rPr>
          <w:rFonts w:hint="default" w:ascii="仿宋_GB2312" w:hAnsi="仿宋_GB2312" w:eastAsia="仿宋_GB2312" w:cs="仿宋_GB2312"/>
          <w:sz w:val="32"/>
          <w:szCs w:val="32"/>
          <w:lang w:val="en-US" w:eastAsia="zh-CN"/>
        </w:rPr>
        <w:t>万元），专项转移支付</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万元（包含中央</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万元、省</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万元、市</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万元），债券资金</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实际支出6981.445904万元，</w:t>
      </w:r>
      <w:r>
        <w:rPr>
          <w:rFonts w:hint="default" w:ascii="仿宋_GB2312" w:hAnsi="仿宋_GB2312" w:eastAsia="仿宋_GB2312" w:cs="仿宋_GB2312"/>
          <w:sz w:val="32"/>
          <w:szCs w:val="32"/>
          <w:lang w:val="en-US" w:eastAsia="zh-CN"/>
        </w:rPr>
        <w:t>其中：共同财政事权转移支付</w:t>
      </w:r>
      <w:r>
        <w:rPr>
          <w:rFonts w:hint="eastAsia" w:ascii="仿宋_GB2312" w:hAnsi="仿宋_GB2312" w:eastAsia="仿宋_GB2312" w:cs="仿宋_GB2312"/>
          <w:sz w:val="32"/>
          <w:szCs w:val="32"/>
          <w:lang w:val="en-US" w:eastAsia="zh-CN"/>
        </w:rPr>
        <w:t>5475.7862</w:t>
      </w:r>
      <w:r>
        <w:rPr>
          <w:rFonts w:hint="default" w:ascii="仿宋_GB2312" w:hAnsi="仿宋_GB2312" w:eastAsia="仿宋_GB2312" w:cs="仿宋_GB2312"/>
          <w:sz w:val="32"/>
          <w:szCs w:val="32"/>
          <w:lang w:val="en-US" w:eastAsia="zh-CN"/>
        </w:rPr>
        <w:t>万元（包含中央</w:t>
      </w:r>
      <w:r>
        <w:rPr>
          <w:rFonts w:hint="eastAsia" w:ascii="仿宋_GB2312" w:hAnsi="仿宋_GB2312" w:eastAsia="仿宋_GB2312" w:cs="仿宋_GB2312"/>
          <w:sz w:val="32"/>
          <w:szCs w:val="32"/>
          <w:lang w:val="en-US" w:eastAsia="zh-CN"/>
        </w:rPr>
        <w:t>3.0696</w:t>
      </w:r>
      <w:r>
        <w:rPr>
          <w:rFonts w:hint="default" w:ascii="仿宋_GB2312" w:hAnsi="仿宋_GB2312" w:eastAsia="仿宋_GB2312" w:cs="仿宋_GB2312"/>
          <w:sz w:val="32"/>
          <w:szCs w:val="32"/>
          <w:lang w:val="en-US" w:eastAsia="zh-CN"/>
        </w:rPr>
        <w:t>万元、省</w:t>
      </w:r>
      <w:r>
        <w:rPr>
          <w:rFonts w:hint="eastAsia" w:ascii="仿宋_GB2312" w:hAnsi="仿宋_GB2312" w:eastAsia="仿宋_GB2312" w:cs="仿宋_GB2312"/>
          <w:sz w:val="32"/>
          <w:szCs w:val="32"/>
          <w:lang w:val="en-US" w:eastAsia="zh-CN"/>
        </w:rPr>
        <w:t>4408</w:t>
      </w:r>
      <w:r>
        <w:rPr>
          <w:rFonts w:hint="default" w:ascii="仿宋_GB2312" w:hAnsi="仿宋_GB2312" w:eastAsia="仿宋_GB2312" w:cs="仿宋_GB2312"/>
          <w:sz w:val="32"/>
          <w:szCs w:val="32"/>
          <w:lang w:val="en-US" w:eastAsia="zh-CN"/>
        </w:rPr>
        <w:t>万元、市</w:t>
      </w:r>
      <w:r>
        <w:rPr>
          <w:rFonts w:hint="eastAsia" w:ascii="仿宋_GB2312" w:hAnsi="仿宋_GB2312" w:eastAsia="仿宋_GB2312" w:cs="仿宋_GB2312"/>
          <w:sz w:val="32"/>
          <w:szCs w:val="32"/>
          <w:lang w:val="en-US" w:eastAsia="zh-CN"/>
        </w:rPr>
        <w:t>1064.7166</w:t>
      </w:r>
      <w:r>
        <w:rPr>
          <w:rFonts w:hint="default" w:ascii="仿宋_GB2312" w:hAnsi="仿宋_GB2312" w:eastAsia="仿宋_GB2312" w:cs="仿宋_GB2312"/>
          <w:sz w:val="32"/>
          <w:szCs w:val="32"/>
          <w:lang w:val="en-US" w:eastAsia="zh-CN"/>
        </w:rPr>
        <w:t>万元），专项转移支付</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万元（包含中央</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万元、省</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万元、市</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万元），债券资金</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预算执行率97.12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。其中：</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US" w:eastAsia="zh-CN"/>
        </w:rPr>
        <w:t>个（与部门开展项目自评个数相同），金额合计</w:t>
      </w:r>
      <w:r>
        <w:rPr>
          <w:rFonts w:hint="eastAsia" w:ascii="仿宋_GB2312" w:hAnsi="仿宋_GB2312" w:eastAsia="仿宋_GB2312" w:cs="仿宋_GB2312"/>
          <w:sz w:val="32"/>
          <w:szCs w:val="32"/>
          <w:lang w:val="en-US" w:eastAsia="zh-CN"/>
        </w:rPr>
        <w:t>7209.5597</w:t>
      </w:r>
      <w:r>
        <w:rPr>
          <w:rFonts w:hint="default" w:ascii="仿宋_GB2312" w:hAnsi="仿宋_GB2312" w:eastAsia="仿宋_GB2312" w:cs="仿宋_GB2312"/>
          <w:sz w:val="32"/>
          <w:szCs w:val="32"/>
          <w:lang w:val="en-US" w:eastAsia="zh-CN"/>
        </w:rPr>
        <w:t>万元（与部门开展项目自评金额合计相同），实际</w:t>
      </w:r>
      <w:r>
        <w:rPr>
          <w:rFonts w:hint="eastAsia" w:ascii="仿宋_GB2312" w:hAnsi="仿宋_GB2312" w:eastAsia="仿宋_GB2312" w:cs="仿宋_GB2312"/>
          <w:sz w:val="32"/>
          <w:szCs w:val="32"/>
          <w:lang w:val="en-US" w:eastAsia="zh-CN"/>
        </w:rPr>
        <w:t>支出6981.445904</w:t>
      </w:r>
      <w:r>
        <w:rPr>
          <w:rFonts w:hint="default" w:ascii="仿宋_GB2312" w:hAnsi="仿宋_GB2312" w:eastAsia="仿宋_GB2312" w:cs="仿宋_GB2312"/>
          <w:sz w:val="32"/>
          <w:szCs w:val="32"/>
          <w:lang w:val="en-US" w:eastAsia="zh-CN"/>
        </w:rPr>
        <w:t>万元，执行率为</w:t>
      </w:r>
      <w:r>
        <w:rPr>
          <w:rFonts w:hint="eastAsia" w:ascii="仿宋_GB2312" w:hAnsi="仿宋_GB2312" w:eastAsia="仿宋_GB2312" w:cs="仿宋_GB2312"/>
          <w:sz w:val="32"/>
          <w:szCs w:val="32"/>
          <w:lang w:val="en-US" w:eastAsia="zh-CN"/>
        </w:rPr>
        <w:t>96.84</w:t>
      </w:r>
      <w:r>
        <w:rPr>
          <w:rFonts w:hint="default" w:ascii="仿宋_GB2312" w:hAnsi="仿宋_GB2312" w:eastAsia="仿宋_GB2312" w:cs="仿宋_GB2312"/>
          <w:sz w:val="32"/>
          <w:szCs w:val="32"/>
          <w:lang w:val="en-US" w:eastAsia="zh-CN"/>
        </w:rPr>
        <w:t>%。</w:t>
      </w:r>
    </w:p>
    <w:p>
      <w:pPr>
        <w:ind w:left="0"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中央、省委、市委和区委部署，全面落实新时代党的建设总要求和新时代党的组织路线，以党建促基层治理、促乡村振兴，加快建设政治过硬，具备领导现代化建设能力的干部队伍，强化干部监督管理培养、引进用好各类人才，全面完成上级组织部门以及区委区政府下达的目标任务。整体体绩效目标基本实现：1、区干部信息管理中心建设完成；2、圆满完成全区干部培训、公务员培训，选调生培训，农村党员培训，全区人才培训等各类教育培训工作；3、完成全区考核任务并发放考核奖励金。4、完成到村任职选调生、村干部、非公党建专员、村级组织等补贴发放。5、完成全区人才工作建设，强化人才引进力度。6、保障区委电教中心、区新宣中心日常工作。7、强化干部关系关爱工作及老干部慰问机制；8、完成区委安排的其他重点工作如主题教育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绩效评价项目23个，占部门项目总数的100%，涉及金额6981.445904万元。我部成立绩效评价工作小组，明确了各成员在此次自评工作中的职责。通过召开各业务科室负责人会议，听取业务工作完成情况汇报。收集该项目相关政策文件和项目单位相关制度等资料；核查相关制度是否完善，资金使用和费用报销是否合规、手续是否齐全、是否存在挤占、截留、挪用等情况。进行实地查看，调查走访等评价方法得出评价结论，形成绩效评价报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本着客观、公正、公开的原则开展自评工作，所有项目的绩效自评均设计了合理、明晰、可考核的、关键性产出指标和效果指标。自评结果真实可靠。</w:t>
      </w:r>
    </w:p>
    <w:p>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通过自评，我部的23</w:t>
      </w:r>
      <w:bookmarkStart w:id="0" w:name="_GoBack"/>
      <w:bookmarkEnd w:id="0"/>
      <w:r>
        <w:rPr>
          <w:rFonts w:hint="eastAsia" w:ascii="仿宋_GB2312" w:hAnsi="仿宋_GB2312" w:eastAsia="仿宋_GB2312" w:cs="仿宋_GB2312"/>
          <w:sz w:val="32"/>
          <w:szCs w:val="32"/>
          <w:lang w:val="en-US" w:eastAsia="zh-CN"/>
        </w:rPr>
        <w:t>个项目，实际支出6981.445904万元，总体预算执行率达到96%以上，均能完成年初设定的绩效目标，项目有效运行。评价结果为优秀等级。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所有项目在</w:t>
      </w:r>
      <w:r>
        <w:rPr>
          <w:rFonts w:hint="default" w:ascii="仿宋_GB2312" w:hAnsi="仿宋_GB2312" w:eastAsia="仿宋_GB2312" w:cs="仿宋_GB2312"/>
          <w:sz w:val="32"/>
          <w:szCs w:val="32"/>
          <w:lang w:val="en-US" w:eastAsia="zh-CN"/>
        </w:rPr>
        <w:t>预算执行过程中预算资金使用合规、合理，按照预算计划进行，无超预算、挪用资金等行为。预算执行的进度</w:t>
      </w:r>
      <w:r>
        <w:rPr>
          <w:rFonts w:hint="eastAsia" w:ascii="仿宋_GB2312" w:hAnsi="仿宋_GB2312" w:eastAsia="仿宋_GB2312" w:cs="仿宋_GB2312"/>
          <w:sz w:val="32"/>
          <w:szCs w:val="32"/>
          <w:lang w:val="en-US" w:eastAsia="zh-CN"/>
        </w:rPr>
        <w:t>及时</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在执行过程中能根据实际情况</w:t>
      </w:r>
      <w:r>
        <w:rPr>
          <w:rFonts w:hint="default" w:ascii="仿宋_GB2312" w:hAnsi="仿宋_GB2312" w:eastAsia="仿宋_GB2312" w:cs="仿宋_GB2312"/>
          <w:sz w:val="32"/>
          <w:szCs w:val="32"/>
          <w:lang w:val="en-US" w:eastAsia="zh-CN"/>
        </w:rPr>
        <w:t>及时调整预算以适应项目需求的变化。建立了有效的预算监控机制，对预算执行情况进行定期跟踪和评估，及时发现和解决问题。预算监控的结果得到合理利用，用于指导项目的实施和预算的调整。建立了科学、合理的预算绩效评价体系，采用客观、量化的指标对项目绩效进行评价。绩效评价结果得到合理利用，用于指导未来的预算编制和项目管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按照年初确定的工作目标逐步完善落实工作，各项工作依照绩效指标基本完成，部分项目超额完成年初绩效目标，各项目完成质量优秀，切实做到应发尽发，应省尽省。社会满意度较好。</w:t>
      </w:r>
    </w:p>
    <w:p>
      <w:pPr>
        <w:numPr>
          <w:ilvl w:val="0"/>
          <w:numId w:val="3"/>
        </w:numPr>
        <w:ind w:firstLine="602" w:firstLineChars="200"/>
        <w:rPr>
          <w:rFonts w:ascii="宋体" w:hAnsi="宋体" w:eastAsia="黑体" w:cs="Times New Roman"/>
          <w:b/>
          <w:sz w:val="30"/>
          <w:szCs w:val="30"/>
        </w:rPr>
      </w:pPr>
      <w:r>
        <w:rPr>
          <w:rFonts w:ascii="宋体" w:hAnsi="宋体" w:eastAsia="黑体" w:cs="Times New Roman"/>
          <w:b/>
          <w:sz w:val="30"/>
          <w:szCs w:val="30"/>
        </w:rPr>
        <w:t>存在的问题和建议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通过实施预算项目绩效评价发现，预算项目绩效目标设定还需进一步详尽，绩效指标应充分体现“结果”导向原则。部分目标支出进度未达标，支出比例较低。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一是按照"结果"导向原则做好项目绩效目标设定工作，将绩效目标设定从“支出完成”和“实现产出”向注重“全面结果”的评价重点转变;二是完善项目绩效指标设定，进一步探索更具科学性和可操作性的绩效分析、绩效考核指标体系。</w:t>
      </w:r>
    </w:p>
    <w:p>
      <w:pPr>
        <w:ind w:firstLine="602" w:firstLineChars="200"/>
        <w:rPr>
          <w:rFonts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8188B"/>
    <w:multiLevelType w:val="singleLevel"/>
    <w:tmpl w:val="A3C8188B"/>
    <w:lvl w:ilvl="0" w:tentative="0">
      <w:start w:val="4"/>
      <w:numFmt w:val="chineseCounting"/>
      <w:suff w:val="nothing"/>
      <w:lvlText w:val="%1、"/>
      <w:lvlJc w:val="left"/>
      <w:rPr>
        <w:rFonts w:hint="eastAsia"/>
      </w:rPr>
    </w:lvl>
  </w:abstractNum>
  <w:abstractNum w:abstractNumId="1">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2">
    <w:nsid w:val="C1CC6705"/>
    <w:multiLevelType w:val="singleLevel"/>
    <w:tmpl w:val="C1CC670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ZWE3ZjlhNjA0ZjBiNTMxYmMwZjY2NWVmMDk1ZDE3MTYifQ=="/>
    <w:docVar w:name="KSO_WPS_MARK_KEY" w:val="888d6d36-2236-4ed9-a800-23a7d3e7531a"/>
  </w:docVars>
  <w:rsids>
    <w:rsidRoot w:val="00000000"/>
    <w:rsid w:val="190E4513"/>
    <w:rsid w:val="256C6F12"/>
    <w:rsid w:val="332F223C"/>
    <w:rsid w:val="3A43203A"/>
    <w:rsid w:val="3BC327DF"/>
    <w:rsid w:val="428663F9"/>
    <w:rsid w:val="58F806A3"/>
    <w:rsid w:val="696A28ED"/>
    <w:rsid w:val="7B984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nhideWhenUsed/>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D3D20B-E9BE-4117-B12D-8A91ED60DEB0}">
  <ds:schemaRefs/>
</ds:datastoreItem>
</file>

<file path=docProps/app.xml><?xml version="1.0" encoding="utf-8"?>
<Properties xmlns="http://schemas.openxmlformats.org/officeDocument/2006/extended-properties" xmlns:vt="http://schemas.openxmlformats.org/officeDocument/2006/docPropsVTypes">
  <Template>Normal.eit</Template>
  <Pages>6</Pages>
  <Words>2184</Words>
  <Characters>2323</Characters>
  <Lines>0</Lines>
  <Paragraphs>38</Paragraphs>
  <TotalTime>2</TotalTime>
  <ScaleCrop>false</ScaleCrop>
  <LinksUpToDate>false</LinksUpToDate>
  <CharactersWithSpaces>2393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bangong</cp:lastModifiedBy>
  <dcterms:modified xsi:type="dcterms:W3CDTF">2025-03-24T09:01:13Z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C7C70FDE310643CC85932152B6133F9E_12</vt:lpwstr>
  </property>
</Properties>
</file>